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7"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SECURITIES AND EXCHANGE COMMISSION</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54"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-153670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51435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5"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45" w:lineRule="exact"/>
        <w:rPr>
          <w:sz w:val="24"/>
          <w:szCs w:val="24"/>
          <w:color w:val="auto"/>
        </w:rPr>
      </w:pPr>
    </w:p>
    <w:p>
      <w:pPr>
        <w:ind w:left="520" w:hanging="499"/>
        <w:spacing w:after="0"/>
        <w:tabs>
          <w:tab w:leader="none" w:pos="52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ANNUAL REPORT PURSUANT TO SECTION 13 OR 15(d) OF THE SECURITIES EXCHANGE ACT OF 1934</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fiscal year ended December 31, 2023</w:t>
      </w:r>
    </w:p>
    <w:p>
      <w:pPr>
        <w:spacing w:after="0" w:line="10" w:lineRule="exact"/>
        <w:rPr>
          <w:sz w:val="24"/>
          <w:szCs w:val="24"/>
          <w:color w:val="auto"/>
        </w:rPr>
      </w:pPr>
    </w:p>
    <w:p>
      <w:pPr>
        <w:jc w:val="center"/>
        <w:ind w:right="40"/>
        <w:spacing w:after="0"/>
        <w:rPr>
          <w:sz w:val="20"/>
          <w:szCs w:val="20"/>
          <w:color w:val="auto"/>
        </w:rPr>
      </w:pPr>
      <w:r>
        <w:rPr>
          <w:rFonts w:ascii="Arial" w:cs="Arial" w:eastAsia="Arial" w:hAnsi="Arial"/>
          <w:sz w:val="15"/>
          <w:szCs w:val="15"/>
          <w:b w:val="1"/>
          <w:bCs w:val="1"/>
          <w:color w:val="auto"/>
        </w:rPr>
        <w:t>OR</w:t>
      </w:r>
    </w:p>
    <w:p>
      <w:pPr>
        <w:spacing w:after="0" w:line="3"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59" w:lineRule="exact"/>
        <w:rPr>
          <w:sz w:val="24"/>
          <w:szCs w:val="24"/>
          <w:color w:val="auto"/>
        </w:rPr>
      </w:pPr>
    </w:p>
    <w:p>
      <w:pPr>
        <w:ind w:left="3780"/>
        <w:spacing w:after="0"/>
        <w:rPr>
          <w:sz w:val="20"/>
          <w:szCs w:val="20"/>
          <w:color w:val="auto"/>
        </w:rPr>
      </w:pPr>
      <w:r>
        <w:rPr>
          <w:rFonts w:ascii="Arial" w:cs="Arial" w:eastAsia="Arial" w:hAnsi="Arial"/>
          <w:sz w:val="13"/>
          <w:szCs w:val="13"/>
          <w:b w:val="1"/>
          <w:bCs w:val="1"/>
          <w:color w:val="auto"/>
        </w:rPr>
        <w:t xml:space="preserve">For the transition period from </w:t>
      </w:r>
      <w:r>
        <w:rPr>
          <w:rFonts w:ascii="Arial" w:cs="Arial" w:eastAsia="Arial" w:hAnsi="Arial"/>
          <w:sz w:val="13"/>
          <w:szCs w:val="13"/>
          <w:b w:val="1"/>
          <w:bCs w:val="1"/>
          <w:u w:val="single" w:color="auto"/>
          <w:color w:val="auto"/>
        </w:rPr>
        <w:t>__________</w:t>
      </w:r>
      <w:r>
        <w:rPr>
          <w:rFonts w:ascii="Arial" w:cs="Arial" w:eastAsia="Arial" w:hAnsi="Arial"/>
          <w:sz w:val="13"/>
          <w:szCs w:val="13"/>
          <w:b w:val="1"/>
          <w:bCs w:val="1"/>
          <w:color w:val="auto"/>
        </w:rPr>
        <w:t xml:space="preserve"> to </w:t>
      </w:r>
      <w:r>
        <w:rPr>
          <w:rFonts w:ascii="Arial" w:cs="Arial" w:eastAsia="Arial" w:hAnsi="Arial"/>
          <w:sz w:val="13"/>
          <w:szCs w:val="13"/>
          <w:b w:val="1"/>
          <w:bCs w:val="1"/>
          <w:u w:val="single" w:color="auto"/>
          <w:color w:val="auto"/>
        </w:rPr>
        <w:t>__________</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Commission File Number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43180</wp:posOffset>
            </wp:positionV>
            <wp:extent cx="1423035" cy="891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915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80"/>
        <w:spacing w:after="0"/>
        <w:rPr>
          <w:sz w:val="20"/>
          <w:szCs w:val="20"/>
          <w:color w:val="auto"/>
        </w:rPr>
      </w:pPr>
      <w:r>
        <w:rPr>
          <w:rFonts w:ascii="Arial" w:cs="Arial" w:eastAsia="Arial" w:hAnsi="Arial"/>
          <w:sz w:val="24"/>
          <w:szCs w:val="24"/>
          <w:b w:val="1"/>
          <w:bCs w:val="1"/>
          <w:color w:val="auto"/>
        </w:rPr>
        <w:t>Schlumberger N.V. (Schlumberger Limited)</w:t>
      </w:r>
    </w:p>
    <w:p>
      <w:pPr>
        <w:spacing w:after="0" w:line="48"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42545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5" w:lineRule="exact"/>
        <w:rPr>
          <w:sz w:val="24"/>
          <w:szCs w:val="24"/>
          <w:color w:val="auto"/>
        </w:rPr>
      </w:pPr>
    </w:p>
    <w:tbl>
      <w:tblPr>
        <w:tblLayout w:type="fixed"/>
        <w:tblInd w:w="1140" w:type="dxa"/>
        <w:tblCellMar>
          <w:top w:w="0" w:type="dxa"/>
          <w:left w:w="0" w:type="dxa"/>
          <w:bottom w:w="0" w:type="dxa"/>
          <w:right w:w="0" w:type="dxa"/>
        </w:tblCellMar>
      </w:tblPr>
      <w:tr>
        <w:trPr>
          <w:trHeight w:val="180"/>
        </w:trPr>
        <w:tc>
          <w:tcPr>
            <w:tcW w:w="4840" w:type="dxa"/>
            <w:vAlign w:val="bottom"/>
          </w:tcPr>
          <w:p>
            <w:pPr>
              <w:jc w:val="center"/>
              <w:ind w:right="1510"/>
              <w:spacing w:after="0"/>
              <w:rPr>
                <w:sz w:val="20"/>
                <w:szCs w:val="20"/>
                <w:color w:val="auto"/>
              </w:rPr>
            </w:pPr>
            <w:r>
              <w:rPr>
                <w:rFonts w:ascii="Arial" w:cs="Arial" w:eastAsia="Arial" w:hAnsi="Arial"/>
                <w:sz w:val="14"/>
                <w:szCs w:val="14"/>
                <w:b w:val="1"/>
                <w:bCs w:val="1"/>
                <w:color w:val="auto"/>
              </w:rPr>
              <w:t>Curaçao</w:t>
            </w:r>
          </w:p>
        </w:tc>
        <w:tc>
          <w:tcPr>
            <w:tcW w:w="3420" w:type="dxa"/>
            <w:vAlign w:val="bottom"/>
          </w:tcPr>
          <w:p>
            <w:pPr>
              <w:jc w:val="center"/>
              <w:ind w:left="1531"/>
              <w:spacing w:after="0"/>
              <w:rPr>
                <w:sz w:val="20"/>
                <w:szCs w:val="20"/>
                <w:color w:val="auto"/>
              </w:rPr>
            </w:pPr>
            <w:r>
              <w:rPr>
                <w:rFonts w:ascii="Arial" w:cs="Arial" w:eastAsia="Arial" w:hAnsi="Arial"/>
                <w:sz w:val="14"/>
                <w:szCs w:val="14"/>
                <w:b w:val="1"/>
                <w:bCs w:val="1"/>
                <w:color w:val="auto"/>
              </w:rPr>
              <w:t>52-0684746</w:t>
            </w:r>
          </w:p>
        </w:tc>
      </w:tr>
      <w:tr>
        <w:trPr>
          <w:trHeight w:val="166"/>
        </w:trPr>
        <w:tc>
          <w:tcPr>
            <w:tcW w:w="4840" w:type="dxa"/>
            <w:vAlign w:val="bottom"/>
          </w:tcPr>
          <w:p>
            <w:pPr>
              <w:jc w:val="center"/>
              <w:ind w:right="1530"/>
              <w:spacing w:after="0"/>
              <w:rPr>
                <w:sz w:val="20"/>
                <w:szCs w:val="20"/>
                <w:color w:val="auto"/>
              </w:rPr>
            </w:pPr>
            <w:r>
              <w:rPr>
                <w:rFonts w:ascii="Arial" w:cs="Arial" w:eastAsia="Arial" w:hAnsi="Arial"/>
                <w:sz w:val="13"/>
                <w:szCs w:val="13"/>
                <w:color w:val="auto"/>
                <w:w w:val="96"/>
              </w:rPr>
              <w:t>(State or other jurisdiction of incorporation or organization)</w:t>
            </w:r>
          </w:p>
        </w:tc>
        <w:tc>
          <w:tcPr>
            <w:tcW w:w="3420" w:type="dxa"/>
            <w:vAlign w:val="bottom"/>
          </w:tcPr>
          <w:p>
            <w:pPr>
              <w:jc w:val="center"/>
              <w:ind w:left="1531"/>
              <w:spacing w:after="0"/>
              <w:rPr>
                <w:sz w:val="20"/>
                <w:szCs w:val="20"/>
                <w:color w:val="auto"/>
              </w:rPr>
            </w:pPr>
            <w:r>
              <w:rPr>
                <w:rFonts w:ascii="Arial" w:cs="Arial" w:eastAsia="Arial" w:hAnsi="Arial"/>
                <w:sz w:val="13"/>
                <w:szCs w:val="13"/>
                <w:color w:val="auto"/>
                <w:w w:val="96"/>
              </w:rPr>
              <w:t>(IRS Employer Identification No.)</w:t>
            </w:r>
          </w:p>
        </w:tc>
      </w:tr>
      <w:tr>
        <w:trPr>
          <w:trHeight w:val="234"/>
        </w:trPr>
        <w:tc>
          <w:tcPr>
            <w:tcW w:w="4840" w:type="dxa"/>
            <w:vAlign w:val="bottom"/>
          </w:tcPr>
          <w:p>
            <w:pPr>
              <w:jc w:val="center"/>
              <w:ind w:right="1530"/>
              <w:spacing w:after="0"/>
              <w:rPr>
                <w:sz w:val="20"/>
                <w:szCs w:val="20"/>
                <w:color w:val="auto"/>
              </w:rPr>
            </w:pPr>
            <w:r>
              <w:rPr>
                <w:rFonts w:ascii="Arial" w:cs="Arial" w:eastAsia="Arial" w:hAnsi="Arial"/>
                <w:sz w:val="14"/>
                <w:szCs w:val="14"/>
                <w:b w:val="1"/>
                <w:bCs w:val="1"/>
                <w:color w:val="auto"/>
              </w:rPr>
              <w:t>42 rue Saint-Dominique</w:t>
            </w:r>
          </w:p>
        </w:tc>
        <w:tc>
          <w:tcPr>
            <w:tcW w:w="3420" w:type="dxa"/>
            <w:vAlign w:val="bottom"/>
          </w:tcPr>
          <w:p>
            <w:pPr>
              <w:spacing w:after="0"/>
              <w:rPr>
                <w:sz w:val="20"/>
                <w:szCs w:val="20"/>
                <w:color w:val="auto"/>
              </w:rPr>
            </w:pPr>
          </w:p>
        </w:tc>
      </w:tr>
      <w:tr>
        <w:trPr>
          <w:trHeight w:val="196"/>
        </w:trPr>
        <w:tc>
          <w:tcPr>
            <w:tcW w:w="4840" w:type="dxa"/>
            <w:vAlign w:val="bottom"/>
          </w:tcPr>
          <w:p>
            <w:pPr>
              <w:jc w:val="center"/>
              <w:ind w:right="1510"/>
              <w:spacing w:after="0"/>
              <w:rPr>
                <w:sz w:val="20"/>
                <w:szCs w:val="20"/>
                <w:color w:val="auto"/>
              </w:rPr>
            </w:pPr>
            <w:r>
              <w:rPr>
                <w:rFonts w:ascii="Arial" w:cs="Arial" w:eastAsia="Arial" w:hAnsi="Arial"/>
                <w:sz w:val="14"/>
                <w:szCs w:val="14"/>
                <w:b w:val="1"/>
                <w:bCs w:val="1"/>
                <w:color w:val="auto"/>
              </w:rPr>
              <w:t>Paris, France</w:t>
            </w:r>
          </w:p>
        </w:tc>
        <w:tc>
          <w:tcPr>
            <w:tcW w:w="3420" w:type="dxa"/>
            <w:vAlign w:val="bottom"/>
          </w:tcPr>
          <w:p>
            <w:pPr>
              <w:jc w:val="center"/>
              <w:ind w:left="1551"/>
              <w:spacing w:after="0"/>
              <w:rPr>
                <w:sz w:val="20"/>
                <w:szCs w:val="20"/>
                <w:color w:val="auto"/>
              </w:rPr>
            </w:pPr>
            <w:r>
              <w:rPr>
                <w:rFonts w:ascii="Arial" w:cs="Arial" w:eastAsia="Arial" w:hAnsi="Arial"/>
                <w:sz w:val="14"/>
                <w:szCs w:val="14"/>
                <w:b w:val="1"/>
                <w:bCs w:val="1"/>
                <w:color w:val="auto"/>
              </w:rPr>
              <w:t>75007</w:t>
            </w:r>
          </w:p>
        </w:tc>
      </w:tr>
      <w:tr>
        <w:trPr>
          <w:trHeight w:val="222"/>
        </w:trPr>
        <w:tc>
          <w:tcPr>
            <w:tcW w:w="4840" w:type="dxa"/>
            <w:vAlign w:val="bottom"/>
          </w:tcPr>
          <w:p>
            <w:pPr>
              <w:jc w:val="center"/>
              <w:ind w:right="1530"/>
              <w:spacing w:after="0"/>
              <w:rPr>
                <w:sz w:val="20"/>
                <w:szCs w:val="20"/>
                <w:color w:val="auto"/>
              </w:rPr>
            </w:pPr>
            <w:r>
              <w:rPr>
                <w:rFonts w:ascii="Arial" w:cs="Arial" w:eastAsia="Arial" w:hAnsi="Arial"/>
                <w:sz w:val="14"/>
                <w:szCs w:val="14"/>
                <w:b w:val="1"/>
                <w:bCs w:val="1"/>
                <w:color w:val="auto"/>
              </w:rPr>
              <w:t>5599 San Felipe, 17</w:t>
            </w:r>
            <w:r>
              <w:rPr>
                <w:rFonts w:ascii="Arial" w:cs="Arial" w:eastAsia="Arial" w:hAnsi="Arial"/>
                <w:sz w:val="19"/>
                <w:szCs w:val="19"/>
                <w:b w:val="1"/>
                <w:bCs w:val="1"/>
                <w:color w:val="auto"/>
                <w:vertAlign w:val="superscript"/>
              </w:rPr>
              <w:t>th</w:t>
            </w:r>
            <w:r>
              <w:rPr>
                <w:rFonts w:ascii="Arial" w:cs="Arial" w:eastAsia="Arial" w:hAnsi="Arial"/>
                <w:sz w:val="14"/>
                <w:szCs w:val="14"/>
                <w:b w:val="1"/>
                <w:bCs w:val="1"/>
                <w:color w:val="auto"/>
              </w:rPr>
              <w:t xml:space="preserve"> Floor</w:t>
            </w:r>
          </w:p>
        </w:tc>
        <w:tc>
          <w:tcPr>
            <w:tcW w:w="3420" w:type="dxa"/>
            <w:vAlign w:val="bottom"/>
          </w:tcPr>
          <w:p>
            <w:pPr>
              <w:spacing w:after="0"/>
              <w:rPr>
                <w:sz w:val="19"/>
                <w:szCs w:val="19"/>
                <w:color w:val="auto"/>
              </w:rPr>
            </w:pPr>
          </w:p>
        </w:tc>
      </w:tr>
      <w:tr>
        <w:trPr>
          <w:trHeight w:val="196"/>
        </w:trPr>
        <w:tc>
          <w:tcPr>
            <w:tcW w:w="4840" w:type="dxa"/>
            <w:vAlign w:val="bottom"/>
          </w:tcPr>
          <w:p>
            <w:pPr>
              <w:jc w:val="center"/>
              <w:ind w:right="1530"/>
              <w:spacing w:after="0"/>
              <w:rPr>
                <w:sz w:val="20"/>
                <w:szCs w:val="20"/>
                <w:color w:val="auto"/>
              </w:rPr>
            </w:pPr>
            <w:r>
              <w:rPr>
                <w:rFonts w:ascii="Arial" w:cs="Arial" w:eastAsia="Arial" w:hAnsi="Arial"/>
                <w:sz w:val="14"/>
                <w:szCs w:val="14"/>
                <w:b w:val="1"/>
                <w:bCs w:val="1"/>
                <w:color w:val="auto"/>
              </w:rPr>
              <w:t>Houston, Texas, United States of America</w:t>
            </w:r>
          </w:p>
        </w:tc>
        <w:tc>
          <w:tcPr>
            <w:tcW w:w="3420" w:type="dxa"/>
            <w:vAlign w:val="bottom"/>
          </w:tcPr>
          <w:p>
            <w:pPr>
              <w:jc w:val="center"/>
              <w:ind w:left="1551"/>
              <w:spacing w:after="0"/>
              <w:rPr>
                <w:sz w:val="20"/>
                <w:szCs w:val="20"/>
                <w:color w:val="auto"/>
              </w:rPr>
            </w:pPr>
            <w:r>
              <w:rPr>
                <w:rFonts w:ascii="Arial" w:cs="Arial" w:eastAsia="Arial" w:hAnsi="Arial"/>
                <w:sz w:val="14"/>
                <w:szCs w:val="14"/>
                <w:b w:val="1"/>
                <w:bCs w:val="1"/>
                <w:color w:val="auto"/>
              </w:rPr>
              <w:t>77056</w:t>
            </w:r>
          </w:p>
        </w:tc>
      </w:tr>
      <w:tr>
        <w:trPr>
          <w:trHeight w:val="222"/>
        </w:trPr>
        <w:tc>
          <w:tcPr>
            <w:tcW w:w="4840" w:type="dxa"/>
            <w:vAlign w:val="bottom"/>
          </w:tcPr>
          <w:p>
            <w:pPr>
              <w:jc w:val="center"/>
              <w:ind w:right="1510"/>
              <w:spacing w:after="0"/>
              <w:rPr>
                <w:sz w:val="20"/>
                <w:szCs w:val="20"/>
                <w:color w:val="auto"/>
              </w:rPr>
            </w:pPr>
            <w:r>
              <w:rPr>
                <w:rFonts w:ascii="Arial" w:cs="Arial" w:eastAsia="Arial" w:hAnsi="Arial"/>
                <w:sz w:val="14"/>
                <w:szCs w:val="14"/>
                <w:b w:val="1"/>
                <w:bCs w:val="1"/>
                <w:color w:val="auto"/>
              </w:rPr>
              <w:t>62 Buckingham Gate</w:t>
            </w:r>
          </w:p>
        </w:tc>
        <w:tc>
          <w:tcPr>
            <w:tcW w:w="3420" w:type="dxa"/>
            <w:vAlign w:val="bottom"/>
          </w:tcPr>
          <w:p>
            <w:pPr>
              <w:spacing w:after="0"/>
              <w:rPr>
                <w:sz w:val="19"/>
                <w:szCs w:val="19"/>
                <w:color w:val="auto"/>
              </w:rPr>
            </w:pPr>
          </w:p>
        </w:tc>
      </w:tr>
      <w:tr>
        <w:trPr>
          <w:trHeight w:val="196"/>
        </w:trPr>
        <w:tc>
          <w:tcPr>
            <w:tcW w:w="4840" w:type="dxa"/>
            <w:vAlign w:val="bottom"/>
          </w:tcPr>
          <w:p>
            <w:pPr>
              <w:jc w:val="center"/>
              <w:ind w:right="1530"/>
              <w:spacing w:after="0"/>
              <w:rPr>
                <w:sz w:val="20"/>
                <w:szCs w:val="20"/>
                <w:color w:val="auto"/>
              </w:rPr>
            </w:pPr>
            <w:r>
              <w:rPr>
                <w:rFonts w:ascii="Arial" w:cs="Arial" w:eastAsia="Arial" w:hAnsi="Arial"/>
                <w:sz w:val="14"/>
                <w:szCs w:val="14"/>
                <w:b w:val="1"/>
                <w:bCs w:val="1"/>
                <w:color w:val="auto"/>
              </w:rPr>
              <w:t>London, United Kingdom</w:t>
            </w:r>
          </w:p>
        </w:tc>
        <w:tc>
          <w:tcPr>
            <w:tcW w:w="3420" w:type="dxa"/>
            <w:vAlign w:val="bottom"/>
          </w:tcPr>
          <w:p>
            <w:pPr>
              <w:jc w:val="center"/>
              <w:ind w:left="1531"/>
              <w:spacing w:after="0"/>
              <w:rPr>
                <w:sz w:val="20"/>
                <w:szCs w:val="20"/>
                <w:color w:val="auto"/>
              </w:rPr>
            </w:pPr>
            <w:r>
              <w:rPr>
                <w:rFonts w:ascii="Arial" w:cs="Arial" w:eastAsia="Arial" w:hAnsi="Arial"/>
                <w:sz w:val="14"/>
                <w:szCs w:val="14"/>
                <w:b w:val="1"/>
                <w:bCs w:val="1"/>
                <w:color w:val="auto"/>
              </w:rPr>
              <w:t>SW1E 6AJ</w:t>
            </w:r>
          </w:p>
        </w:tc>
      </w:tr>
      <w:tr>
        <w:trPr>
          <w:trHeight w:val="222"/>
        </w:trPr>
        <w:tc>
          <w:tcPr>
            <w:tcW w:w="4840" w:type="dxa"/>
            <w:vAlign w:val="bottom"/>
          </w:tcPr>
          <w:p>
            <w:pPr>
              <w:jc w:val="center"/>
              <w:ind w:right="1510"/>
              <w:spacing w:after="0"/>
              <w:rPr>
                <w:sz w:val="20"/>
                <w:szCs w:val="20"/>
                <w:color w:val="auto"/>
              </w:rPr>
            </w:pPr>
            <w:r>
              <w:rPr>
                <w:rFonts w:ascii="Arial" w:cs="Arial" w:eastAsia="Arial" w:hAnsi="Arial"/>
                <w:sz w:val="14"/>
                <w:szCs w:val="14"/>
                <w:b w:val="1"/>
                <w:bCs w:val="1"/>
                <w:color w:val="auto"/>
              </w:rPr>
              <w:t>Parkstraat 83</w:t>
            </w:r>
          </w:p>
        </w:tc>
        <w:tc>
          <w:tcPr>
            <w:tcW w:w="3420" w:type="dxa"/>
            <w:vAlign w:val="bottom"/>
          </w:tcPr>
          <w:p>
            <w:pPr>
              <w:spacing w:after="0"/>
              <w:rPr>
                <w:sz w:val="19"/>
                <w:szCs w:val="19"/>
                <w:color w:val="auto"/>
              </w:rPr>
            </w:pPr>
          </w:p>
        </w:tc>
      </w:tr>
      <w:tr>
        <w:trPr>
          <w:trHeight w:val="180"/>
        </w:trPr>
        <w:tc>
          <w:tcPr>
            <w:tcW w:w="4840" w:type="dxa"/>
            <w:vAlign w:val="bottom"/>
          </w:tcPr>
          <w:p>
            <w:pPr>
              <w:jc w:val="center"/>
              <w:ind w:right="1510"/>
              <w:spacing w:after="0"/>
              <w:rPr>
                <w:sz w:val="20"/>
                <w:szCs w:val="20"/>
                <w:color w:val="auto"/>
              </w:rPr>
            </w:pPr>
            <w:r>
              <w:rPr>
                <w:rFonts w:ascii="Arial" w:cs="Arial" w:eastAsia="Arial" w:hAnsi="Arial"/>
                <w:sz w:val="14"/>
                <w:szCs w:val="14"/>
                <w:b w:val="1"/>
                <w:bCs w:val="1"/>
                <w:color w:val="auto"/>
              </w:rPr>
              <w:t>The Hague, The Netherlands</w:t>
            </w:r>
          </w:p>
        </w:tc>
        <w:tc>
          <w:tcPr>
            <w:tcW w:w="3420" w:type="dxa"/>
            <w:vAlign w:val="bottom"/>
          </w:tcPr>
          <w:p>
            <w:pPr>
              <w:jc w:val="center"/>
              <w:ind w:left="1531"/>
              <w:spacing w:after="0"/>
              <w:rPr>
                <w:sz w:val="20"/>
                <w:szCs w:val="20"/>
                <w:color w:val="auto"/>
              </w:rPr>
            </w:pPr>
            <w:r>
              <w:rPr>
                <w:rFonts w:ascii="Arial" w:cs="Arial" w:eastAsia="Arial" w:hAnsi="Arial"/>
                <w:sz w:val="14"/>
                <w:szCs w:val="14"/>
                <w:b w:val="1"/>
                <w:bCs w:val="1"/>
                <w:color w:val="auto"/>
              </w:rPr>
              <w:t>2514 JG</w:t>
            </w:r>
          </w:p>
        </w:tc>
      </w:tr>
      <w:tr>
        <w:trPr>
          <w:trHeight w:val="166"/>
        </w:trPr>
        <w:tc>
          <w:tcPr>
            <w:tcW w:w="4840" w:type="dxa"/>
            <w:vAlign w:val="bottom"/>
          </w:tcPr>
          <w:p>
            <w:pPr>
              <w:jc w:val="center"/>
              <w:ind w:right="1530"/>
              <w:spacing w:after="0"/>
              <w:rPr>
                <w:sz w:val="20"/>
                <w:szCs w:val="20"/>
                <w:color w:val="auto"/>
              </w:rPr>
            </w:pPr>
            <w:r>
              <w:rPr>
                <w:rFonts w:ascii="Arial" w:cs="Arial" w:eastAsia="Arial" w:hAnsi="Arial"/>
                <w:sz w:val="13"/>
                <w:szCs w:val="13"/>
                <w:color w:val="auto"/>
                <w:w w:val="96"/>
              </w:rPr>
              <w:t>(Addresses of principal executive offices)</w:t>
            </w:r>
          </w:p>
        </w:tc>
        <w:tc>
          <w:tcPr>
            <w:tcW w:w="3420" w:type="dxa"/>
            <w:vAlign w:val="bottom"/>
          </w:tcPr>
          <w:p>
            <w:pPr>
              <w:jc w:val="center"/>
              <w:ind w:left="1531"/>
              <w:spacing w:after="0"/>
              <w:rPr>
                <w:sz w:val="20"/>
                <w:szCs w:val="20"/>
                <w:color w:val="auto"/>
              </w:rPr>
            </w:pPr>
            <w:r>
              <w:rPr>
                <w:rFonts w:ascii="Arial" w:cs="Arial" w:eastAsia="Arial" w:hAnsi="Arial"/>
                <w:sz w:val="13"/>
                <w:szCs w:val="13"/>
                <w:color w:val="auto"/>
                <w:w w:val="97"/>
              </w:rPr>
              <w:t>(Zip Codes)</w:t>
            </w:r>
          </w:p>
        </w:tc>
      </w:tr>
    </w:tbl>
    <w:p>
      <w:pPr>
        <w:spacing w:after="0" w:line="32" w:lineRule="exact"/>
        <w:rPr>
          <w:sz w:val="24"/>
          <w:szCs w:val="24"/>
          <w:color w:val="auto"/>
        </w:rPr>
      </w:pPr>
    </w:p>
    <w:p>
      <w:pPr>
        <w:ind w:left="3220"/>
        <w:spacing w:after="0"/>
        <w:rPr>
          <w:sz w:val="20"/>
          <w:szCs w:val="20"/>
          <w:color w:val="auto"/>
        </w:rPr>
      </w:pPr>
      <w:r>
        <w:rPr>
          <w:rFonts w:ascii="Arial" w:cs="Arial" w:eastAsia="Arial" w:hAnsi="Arial"/>
          <w:sz w:val="14"/>
          <w:szCs w:val="14"/>
          <w:b w:val="1"/>
          <w:bCs w:val="1"/>
          <w:color w:val="auto"/>
        </w:rPr>
        <w:t>Registrant’s telephone number including area code, is: (713) 513-2000</w:t>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240"/>
          </w:cols>
          <w:pgMar w:left="320" w:top="508" w:right="339" w:bottom="1440" w:gutter="0" w:footer="0" w:header="0"/>
        </w:sectPr>
      </w:pPr>
    </w:p>
    <w:p>
      <w:pPr>
        <w:spacing w:after="0" w:line="48" w:lineRule="exact"/>
        <w:rPr>
          <w:sz w:val="24"/>
          <w:szCs w:val="24"/>
          <w:color w:val="auto"/>
        </w:rPr>
      </w:pPr>
    </w:p>
    <w:p>
      <w:pPr>
        <w:jc w:val="center"/>
        <w:ind w:right="300"/>
        <w:spacing w:after="0"/>
        <w:rPr>
          <w:sz w:val="20"/>
          <w:szCs w:val="20"/>
          <w:color w:val="auto"/>
        </w:rPr>
      </w:pPr>
      <w:r>
        <w:rPr>
          <w:rFonts w:ascii="Arial" w:cs="Arial" w:eastAsia="Arial" w:hAnsi="Arial"/>
          <w:sz w:val="14"/>
          <w:szCs w:val="14"/>
          <w:b w:val="1"/>
          <w:bCs w:val="1"/>
          <w:color w:val="auto"/>
        </w:rPr>
        <w:t>Title of each class</w:t>
      </w:r>
    </w:p>
    <w:p>
      <w:pPr>
        <w:spacing w:after="0" w:line="35" w:lineRule="exact"/>
        <w:rPr>
          <w:sz w:val="24"/>
          <w:szCs w:val="24"/>
          <w:color w:val="auto"/>
        </w:rPr>
      </w:pPr>
    </w:p>
    <w:p>
      <w:pPr>
        <w:jc w:val="center"/>
        <w:ind w:right="300"/>
        <w:spacing w:after="0"/>
        <w:rPr>
          <w:sz w:val="20"/>
          <w:szCs w:val="20"/>
          <w:color w:val="auto"/>
        </w:rPr>
      </w:pPr>
      <w:r>
        <w:rPr>
          <w:rFonts w:ascii="Arial" w:cs="Arial" w:eastAsia="Arial" w:hAnsi="Arial"/>
          <w:sz w:val="14"/>
          <w:szCs w:val="14"/>
          <w:color w:val="auto"/>
        </w:rPr>
        <w:t>Common Stock, par value $0.01 per share</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ind w:right="760"/>
        <w:spacing w:after="0"/>
        <w:rPr>
          <w:sz w:val="20"/>
          <w:szCs w:val="20"/>
          <w:color w:val="auto"/>
        </w:rPr>
      </w:pPr>
      <w:r>
        <w:rPr>
          <w:rFonts w:ascii="Arial" w:cs="Arial" w:eastAsia="Arial" w:hAnsi="Arial"/>
          <w:sz w:val="14"/>
          <w:szCs w:val="14"/>
          <w:b w:val="1"/>
          <w:bCs w:val="1"/>
          <w:color w:val="auto"/>
        </w:rPr>
        <w:t>Trading Symbol(s)</w:t>
      </w:r>
    </w:p>
    <w:p>
      <w:pPr>
        <w:spacing w:after="0" w:line="35" w:lineRule="exact"/>
        <w:rPr>
          <w:sz w:val="24"/>
          <w:szCs w:val="24"/>
          <w:color w:val="auto"/>
        </w:rPr>
      </w:pPr>
    </w:p>
    <w:p>
      <w:pPr>
        <w:jc w:val="center"/>
        <w:ind w:right="760"/>
        <w:spacing w:after="0"/>
        <w:rPr>
          <w:sz w:val="20"/>
          <w:szCs w:val="20"/>
          <w:color w:val="auto"/>
        </w:rPr>
      </w:pPr>
      <w:r>
        <w:rPr>
          <w:rFonts w:ascii="Arial" w:cs="Arial" w:eastAsia="Arial" w:hAnsi="Arial"/>
          <w:sz w:val="14"/>
          <w:szCs w:val="14"/>
          <w:color w:val="auto"/>
        </w:rPr>
        <w:t>SLB</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ind w:right="460"/>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35" w:lineRule="exact"/>
        <w:rPr>
          <w:sz w:val="24"/>
          <w:szCs w:val="24"/>
          <w:color w:val="auto"/>
        </w:rPr>
      </w:pPr>
    </w:p>
    <w:p>
      <w:pPr>
        <w:jc w:val="center"/>
        <w:ind w:right="460"/>
        <w:spacing w:after="0"/>
        <w:rPr>
          <w:sz w:val="20"/>
          <w:szCs w:val="20"/>
          <w:color w:val="auto"/>
        </w:rPr>
      </w:pPr>
      <w:r>
        <w:rPr>
          <w:rFonts w:ascii="Arial" w:cs="Arial" w:eastAsia="Arial" w:hAnsi="Arial"/>
          <w:sz w:val="14"/>
          <w:szCs w:val="14"/>
          <w:color w:val="auto"/>
        </w:rPr>
        <w:t>New York Stock Exchange</w:t>
      </w:r>
    </w:p>
    <w:p>
      <w:pPr>
        <w:spacing w:after="0" w:line="48" w:lineRule="exact"/>
        <w:rPr>
          <w:sz w:val="24"/>
          <w:szCs w:val="24"/>
          <w:color w:val="auto"/>
        </w:rPr>
      </w:pPr>
    </w:p>
    <w:p>
      <w:pPr>
        <w:sectPr>
          <w:pgSz w:w="11900" w:h="16838" w:orient="portrait"/>
          <w:cols w:equalWidth="0" w:num="3">
            <w:col w:w="4280" w:space="720"/>
            <w:col w:w="2020" w:space="720"/>
            <w:col w:w="3500"/>
          </w:cols>
          <w:pgMar w:left="320" w:top="508" w:right="339" w:bottom="1440" w:gutter="0" w:footer="0" w:header="0"/>
          <w:type w:val="continuous"/>
        </w:sectPr>
      </w:pPr>
    </w:p>
    <w:p>
      <w:pPr>
        <w:ind w:left="3420"/>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74" w:lineRule="exact"/>
        <w:rPr>
          <w:sz w:val="24"/>
          <w:szCs w:val="24"/>
          <w:color w:val="auto"/>
        </w:rPr>
      </w:pPr>
    </w:p>
    <w:p>
      <w:pPr>
        <w:ind w:right="3400"/>
        <w:spacing w:after="0" w:line="209" w:lineRule="exact"/>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 Y</w:t>
      </w:r>
      <w:r>
        <w:rPr>
          <w:rFonts w:ascii="Arial" w:cs="Arial" w:eastAsia="Arial" w:hAnsi="Arial"/>
          <w:sz w:val="9"/>
          <w:szCs w:val="9"/>
          <w:color w:val="auto"/>
        </w:rPr>
        <w:t>es</w:t>
      </w:r>
      <w:r>
        <w:rPr>
          <w:rFonts w:ascii="Arial" w:cs="Arial" w:eastAsia="Arial" w:hAnsi="Arial"/>
          <w:sz w:val="13"/>
          <w:szCs w:val="13"/>
          <w:color w:val="auto"/>
        </w:rPr>
        <w:t xml:space="preserve"> </w:t>
      </w:r>
      <w:r>
        <w:rPr>
          <w:rFonts w:ascii="MS PGothic" w:cs="MS PGothic" w:eastAsia="MS PGothic" w:hAnsi="MS PGothic"/>
          <w:sz w:val="13"/>
          <w:szCs w:val="13"/>
          <w:color w:val="auto"/>
        </w:rPr>
        <w:t>☑</w:t>
      </w:r>
      <w:r>
        <w:rPr>
          <w:rFonts w:ascii="Arial" w:cs="Arial" w:eastAsia="Arial" w:hAnsi="Arial"/>
          <w:sz w:val="13"/>
          <w:szCs w:val="13"/>
          <w:color w:val="auto"/>
        </w:rPr>
        <w:t xml:space="preserve"> N</w:t>
      </w:r>
      <w:r>
        <w:rPr>
          <w:rFonts w:ascii="Arial" w:cs="Arial" w:eastAsia="Arial" w:hAnsi="Arial"/>
          <w:sz w:val="9"/>
          <w:szCs w:val="9"/>
          <w:color w:val="auto"/>
        </w:rPr>
        <w:t>o</w:t>
      </w:r>
      <w:r>
        <w:rPr>
          <w:rFonts w:ascii="Arial" w:cs="Arial" w:eastAsia="Arial" w:hAnsi="Arial"/>
          <w:sz w:val="13"/>
          <w:szCs w:val="13"/>
          <w:color w:val="auto"/>
        </w:rPr>
        <w:t xml:space="preserve">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w:t>
      </w:r>
      <w:r>
        <w:rPr>
          <w:rFonts w:ascii="Arial" w:cs="Arial" w:eastAsia="Arial" w:hAnsi="Arial"/>
          <w:sz w:val="9"/>
          <w:szCs w:val="9"/>
          <w:color w:val="auto"/>
        </w:rPr>
        <w:t>es</w:t>
      </w:r>
      <w:r>
        <w:rPr>
          <w:rFonts w:ascii="Arial" w:cs="Arial" w:eastAsia="Arial" w:hAnsi="Arial"/>
          <w:sz w:val="13"/>
          <w:szCs w:val="13"/>
          <w:color w:val="auto"/>
        </w:rPr>
        <w:t xml:space="preserve"> </w:t>
      </w:r>
      <w:r>
        <w:rPr>
          <w:rFonts w:ascii="MS PGothic" w:cs="MS PGothic" w:eastAsia="MS PGothic" w:hAnsi="MS PGothic"/>
          <w:sz w:val="13"/>
          <w:szCs w:val="13"/>
          <w:color w:val="auto"/>
        </w:rPr>
        <w:t>☐</w:t>
      </w:r>
      <w:r>
        <w:rPr>
          <w:rFonts w:ascii="Arial" w:cs="Arial" w:eastAsia="Arial" w:hAnsi="Arial"/>
          <w:sz w:val="13"/>
          <w:szCs w:val="13"/>
          <w:color w:val="auto"/>
        </w:rPr>
        <w:t xml:space="preserve"> N</w:t>
      </w:r>
      <w:r>
        <w:rPr>
          <w:rFonts w:ascii="Arial" w:cs="Arial" w:eastAsia="Arial" w:hAnsi="Arial"/>
          <w:sz w:val="9"/>
          <w:szCs w:val="9"/>
          <w:color w:val="auto"/>
        </w:rPr>
        <w:t>o</w:t>
      </w:r>
      <w:r>
        <w:rPr>
          <w:rFonts w:ascii="Arial" w:cs="Arial" w:eastAsia="Arial" w:hAnsi="Arial"/>
          <w:sz w:val="13"/>
          <w:szCs w:val="13"/>
          <w:color w:val="auto"/>
        </w:rPr>
        <w:t xml:space="preserve">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-261620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right="120"/>
        <w:spacing w:after="0" w:line="131" w:lineRule="exact"/>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w:t>
      </w:r>
      <w:r>
        <w:rPr>
          <w:rFonts w:ascii="Arial" w:cs="Arial" w:eastAsia="Arial" w:hAnsi="Arial"/>
          <w:sz w:val="9"/>
          <w:szCs w:val="9"/>
          <w:color w:val="auto"/>
        </w:rPr>
        <w:t>es</w:t>
      </w:r>
      <w:r>
        <w:rPr>
          <w:rFonts w:ascii="Arial" w:cs="Arial" w:eastAsia="Arial" w:hAnsi="Arial"/>
          <w:sz w:val="13"/>
          <w:szCs w:val="13"/>
          <w:color w:val="auto"/>
        </w:rPr>
        <w:t xml:space="preserve"> </w:t>
      </w:r>
      <w:r>
        <w:rPr>
          <w:rFonts w:ascii="MS PGothic" w:cs="MS PGothic" w:eastAsia="MS PGothic" w:hAnsi="MS PGothic"/>
          <w:sz w:val="13"/>
          <w:szCs w:val="13"/>
          <w:color w:val="auto"/>
        </w:rPr>
        <w:t>☑</w:t>
      </w:r>
      <w:r>
        <w:rPr>
          <w:rFonts w:ascii="Arial" w:cs="Arial" w:eastAsia="Arial" w:hAnsi="Arial"/>
          <w:sz w:val="13"/>
          <w:szCs w:val="13"/>
          <w:color w:val="auto"/>
        </w:rPr>
        <w:t xml:space="preserve"> N</w:t>
      </w:r>
      <w:r>
        <w:rPr>
          <w:rFonts w:ascii="Arial" w:cs="Arial" w:eastAsia="Arial" w:hAnsi="Arial"/>
          <w:sz w:val="9"/>
          <w:szCs w:val="9"/>
          <w:color w:val="auto"/>
        </w:rPr>
        <w:t>o</w:t>
      </w:r>
      <w:r>
        <w:rPr>
          <w:rFonts w:ascii="MS PGothic" w:cs="MS PGothic" w:eastAsia="MS PGothic" w:hAnsi="MS PGothic"/>
          <w:sz w:val="13"/>
          <w:szCs w:val="13"/>
          <w:color w:val="auto"/>
        </w:rPr>
        <w:t>☐</w:t>
      </w:r>
    </w:p>
    <w:p>
      <w:pPr>
        <w:ind w:right="60"/>
        <w:spacing w:after="0" w:line="162" w:lineRule="exact"/>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w:t>
      </w:r>
      <w:r>
        <w:rPr>
          <w:rFonts w:ascii="Arial" w:cs="Arial" w:eastAsia="Arial" w:hAnsi="Arial"/>
          <w:sz w:val="9"/>
          <w:szCs w:val="9"/>
          <w:color w:val="auto"/>
        </w:rPr>
        <w:t>es</w:t>
      </w:r>
      <w:r>
        <w:rPr>
          <w:rFonts w:ascii="Arial" w:cs="Arial" w:eastAsia="Arial" w:hAnsi="Arial"/>
          <w:sz w:val="13"/>
          <w:szCs w:val="13"/>
          <w:color w:val="auto"/>
        </w:rPr>
        <w:t xml:space="preserve"> </w:t>
      </w:r>
      <w:r>
        <w:rPr>
          <w:rFonts w:ascii="MS PGothic" w:cs="MS PGothic" w:eastAsia="MS PGothic" w:hAnsi="MS PGothic"/>
          <w:sz w:val="13"/>
          <w:szCs w:val="13"/>
          <w:color w:val="auto"/>
        </w:rPr>
        <w:t>☑</w:t>
      </w:r>
      <w:r>
        <w:rPr>
          <w:rFonts w:ascii="Arial" w:cs="Arial" w:eastAsia="Arial" w:hAnsi="Arial"/>
          <w:sz w:val="13"/>
          <w:szCs w:val="13"/>
          <w:color w:val="auto"/>
        </w:rPr>
        <w:t xml:space="preserve"> N</w:t>
      </w:r>
      <w:r>
        <w:rPr>
          <w:rFonts w:ascii="Arial" w:cs="Arial" w:eastAsia="Arial" w:hAnsi="Arial"/>
          <w:sz w:val="9"/>
          <w:szCs w:val="9"/>
          <w:color w:val="auto"/>
        </w:rPr>
        <w:t>o</w:t>
      </w:r>
      <w:r>
        <w:rPr>
          <w:rFonts w:ascii="Arial" w:cs="Arial" w:eastAsia="Arial" w:hAnsi="Arial"/>
          <w:sz w:val="13"/>
          <w:szCs w:val="13"/>
          <w:color w:val="auto"/>
        </w:rPr>
        <w:t xml:space="preserve"> </w:t>
      </w:r>
      <w:r>
        <w:rPr>
          <w:rFonts w:ascii="MS PGothic" w:cs="MS PGothic" w:eastAsia="MS PGothic" w:hAnsi="MS PGothic"/>
          <w:sz w:val="13"/>
          <w:szCs w:val="13"/>
          <w:color w:val="auto"/>
        </w:rPr>
        <w:t>☐</w:t>
      </w:r>
    </w:p>
    <w:p>
      <w:pPr>
        <w:jc w:val="both"/>
        <w:spacing w:after="0" w:line="25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71"/>
        </w:trPr>
        <w:tc>
          <w:tcPr>
            <w:tcW w:w="19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56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ind w:left="3140"/>
              <w:spacing w:after="0"/>
              <w:rPr>
                <w:sz w:val="20"/>
                <w:szCs w:val="20"/>
                <w:color w:val="auto"/>
              </w:rPr>
            </w:pPr>
            <w:r>
              <w:rPr>
                <w:rFonts w:ascii="Arial" w:cs="Arial" w:eastAsia="Arial" w:hAnsi="Arial"/>
                <w:sz w:val="13"/>
                <w:szCs w:val="13"/>
                <w:color w:val="auto"/>
              </w:rPr>
              <w:t>Accelerated filer</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5"/>
        </w:trPr>
        <w:tc>
          <w:tcPr>
            <w:tcW w:w="1940" w:type="dxa"/>
            <w:vAlign w:val="bottom"/>
          </w:tcPr>
          <w:p>
            <w:pPr>
              <w:spacing w:after="0"/>
              <w:rPr>
                <w:sz w:val="20"/>
                <w:szCs w:val="20"/>
                <w:color w:val="auto"/>
              </w:rPr>
            </w:pPr>
            <w:r>
              <w:rPr>
                <w:rFonts w:ascii="Arial" w:cs="Arial" w:eastAsia="Arial" w:hAnsi="Arial"/>
                <w:sz w:val="13"/>
                <w:szCs w:val="13"/>
                <w:color w:val="auto"/>
              </w:rPr>
              <w:t>Non-accelerated filer</w:t>
            </w:r>
          </w:p>
        </w:tc>
        <w:tc>
          <w:tcPr>
            <w:tcW w:w="356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ind w:left="3140"/>
              <w:spacing w:after="0"/>
              <w:rPr>
                <w:sz w:val="20"/>
                <w:szCs w:val="20"/>
                <w:color w:val="auto"/>
              </w:rPr>
            </w:pPr>
            <w:r>
              <w:rPr>
                <w:rFonts w:ascii="Arial" w:cs="Arial" w:eastAsia="Arial" w:hAnsi="Arial"/>
                <w:sz w:val="13"/>
                <w:szCs w:val="13"/>
                <w:color w:val="auto"/>
              </w:rPr>
              <w:t>Smaller reporting company</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94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56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6" w:lineRule="exact"/>
        <w:rPr>
          <w:sz w:val="24"/>
          <w:szCs w:val="24"/>
          <w:color w:val="auto"/>
        </w:rPr>
      </w:pPr>
    </w:p>
    <w:p>
      <w:pPr>
        <w:ind w:right="280"/>
        <w:spacing w:after="0" w:line="155"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jc w:val="both"/>
        <w:spacing w:after="0" w:line="149"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300"/>
        <w:spacing w:after="0" w:line="149"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right="440"/>
        <w:spacing w:after="0" w:line="147"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As of June 30, 2023, the aggregate market value of the common stock of the registrant held by non-affiliates of the registrant was approximately $69.70 billion.</w:t>
      </w:r>
    </w:p>
    <w:p>
      <w:pPr>
        <w:spacing w:after="0"/>
        <w:rPr>
          <w:sz w:val="20"/>
          <w:szCs w:val="20"/>
          <w:color w:val="auto"/>
        </w:rPr>
      </w:pPr>
      <w:r>
        <w:rPr>
          <w:rFonts w:ascii="Arial" w:cs="Arial" w:eastAsia="Arial" w:hAnsi="Arial"/>
          <w:sz w:val="13"/>
          <w:szCs w:val="13"/>
          <w:color w:val="auto"/>
        </w:rPr>
        <w:t>As of December 31, 2023, the number of shares of common stock outstanding was 1,427,394,843.</w:t>
      </w:r>
    </w:p>
    <w:p>
      <w:pPr>
        <w:spacing w:after="0" w:line="26" w:lineRule="exact"/>
        <w:rPr>
          <w:sz w:val="24"/>
          <w:szCs w:val="24"/>
          <w:color w:val="auto"/>
        </w:rPr>
      </w:pPr>
    </w:p>
    <w:p>
      <w:pPr>
        <w:jc w:val="center"/>
        <w:ind w:right="40"/>
        <w:spacing w:after="0"/>
        <w:rPr>
          <w:sz w:val="20"/>
          <w:szCs w:val="20"/>
          <w:color w:val="auto"/>
        </w:rPr>
      </w:pPr>
      <w:r>
        <w:rPr>
          <w:rFonts w:ascii="Arial" w:cs="Arial" w:eastAsia="Arial" w:hAnsi="Arial"/>
          <w:sz w:val="13"/>
          <w:szCs w:val="13"/>
          <w:b w:val="1"/>
          <w:bCs w:val="1"/>
          <w:color w:val="auto"/>
        </w:rPr>
        <w:t>DOCUMENTS INCORPORATED BY REFERENCE</w:t>
      </w:r>
    </w:p>
    <w:p>
      <w:pPr>
        <w:spacing w:after="0" w:line="42" w:lineRule="exact"/>
        <w:rPr>
          <w:sz w:val="24"/>
          <w:szCs w:val="24"/>
          <w:color w:val="auto"/>
        </w:rPr>
      </w:pPr>
    </w:p>
    <w:p>
      <w:pPr>
        <w:jc w:val="both"/>
        <w:spacing w:after="0" w:line="259" w:lineRule="auto"/>
        <w:rPr>
          <w:sz w:val="20"/>
          <w:szCs w:val="20"/>
          <w:color w:val="auto"/>
        </w:rPr>
      </w:pPr>
      <w:r>
        <w:rPr>
          <w:rFonts w:ascii="Arial" w:cs="Arial" w:eastAsia="Arial" w:hAnsi="Arial"/>
          <w:sz w:val="13"/>
          <w:szCs w:val="13"/>
          <w:color w:val="auto"/>
        </w:rPr>
        <w:t>Certain information required to be furnished pursuant to Part III of this Form 10-K is set forth in, and is incorporated by reference from, the registrant’s definitive proxy statement for its 2024 Annual General Meeting of Shareholders, to be filed by the registrant with the Securities and Exchange Commission (“SEC”) pursuant to Regulation 14A within 120 days after December 31, 2023 (the “2024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656590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9"/>
        </w:trPr>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0" w:type="dxa"/>
            <w:vAlign w:val="bottom"/>
            <w:gridSpan w:val="9"/>
          </w:tcPr>
          <w:p>
            <w:pPr>
              <w:jc w:val="center"/>
              <w:ind w:right="3760"/>
              <w:spacing w:after="0"/>
              <w:rPr>
                <w:sz w:val="20"/>
                <w:szCs w:val="20"/>
                <w:color w:val="auto"/>
              </w:rPr>
            </w:pPr>
            <w:r>
              <w:rPr>
                <w:rFonts w:ascii="Arial" w:cs="Arial" w:eastAsia="Arial" w:hAnsi="Arial"/>
                <w:sz w:val="16"/>
                <w:szCs w:val="16"/>
                <w:b w:val="1"/>
                <w:bCs w:val="1"/>
                <w:color w:val="auto"/>
              </w:rPr>
              <w:t>SCHLUMBERGER LIMITED</w:t>
            </w:r>
          </w:p>
        </w:tc>
        <w:tc>
          <w:tcPr>
            <w:tcW w:w="640" w:type="dxa"/>
            <w:vAlign w:val="bottom"/>
          </w:tcPr>
          <w:p>
            <w:pPr>
              <w:spacing w:after="0"/>
              <w:rPr>
                <w:sz w:val="16"/>
                <w:szCs w:val="16"/>
                <w:color w:val="auto"/>
              </w:rPr>
            </w:pPr>
          </w:p>
        </w:tc>
      </w:tr>
      <w:tr>
        <w:trPr>
          <w:trHeight w:val="189"/>
        </w:trPr>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0" w:type="dxa"/>
            <w:vAlign w:val="bottom"/>
            <w:gridSpan w:val="9"/>
          </w:tcPr>
          <w:p>
            <w:pPr>
              <w:jc w:val="center"/>
              <w:ind w:right="3780"/>
              <w:spacing w:after="0"/>
              <w:rPr>
                <w:sz w:val="20"/>
                <w:szCs w:val="20"/>
                <w:color w:val="auto"/>
              </w:rPr>
            </w:pPr>
            <w:r>
              <w:rPr>
                <w:rFonts w:ascii="Arial" w:cs="Arial" w:eastAsia="Arial" w:hAnsi="Arial"/>
                <w:sz w:val="16"/>
                <w:szCs w:val="16"/>
                <w:color w:val="auto"/>
                <w:w w:val="99"/>
              </w:rPr>
              <w:t>Table of Contents</w:t>
            </w:r>
          </w:p>
        </w:tc>
        <w:tc>
          <w:tcPr>
            <w:tcW w:w="640" w:type="dxa"/>
            <w:vAlign w:val="bottom"/>
          </w:tcPr>
          <w:p>
            <w:pPr>
              <w:spacing w:after="0"/>
              <w:rPr>
                <w:sz w:val="16"/>
                <w:szCs w:val="16"/>
                <w:color w:val="auto"/>
              </w:rPr>
            </w:pPr>
          </w:p>
        </w:tc>
      </w:tr>
      <w:tr>
        <w:trPr>
          <w:trHeight w:val="215"/>
        </w:trPr>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60" w:type="dxa"/>
            <w:vAlign w:val="bottom"/>
            <w:gridSpan w:val="8"/>
          </w:tcPr>
          <w:p>
            <w:pPr>
              <w:jc w:val="center"/>
              <w:ind w:right="4540"/>
              <w:spacing w:after="0"/>
              <w:rPr>
                <w:sz w:val="20"/>
                <w:szCs w:val="20"/>
                <w:color w:val="auto"/>
              </w:rPr>
            </w:pPr>
            <w:r>
              <w:rPr>
                <w:rFonts w:ascii="Arial" w:cs="Arial" w:eastAsia="Arial" w:hAnsi="Arial"/>
                <w:sz w:val="16"/>
                <w:szCs w:val="16"/>
                <w:color w:val="auto"/>
              </w:rPr>
              <w:t>Form 10-K</w:t>
            </w:r>
          </w:p>
        </w:tc>
        <w:tc>
          <w:tcPr>
            <w:tcW w:w="640" w:type="dxa"/>
            <w:vAlign w:val="bottom"/>
          </w:tcPr>
          <w:p>
            <w:pPr>
              <w:spacing w:after="0"/>
              <w:rPr>
                <w:sz w:val="18"/>
                <w:szCs w:val="18"/>
                <w:color w:val="auto"/>
              </w:rPr>
            </w:pPr>
          </w:p>
        </w:tc>
      </w:tr>
      <w:tr>
        <w:trPr>
          <w:trHeight w:val="333"/>
        </w:trPr>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Page</w:t>
            </w:r>
          </w:p>
        </w:tc>
      </w:tr>
      <w:tr>
        <w:trPr>
          <w:trHeight w:val="384"/>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18"/>
        </w:trPr>
        <w:tc>
          <w:tcPr>
            <w:tcW w:w="1060" w:type="dxa"/>
            <w:vAlign w:val="bottom"/>
          </w:tcPr>
          <w:p>
            <w:pPr>
              <w:ind w:left="20"/>
              <w:spacing w:after="0"/>
              <w:rPr>
                <w:sz w:val="20"/>
                <w:szCs w:val="20"/>
                <w:color w:val="auto"/>
              </w:rPr>
            </w:pPr>
            <w:r>
              <w:rPr>
                <w:rFonts w:ascii="Arial" w:cs="Arial" w:eastAsia="Arial" w:hAnsi="Arial"/>
                <w:sz w:val="16"/>
                <w:szCs w:val="16"/>
                <w:color w:val="auto"/>
              </w:rPr>
              <w:t>Item 1.</w:t>
            </w:r>
          </w:p>
        </w:tc>
        <w:tc>
          <w:tcPr>
            <w:tcW w:w="9540" w:type="dxa"/>
            <w:vAlign w:val="bottom"/>
            <w:gridSpan w:val="23"/>
          </w:tcPr>
          <w:p>
            <w:pPr>
              <w:spacing w:after="0"/>
              <w:rPr>
                <w:sz w:val="20"/>
                <w:szCs w:val="20"/>
                <w:color w:val="auto"/>
              </w:rPr>
            </w:pPr>
            <w:r>
              <w:rPr>
                <w:rFonts w:ascii="Arial" w:cs="Arial" w:eastAsia="Arial" w:hAnsi="Arial"/>
                <w:sz w:val="16"/>
                <w:szCs w:val="16"/>
                <w:color w:val="0000FF"/>
              </w:rPr>
              <w:t>Business</w:t>
            </w:r>
          </w:p>
        </w:tc>
        <w:tc>
          <w:tcPr>
            <w:tcW w:w="6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1060" w:type="dxa"/>
            <w:vAlign w:val="bottom"/>
          </w:tcPr>
          <w:p>
            <w:pPr>
              <w:ind w:left="20"/>
              <w:spacing w:after="0"/>
              <w:rPr>
                <w:sz w:val="20"/>
                <w:szCs w:val="20"/>
                <w:color w:val="auto"/>
              </w:rPr>
            </w:pPr>
            <w:r>
              <w:rPr>
                <w:rFonts w:ascii="Arial" w:cs="Arial" w:eastAsia="Arial" w:hAnsi="Arial"/>
                <w:sz w:val="16"/>
                <w:szCs w:val="16"/>
                <w:color w:val="auto"/>
              </w:rPr>
              <w:t>Item 1A.</w:t>
            </w:r>
          </w:p>
        </w:tc>
        <w:tc>
          <w:tcPr>
            <w:tcW w:w="9540" w:type="dxa"/>
            <w:vAlign w:val="bottom"/>
            <w:gridSpan w:val="23"/>
          </w:tcPr>
          <w:p>
            <w:pPr>
              <w:spacing w:after="0"/>
              <w:rPr>
                <w:sz w:val="20"/>
                <w:szCs w:val="20"/>
                <w:color w:val="auto"/>
              </w:rPr>
            </w:pPr>
            <w:r>
              <w:rPr>
                <w:rFonts w:ascii="Arial" w:cs="Arial" w:eastAsia="Arial" w:hAnsi="Arial"/>
                <w:sz w:val="16"/>
                <w:szCs w:val="16"/>
                <w:color w:val="0000FF"/>
              </w:rPr>
              <w:t>Risk Factors</w:t>
            </w:r>
          </w:p>
        </w:tc>
        <w:tc>
          <w:tcPr>
            <w:tcW w:w="6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4"/>
        </w:trPr>
        <w:tc>
          <w:tcPr>
            <w:tcW w:w="1060" w:type="dxa"/>
            <w:vAlign w:val="bottom"/>
          </w:tcPr>
          <w:p>
            <w:pPr>
              <w:ind w:left="20"/>
              <w:spacing w:after="0"/>
              <w:rPr>
                <w:sz w:val="20"/>
                <w:szCs w:val="20"/>
                <w:color w:val="auto"/>
              </w:rPr>
            </w:pPr>
            <w:r>
              <w:rPr>
                <w:rFonts w:ascii="Arial" w:cs="Arial" w:eastAsia="Arial" w:hAnsi="Arial"/>
                <w:sz w:val="16"/>
                <w:szCs w:val="16"/>
                <w:color w:val="auto"/>
              </w:rPr>
              <w:t>Item 1B.</w:t>
            </w:r>
          </w:p>
        </w:tc>
        <w:tc>
          <w:tcPr>
            <w:tcW w:w="9540" w:type="dxa"/>
            <w:vAlign w:val="bottom"/>
            <w:gridSpan w:val="23"/>
          </w:tcPr>
          <w:p>
            <w:pPr>
              <w:spacing w:after="0"/>
              <w:rPr>
                <w:sz w:val="20"/>
                <w:szCs w:val="20"/>
                <w:color w:val="auto"/>
              </w:rPr>
            </w:pPr>
            <w:r>
              <w:rPr>
                <w:rFonts w:ascii="Arial" w:cs="Arial" w:eastAsia="Arial" w:hAnsi="Arial"/>
                <w:sz w:val="16"/>
                <w:szCs w:val="16"/>
                <w:color w:val="0000FF"/>
              </w:rPr>
              <w:t>Unresolved Staff Comments</w:t>
            </w:r>
          </w:p>
        </w:tc>
        <w:tc>
          <w:tcPr>
            <w:tcW w:w="6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5"/>
        </w:trPr>
        <w:tc>
          <w:tcPr>
            <w:tcW w:w="1060" w:type="dxa"/>
            <w:vAlign w:val="bottom"/>
          </w:tcPr>
          <w:p>
            <w:pPr>
              <w:ind w:left="20"/>
              <w:spacing w:after="0"/>
              <w:rPr>
                <w:sz w:val="20"/>
                <w:szCs w:val="20"/>
                <w:color w:val="auto"/>
              </w:rPr>
            </w:pPr>
            <w:r>
              <w:rPr>
                <w:rFonts w:ascii="Arial" w:cs="Arial" w:eastAsia="Arial" w:hAnsi="Arial"/>
                <w:sz w:val="16"/>
                <w:szCs w:val="16"/>
                <w:color w:val="auto"/>
              </w:rPr>
              <w:t>Item 1C.</w:t>
            </w:r>
          </w:p>
        </w:tc>
        <w:tc>
          <w:tcPr>
            <w:tcW w:w="9540" w:type="dxa"/>
            <w:vAlign w:val="bottom"/>
            <w:gridSpan w:val="23"/>
          </w:tcPr>
          <w:p>
            <w:pPr>
              <w:spacing w:after="0"/>
              <w:rPr>
                <w:sz w:val="20"/>
                <w:szCs w:val="20"/>
                <w:color w:val="auto"/>
              </w:rPr>
            </w:pPr>
            <w:r>
              <w:rPr>
                <w:rFonts w:ascii="Arial" w:cs="Arial" w:eastAsia="Arial" w:hAnsi="Arial"/>
                <w:sz w:val="16"/>
                <w:szCs w:val="16"/>
                <w:color w:val="0000FF"/>
              </w:rPr>
              <w:t>Cybersecurity</w:t>
            </w:r>
          </w:p>
        </w:tc>
        <w:tc>
          <w:tcPr>
            <w:tcW w:w="6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4"/>
        </w:trPr>
        <w:tc>
          <w:tcPr>
            <w:tcW w:w="1060" w:type="dxa"/>
            <w:vAlign w:val="bottom"/>
          </w:tcPr>
          <w:p>
            <w:pPr>
              <w:ind w:left="20"/>
              <w:spacing w:after="0"/>
              <w:rPr>
                <w:sz w:val="20"/>
                <w:szCs w:val="20"/>
                <w:color w:val="auto"/>
              </w:rPr>
            </w:pPr>
            <w:r>
              <w:rPr>
                <w:rFonts w:ascii="Arial" w:cs="Arial" w:eastAsia="Arial" w:hAnsi="Arial"/>
                <w:sz w:val="16"/>
                <w:szCs w:val="16"/>
                <w:color w:val="auto"/>
              </w:rPr>
              <w:t>Item 2.</w:t>
            </w:r>
          </w:p>
        </w:tc>
        <w:tc>
          <w:tcPr>
            <w:tcW w:w="9540" w:type="dxa"/>
            <w:vAlign w:val="bottom"/>
            <w:gridSpan w:val="23"/>
          </w:tcPr>
          <w:p>
            <w:pPr>
              <w:spacing w:after="0"/>
              <w:rPr>
                <w:sz w:val="20"/>
                <w:szCs w:val="20"/>
                <w:color w:val="auto"/>
              </w:rPr>
            </w:pPr>
            <w:r>
              <w:rPr>
                <w:rFonts w:ascii="Arial" w:cs="Arial" w:eastAsia="Arial" w:hAnsi="Arial"/>
                <w:sz w:val="16"/>
                <w:szCs w:val="16"/>
                <w:color w:val="0000FF"/>
              </w:rPr>
              <w:t>Properties</w:t>
            </w:r>
          </w:p>
        </w:tc>
        <w:tc>
          <w:tcPr>
            <w:tcW w:w="6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4"/>
        </w:trPr>
        <w:tc>
          <w:tcPr>
            <w:tcW w:w="1060" w:type="dxa"/>
            <w:vAlign w:val="bottom"/>
          </w:tcPr>
          <w:p>
            <w:pPr>
              <w:ind w:left="20"/>
              <w:spacing w:after="0"/>
              <w:rPr>
                <w:sz w:val="20"/>
                <w:szCs w:val="20"/>
                <w:color w:val="auto"/>
              </w:rPr>
            </w:pPr>
            <w:r>
              <w:rPr>
                <w:rFonts w:ascii="Arial" w:cs="Arial" w:eastAsia="Arial" w:hAnsi="Arial"/>
                <w:sz w:val="16"/>
                <w:szCs w:val="16"/>
                <w:color w:val="auto"/>
              </w:rPr>
              <w:t>Item 3.</w:t>
            </w:r>
          </w:p>
        </w:tc>
        <w:tc>
          <w:tcPr>
            <w:tcW w:w="9540" w:type="dxa"/>
            <w:vAlign w:val="bottom"/>
            <w:gridSpan w:val="23"/>
          </w:tcPr>
          <w:p>
            <w:pPr>
              <w:spacing w:after="0"/>
              <w:rPr>
                <w:sz w:val="20"/>
                <w:szCs w:val="20"/>
                <w:color w:val="auto"/>
              </w:rPr>
            </w:pPr>
            <w:r>
              <w:rPr>
                <w:rFonts w:ascii="Arial" w:cs="Arial" w:eastAsia="Arial" w:hAnsi="Arial"/>
                <w:sz w:val="16"/>
                <w:szCs w:val="16"/>
                <w:color w:val="0000FF"/>
              </w:rPr>
              <w:t>Legal Proceedings</w:t>
            </w:r>
          </w:p>
        </w:tc>
        <w:tc>
          <w:tcPr>
            <w:tcW w:w="6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5"/>
        </w:trPr>
        <w:tc>
          <w:tcPr>
            <w:tcW w:w="1060" w:type="dxa"/>
            <w:vAlign w:val="bottom"/>
          </w:tcPr>
          <w:p>
            <w:pPr>
              <w:ind w:left="20"/>
              <w:spacing w:after="0"/>
              <w:rPr>
                <w:sz w:val="20"/>
                <w:szCs w:val="20"/>
                <w:color w:val="auto"/>
              </w:rPr>
            </w:pPr>
            <w:r>
              <w:rPr>
                <w:rFonts w:ascii="Arial" w:cs="Arial" w:eastAsia="Arial" w:hAnsi="Arial"/>
                <w:sz w:val="16"/>
                <w:szCs w:val="16"/>
                <w:color w:val="auto"/>
              </w:rPr>
              <w:t>Item 4.</w:t>
            </w:r>
          </w:p>
        </w:tc>
        <w:tc>
          <w:tcPr>
            <w:tcW w:w="9540" w:type="dxa"/>
            <w:vAlign w:val="bottom"/>
            <w:gridSpan w:val="23"/>
          </w:tcPr>
          <w:p>
            <w:pPr>
              <w:spacing w:after="0"/>
              <w:rPr>
                <w:sz w:val="20"/>
                <w:szCs w:val="20"/>
                <w:color w:val="auto"/>
              </w:rPr>
            </w:pPr>
            <w:r>
              <w:rPr>
                <w:rFonts w:ascii="Arial" w:cs="Arial" w:eastAsia="Arial" w:hAnsi="Arial"/>
                <w:sz w:val="16"/>
                <w:szCs w:val="16"/>
                <w:color w:val="0000FF"/>
              </w:rPr>
              <w:t>Mine Safety Disclosures</w:t>
            </w:r>
          </w:p>
        </w:tc>
        <w:tc>
          <w:tcPr>
            <w:tcW w:w="6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91"/>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18"/>
        </w:trPr>
        <w:tc>
          <w:tcPr>
            <w:tcW w:w="1060" w:type="dxa"/>
            <w:vAlign w:val="bottom"/>
          </w:tcPr>
          <w:p>
            <w:pPr>
              <w:ind w:left="20"/>
              <w:spacing w:after="0"/>
              <w:rPr>
                <w:sz w:val="20"/>
                <w:szCs w:val="20"/>
                <w:color w:val="auto"/>
              </w:rPr>
            </w:pPr>
            <w:r>
              <w:rPr>
                <w:rFonts w:ascii="Arial" w:cs="Arial" w:eastAsia="Arial" w:hAnsi="Arial"/>
                <w:sz w:val="16"/>
                <w:szCs w:val="16"/>
                <w:color w:val="auto"/>
              </w:rPr>
              <w:t>Item 5.</w:t>
            </w:r>
          </w:p>
        </w:tc>
        <w:tc>
          <w:tcPr>
            <w:tcW w:w="9540" w:type="dxa"/>
            <w:vAlign w:val="bottom"/>
            <w:gridSpan w:val="23"/>
          </w:tcPr>
          <w:p>
            <w:pPr>
              <w:spacing w:after="0"/>
              <w:rPr>
                <w:sz w:val="20"/>
                <w:szCs w:val="20"/>
                <w:color w:val="auto"/>
              </w:rPr>
            </w:pPr>
            <w:r>
              <w:rPr>
                <w:rFonts w:ascii="Arial" w:cs="Arial" w:eastAsia="Arial" w:hAnsi="Arial"/>
                <w:sz w:val="16"/>
                <w:szCs w:val="16"/>
                <w:color w:val="0000FF"/>
              </w:rPr>
              <w:t>Market for Registrant’s Common Equity, Related Stockholder Matters and Issuer Purchases of Equity Securities</w:t>
            </w:r>
          </w:p>
        </w:tc>
        <w:tc>
          <w:tcPr>
            <w:tcW w:w="6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4"/>
        </w:trPr>
        <w:tc>
          <w:tcPr>
            <w:tcW w:w="1060" w:type="dxa"/>
            <w:vAlign w:val="bottom"/>
          </w:tcPr>
          <w:p>
            <w:pPr>
              <w:ind w:left="20"/>
              <w:spacing w:after="0"/>
              <w:rPr>
                <w:sz w:val="20"/>
                <w:szCs w:val="20"/>
                <w:color w:val="auto"/>
              </w:rPr>
            </w:pPr>
            <w:r>
              <w:rPr>
                <w:rFonts w:ascii="Arial" w:cs="Arial" w:eastAsia="Arial" w:hAnsi="Arial"/>
                <w:sz w:val="16"/>
                <w:szCs w:val="16"/>
                <w:color w:val="auto"/>
              </w:rPr>
              <w:t>Item 6.</w:t>
            </w:r>
          </w:p>
        </w:tc>
        <w:tc>
          <w:tcPr>
            <w:tcW w:w="9540" w:type="dxa"/>
            <w:vAlign w:val="bottom"/>
            <w:gridSpan w:val="23"/>
          </w:tcPr>
          <w:p>
            <w:pPr>
              <w:spacing w:after="0"/>
              <w:rPr>
                <w:sz w:val="20"/>
                <w:szCs w:val="20"/>
                <w:color w:val="auto"/>
              </w:rPr>
            </w:pPr>
            <w:r>
              <w:rPr>
                <w:rFonts w:ascii="Arial" w:cs="Arial" w:eastAsia="Arial" w:hAnsi="Arial"/>
                <w:sz w:val="16"/>
                <w:szCs w:val="16"/>
                <w:color w:val="0000FF"/>
              </w:rPr>
              <w:t>[Reserved]</w:t>
            </w:r>
          </w:p>
        </w:tc>
        <w:tc>
          <w:tcPr>
            <w:tcW w:w="6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80" w:type="dxa"/>
            <w:vAlign w:val="bottom"/>
            <w:tcBorders>
              <w:left w:val="single" w:sz="8" w:color="0000EE"/>
            </w:tcBorders>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4"/>
        </w:trPr>
        <w:tc>
          <w:tcPr>
            <w:tcW w:w="1060" w:type="dxa"/>
            <w:vAlign w:val="bottom"/>
          </w:tcPr>
          <w:p>
            <w:pPr>
              <w:ind w:left="20"/>
              <w:spacing w:after="0"/>
              <w:rPr>
                <w:sz w:val="20"/>
                <w:szCs w:val="20"/>
                <w:color w:val="auto"/>
              </w:rPr>
            </w:pPr>
            <w:r>
              <w:rPr>
                <w:rFonts w:ascii="Arial" w:cs="Arial" w:eastAsia="Arial" w:hAnsi="Arial"/>
                <w:sz w:val="16"/>
                <w:szCs w:val="16"/>
                <w:color w:val="auto"/>
              </w:rPr>
              <w:t>Item 7.</w:t>
            </w:r>
          </w:p>
        </w:tc>
        <w:tc>
          <w:tcPr>
            <w:tcW w:w="9540" w:type="dxa"/>
            <w:vAlign w:val="bottom"/>
            <w:gridSpan w:val="23"/>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6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5"/>
        </w:trPr>
        <w:tc>
          <w:tcPr>
            <w:tcW w:w="1060" w:type="dxa"/>
            <w:vAlign w:val="bottom"/>
          </w:tcPr>
          <w:p>
            <w:pPr>
              <w:ind w:left="20"/>
              <w:spacing w:after="0"/>
              <w:rPr>
                <w:sz w:val="20"/>
                <w:szCs w:val="20"/>
                <w:color w:val="auto"/>
              </w:rPr>
            </w:pPr>
            <w:r>
              <w:rPr>
                <w:rFonts w:ascii="Arial" w:cs="Arial" w:eastAsia="Arial" w:hAnsi="Arial"/>
                <w:sz w:val="16"/>
                <w:szCs w:val="16"/>
                <w:color w:val="auto"/>
              </w:rPr>
              <w:t>Item 7A.</w:t>
            </w:r>
          </w:p>
        </w:tc>
        <w:tc>
          <w:tcPr>
            <w:tcW w:w="9540" w:type="dxa"/>
            <w:vAlign w:val="bottom"/>
            <w:gridSpan w:val="23"/>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6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4"/>
        </w:trPr>
        <w:tc>
          <w:tcPr>
            <w:tcW w:w="1060" w:type="dxa"/>
            <w:vAlign w:val="bottom"/>
          </w:tcPr>
          <w:p>
            <w:pPr>
              <w:ind w:left="20"/>
              <w:spacing w:after="0"/>
              <w:rPr>
                <w:sz w:val="20"/>
                <w:szCs w:val="20"/>
                <w:color w:val="auto"/>
              </w:rPr>
            </w:pPr>
            <w:r>
              <w:rPr>
                <w:rFonts w:ascii="Arial" w:cs="Arial" w:eastAsia="Arial" w:hAnsi="Arial"/>
                <w:sz w:val="16"/>
                <w:szCs w:val="16"/>
                <w:color w:val="auto"/>
              </w:rPr>
              <w:t>Item 8.</w:t>
            </w:r>
          </w:p>
        </w:tc>
        <w:tc>
          <w:tcPr>
            <w:tcW w:w="9540" w:type="dxa"/>
            <w:vAlign w:val="bottom"/>
            <w:gridSpan w:val="23"/>
          </w:tcPr>
          <w:p>
            <w:pPr>
              <w:spacing w:after="0"/>
              <w:rPr>
                <w:sz w:val="20"/>
                <w:szCs w:val="20"/>
                <w:color w:val="auto"/>
              </w:rPr>
            </w:pPr>
            <w:r>
              <w:rPr>
                <w:rFonts w:ascii="Arial" w:cs="Arial" w:eastAsia="Arial" w:hAnsi="Arial"/>
                <w:sz w:val="16"/>
                <w:szCs w:val="16"/>
                <w:color w:val="0000FF"/>
              </w:rPr>
              <w:t>Financial Statements and Supplementary Data</w:t>
            </w:r>
          </w:p>
        </w:tc>
        <w:tc>
          <w:tcPr>
            <w:tcW w:w="6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5"/>
        </w:trPr>
        <w:tc>
          <w:tcPr>
            <w:tcW w:w="1060" w:type="dxa"/>
            <w:vAlign w:val="bottom"/>
          </w:tcPr>
          <w:p>
            <w:pPr>
              <w:ind w:left="20"/>
              <w:spacing w:after="0"/>
              <w:rPr>
                <w:sz w:val="20"/>
                <w:szCs w:val="20"/>
                <w:color w:val="auto"/>
              </w:rPr>
            </w:pPr>
            <w:r>
              <w:rPr>
                <w:rFonts w:ascii="Arial" w:cs="Arial" w:eastAsia="Arial" w:hAnsi="Arial"/>
                <w:sz w:val="16"/>
                <w:szCs w:val="16"/>
                <w:color w:val="auto"/>
              </w:rPr>
              <w:t>Item 9.</w:t>
            </w:r>
          </w:p>
        </w:tc>
        <w:tc>
          <w:tcPr>
            <w:tcW w:w="9540" w:type="dxa"/>
            <w:vAlign w:val="bottom"/>
            <w:gridSpan w:val="23"/>
          </w:tcPr>
          <w:p>
            <w:pPr>
              <w:spacing w:after="0"/>
              <w:rPr>
                <w:sz w:val="20"/>
                <w:szCs w:val="20"/>
                <w:color w:val="auto"/>
              </w:rPr>
            </w:pPr>
            <w:r>
              <w:rPr>
                <w:rFonts w:ascii="Arial" w:cs="Arial" w:eastAsia="Arial" w:hAnsi="Arial"/>
                <w:sz w:val="16"/>
                <w:szCs w:val="16"/>
                <w:color w:val="0000FF"/>
              </w:rPr>
              <w:t>Changes in and Disagreements with Accountants on Accounting and Financial Disclosure</w:t>
            </w:r>
          </w:p>
        </w:tc>
        <w:tc>
          <w:tcPr>
            <w:tcW w:w="64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4"/>
        </w:trPr>
        <w:tc>
          <w:tcPr>
            <w:tcW w:w="1060" w:type="dxa"/>
            <w:vAlign w:val="bottom"/>
          </w:tcPr>
          <w:p>
            <w:pPr>
              <w:ind w:left="20"/>
              <w:spacing w:after="0"/>
              <w:rPr>
                <w:sz w:val="20"/>
                <w:szCs w:val="20"/>
                <w:color w:val="auto"/>
              </w:rPr>
            </w:pPr>
            <w:r>
              <w:rPr>
                <w:rFonts w:ascii="Arial" w:cs="Arial" w:eastAsia="Arial" w:hAnsi="Arial"/>
                <w:sz w:val="16"/>
                <w:szCs w:val="16"/>
                <w:color w:val="auto"/>
              </w:rPr>
              <w:t>Item 9A.</w:t>
            </w:r>
          </w:p>
        </w:tc>
        <w:tc>
          <w:tcPr>
            <w:tcW w:w="9540" w:type="dxa"/>
            <w:vAlign w:val="bottom"/>
            <w:gridSpan w:val="23"/>
          </w:tcPr>
          <w:p>
            <w:pPr>
              <w:spacing w:after="0"/>
              <w:rPr>
                <w:sz w:val="20"/>
                <w:szCs w:val="20"/>
                <w:color w:val="auto"/>
              </w:rPr>
            </w:pPr>
            <w:r>
              <w:rPr>
                <w:rFonts w:ascii="Arial" w:cs="Arial" w:eastAsia="Arial" w:hAnsi="Arial"/>
                <w:sz w:val="16"/>
                <w:szCs w:val="16"/>
                <w:color w:val="0000FF"/>
              </w:rPr>
              <w:t>Controls and Procedures</w:t>
            </w:r>
          </w:p>
        </w:tc>
        <w:tc>
          <w:tcPr>
            <w:tcW w:w="64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5"/>
        </w:trPr>
        <w:tc>
          <w:tcPr>
            <w:tcW w:w="1060" w:type="dxa"/>
            <w:vAlign w:val="bottom"/>
          </w:tcPr>
          <w:p>
            <w:pPr>
              <w:ind w:left="20"/>
              <w:spacing w:after="0"/>
              <w:rPr>
                <w:sz w:val="20"/>
                <w:szCs w:val="20"/>
                <w:color w:val="auto"/>
              </w:rPr>
            </w:pPr>
            <w:r>
              <w:rPr>
                <w:rFonts w:ascii="Arial" w:cs="Arial" w:eastAsia="Arial" w:hAnsi="Arial"/>
                <w:sz w:val="16"/>
                <w:szCs w:val="16"/>
                <w:color w:val="auto"/>
              </w:rPr>
              <w:t>Item 9B.</w:t>
            </w:r>
          </w:p>
        </w:tc>
        <w:tc>
          <w:tcPr>
            <w:tcW w:w="9540" w:type="dxa"/>
            <w:vAlign w:val="bottom"/>
            <w:gridSpan w:val="23"/>
          </w:tcPr>
          <w:p>
            <w:pPr>
              <w:spacing w:after="0"/>
              <w:rPr>
                <w:sz w:val="20"/>
                <w:szCs w:val="20"/>
                <w:color w:val="auto"/>
              </w:rPr>
            </w:pPr>
            <w:r>
              <w:rPr>
                <w:rFonts w:ascii="Arial" w:cs="Arial" w:eastAsia="Arial" w:hAnsi="Arial"/>
                <w:sz w:val="16"/>
                <w:szCs w:val="16"/>
                <w:color w:val="0000FF"/>
              </w:rPr>
              <w:t>Other Information</w:t>
            </w:r>
          </w:p>
        </w:tc>
        <w:tc>
          <w:tcPr>
            <w:tcW w:w="64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5"/>
        </w:trPr>
        <w:tc>
          <w:tcPr>
            <w:tcW w:w="1060" w:type="dxa"/>
            <w:vAlign w:val="bottom"/>
          </w:tcPr>
          <w:p>
            <w:pPr>
              <w:ind w:left="20"/>
              <w:spacing w:after="0"/>
              <w:rPr>
                <w:sz w:val="20"/>
                <w:szCs w:val="20"/>
                <w:color w:val="auto"/>
              </w:rPr>
            </w:pPr>
            <w:r>
              <w:rPr>
                <w:rFonts w:ascii="Arial" w:cs="Arial" w:eastAsia="Arial" w:hAnsi="Arial"/>
                <w:sz w:val="16"/>
                <w:szCs w:val="16"/>
                <w:color w:val="auto"/>
              </w:rPr>
              <w:t>Item 9C.</w:t>
            </w:r>
          </w:p>
        </w:tc>
        <w:tc>
          <w:tcPr>
            <w:tcW w:w="9540" w:type="dxa"/>
            <w:vAlign w:val="bottom"/>
            <w:gridSpan w:val="23"/>
          </w:tcPr>
          <w:p>
            <w:pPr>
              <w:spacing w:after="0"/>
              <w:rPr>
                <w:sz w:val="20"/>
                <w:szCs w:val="20"/>
                <w:color w:val="auto"/>
              </w:rPr>
            </w:pPr>
            <w:r>
              <w:rPr>
                <w:rFonts w:ascii="Arial" w:cs="Arial" w:eastAsia="Arial" w:hAnsi="Arial"/>
                <w:sz w:val="16"/>
                <w:szCs w:val="16"/>
                <w:color w:val="0000FF"/>
              </w:rPr>
              <w:t>Disclosure Regarding Foreign Jurisdictions that Prevent Inspections</w:t>
            </w:r>
          </w:p>
        </w:tc>
        <w:tc>
          <w:tcPr>
            <w:tcW w:w="64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364"/>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18"/>
        </w:trPr>
        <w:tc>
          <w:tcPr>
            <w:tcW w:w="1060" w:type="dxa"/>
            <w:vAlign w:val="bottom"/>
          </w:tcPr>
          <w:p>
            <w:pPr>
              <w:ind w:left="20"/>
              <w:spacing w:after="0"/>
              <w:rPr>
                <w:sz w:val="20"/>
                <w:szCs w:val="20"/>
                <w:color w:val="auto"/>
              </w:rPr>
            </w:pPr>
            <w:r>
              <w:rPr>
                <w:rFonts w:ascii="Arial" w:cs="Arial" w:eastAsia="Arial" w:hAnsi="Arial"/>
                <w:sz w:val="16"/>
                <w:szCs w:val="16"/>
                <w:color w:val="auto"/>
              </w:rPr>
              <w:t>Item 10.</w:t>
            </w:r>
          </w:p>
        </w:tc>
        <w:tc>
          <w:tcPr>
            <w:tcW w:w="9540" w:type="dxa"/>
            <w:vAlign w:val="bottom"/>
            <w:gridSpan w:val="23"/>
          </w:tcPr>
          <w:p>
            <w:pPr>
              <w:spacing w:after="0"/>
              <w:rPr>
                <w:sz w:val="20"/>
                <w:szCs w:val="20"/>
                <w:color w:val="auto"/>
              </w:rPr>
            </w:pPr>
            <w:r>
              <w:rPr>
                <w:rFonts w:ascii="Arial" w:cs="Arial" w:eastAsia="Arial" w:hAnsi="Arial"/>
                <w:sz w:val="16"/>
                <w:szCs w:val="16"/>
                <w:color w:val="0000FF"/>
              </w:rPr>
              <w:t>Directors, Executive Officers and Corporate Governance</w:t>
            </w:r>
          </w:p>
        </w:tc>
        <w:tc>
          <w:tcPr>
            <w:tcW w:w="64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0"/>
        </w:trPr>
        <w:tc>
          <w:tcPr>
            <w:tcW w:w="1060" w:type="dxa"/>
            <w:vAlign w:val="bottom"/>
            <w:tcBorders>
              <w:right w:val="single" w:sz="8" w:color="0000FF"/>
            </w:tcBorders>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40" w:type="dxa"/>
            <w:vAlign w:val="bottom"/>
            <w:tcBorders>
              <w:left w:val="single" w:sz="8" w:color="0000EE"/>
            </w:tcBorders>
            <w:gridSpan w:val="5"/>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4"/>
        </w:trPr>
        <w:tc>
          <w:tcPr>
            <w:tcW w:w="1060" w:type="dxa"/>
            <w:vAlign w:val="bottom"/>
          </w:tcPr>
          <w:p>
            <w:pPr>
              <w:ind w:left="20"/>
              <w:spacing w:after="0"/>
              <w:rPr>
                <w:sz w:val="20"/>
                <w:szCs w:val="20"/>
                <w:color w:val="auto"/>
              </w:rPr>
            </w:pPr>
            <w:r>
              <w:rPr>
                <w:rFonts w:ascii="Arial" w:cs="Arial" w:eastAsia="Arial" w:hAnsi="Arial"/>
                <w:sz w:val="16"/>
                <w:szCs w:val="16"/>
                <w:color w:val="auto"/>
              </w:rPr>
              <w:t>Item 11.</w:t>
            </w:r>
          </w:p>
        </w:tc>
        <w:tc>
          <w:tcPr>
            <w:tcW w:w="9540" w:type="dxa"/>
            <w:vAlign w:val="bottom"/>
            <w:gridSpan w:val="23"/>
          </w:tcPr>
          <w:p>
            <w:pPr>
              <w:spacing w:after="0"/>
              <w:rPr>
                <w:sz w:val="20"/>
                <w:szCs w:val="20"/>
                <w:color w:val="auto"/>
              </w:rPr>
            </w:pPr>
            <w:r>
              <w:rPr>
                <w:rFonts w:ascii="Arial" w:cs="Arial" w:eastAsia="Arial" w:hAnsi="Arial"/>
                <w:sz w:val="16"/>
                <w:szCs w:val="16"/>
                <w:color w:val="0000FF"/>
              </w:rPr>
              <w:t>Executive Compensation</w:t>
            </w:r>
          </w:p>
        </w:tc>
        <w:tc>
          <w:tcPr>
            <w:tcW w:w="64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40" w:type="dxa"/>
            <w:vAlign w:val="bottom"/>
            <w:tcBorders>
              <w:left w:val="single" w:sz="8" w:color="0000FF"/>
            </w:tcBorders>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5"/>
        </w:trPr>
        <w:tc>
          <w:tcPr>
            <w:tcW w:w="1060" w:type="dxa"/>
            <w:vAlign w:val="bottom"/>
          </w:tcPr>
          <w:p>
            <w:pPr>
              <w:ind w:left="20"/>
              <w:spacing w:after="0"/>
              <w:rPr>
                <w:sz w:val="20"/>
                <w:szCs w:val="20"/>
                <w:color w:val="auto"/>
              </w:rPr>
            </w:pPr>
            <w:r>
              <w:rPr>
                <w:rFonts w:ascii="Arial" w:cs="Arial" w:eastAsia="Arial" w:hAnsi="Arial"/>
                <w:sz w:val="16"/>
                <w:szCs w:val="16"/>
                <w:color w:val="auto"/>
              </w:rPr>
              <w:t>Item 12.</w:t>
            </w:r>
          </w:p>
        </w:tc>
        <w:tc>
          <w:tcPr>
            <w:tcW w:w="9540" w:type="dxa"/>
            <w:vAlign w:val="bottom"/>
            <w:gridSpan w:val="23"/>
          </w:tcPr>
          <w:p>
            <w:pPr>
              <w:spacing w:after="0"/>
              <w:rPr>
                <w:sz w:val="20"/>
                <w:szCs w:val="20"/>
                <w:color w:val="auto"/>
              </w:rPr>
            </w:pPr>
            <w:r>
              <w:rPr>
                <w:rFonts w:ascii="Arial" w:cs="Arial" w:eastAsia="Arial" w:hAnsi="Arial"/>
                <w:sz w:val="16"/>
                <w:szCs w:val="16"/>
                <w:color w:val="0000FF"/>
              </w:rPr>
              <w:t>Security Ownership of Certain Beneficial Owners and Management and Related Stockholder Matters</w:t>
            </w:r>
          </w:p>
        </w:tc>
        <w:tc>
          <w:tcPr>
            <w:tcW w:w="64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40" w:type="dxa"/>
            <w:vAlign w:val="bottom"/>
            <w:tcBorders>
              <w:left w:val="single" w:sz="8" w:color="0000FF"/>
            </w:tcBorders>
            <w:gridSpan w:val="5"/>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5"/>
        </w:trPr>
        <w:tc>
          <w:tcPr>
            <w:tcW w:w="1060" w:type="dxa"/>
            <w:vAlign w:val="bottom"/>
          </w:tcPr>
          <w:p>
            <w:pPr>
              <w:ind w:left="20"/>
              <w:spacing w:after="0"/>
              <w:rPr>
                <w:sz w:val="20"/>
                <w:szCs w:val="20"/>
                <w:color w:val="auto"/>
              </w:rPr>
            </w:pPr>
            <w:r>
              <w:rPr>
                <w:rFonts w:ascii="Arial" w:cs="Arial" w:eastAsia="Arial" w:hAnsi="Arial"/>
                <w:sz w:val="16"/>
                <w:szCs w:val="16"/>
                <w:color w:val="auto"/>
              </w:rPr>
              <w:t>Item 13.</w:t>
            </w:r>
          </w:p>
        </w:tc>
        <w:tc>
          <w:tcPr>
            <w:tcW w:w="9540" w:type="dxa"/>
            <w:vAlign w:val="bottom"/>
            <w:gridSpan w:val="23"/>
          </w:tcPr>
          <w:p>
            <w:pPr>
              <w:spacing w:after="0"/>
              <w:rPr>
                <w:sz w:val="20"/>
                <w:szCs w:val="20"/>
                <w:color w:val="auto"/>
              </w:rPr>
            </w:pPr>
            <w:r>
              <w:rPr>
                <w:rFonts w:ascii="Arial" w:cs="Arial" w:eastAsia="Arial" w:hAnsi="Arial"/>
                <w:sz w:val="16"/>
                <w:szCs w:val="16"/>
                <w:color w:val="0000FF"/>
              </w:rPr>
              <w:t>Certain Relationships and Related Transactions, and Director Independence</w:t>
            </w:r>
          </w:p>
        </w:tc>
        <w:tc>
          <w:tcPr>
            <w:tcW w:w="64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40" w:type="dxa"/>
            <w:vAlign w:val="bottom"/>
            <w:tcBorders>
              <w:left w:val="single" w:sz="8" w:color="0000FF"/>
            </w:tcBorders>
            <w:gridSpan w:val="5"/>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5"/>
        </w:trPr>
        <w:tc>
          <w:tcPr>
            <w:tcW w:w="1060" w:type="dxa"/>
            <w:vAlign w:val="bottom"/>
          </w:tcPr>
          <w:p>
            <w:pPr>
              <w:ind w:left="20"/>
              <w:spacing w:after="0"/>
              <w:rPr>
                <w:sz w:val="20"/>
                <w:szCs w:val="20"/>
                <w:color w:val="auto"/>
              </w:rPr>
            </w:pPr>
            <w:r>
              <w:rPr>
                <w:rFonts w:ascii="Arial" w:cs="Arial" w:eastAsia="Arial" w:hAnsi="Arial"/>
                <w:sz w:val="16"/>
                <w:szCs w:val="16"/>
                <w:color w:val="auto"/>
              </w:rPr>
              <w:t>Item 14.</w:t>
            </w:r>
          </w:p>
        </w:tc>
        <w:tc>
          <w:tcPr>
            <w:tcW w:w="9540" w:type="dxa"/>
            <w:vAlign w:val="bottom"/>
            <w:gridSpan w:val="23"/>
          </w:tcPr>
          <w:p>
            <w:pPr>
              <w:spacing w:after="0"/>
              <w:rPr>
                <w:sz w:val="20"/>
                <w:szCs w:val="20"/>
                <w:color w:val="auto"/>
              </w:rPr>
            </w:pPr>
            <w:r>
              <w:rPr>
                <w:rFonts w:ascii="Arial" w:cs="Arial" w:eastAsia="Arial" w:hAnsi="Arial"/>
                <w:sz w:val="16"/>
                <w:szCs w:val="16"/>
                <w:color w:val="0000FF"/>
              </w:rPr>
              <w:t>Principal Accounting Fees and Services</w:t>
            </w:r>
          </w:p>
        </w:tc>
        <w:tc>
          <w:tcPr>
            <w:tcW w:w="64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391"/>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PART IV</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18"/>
        </w:trPr>
        <w:tc>
          <w:tcPr>
            <w:tcW w:w="1060" w:type="dxa"/>
            <w:vAlign w:val="bottom"/>
          </w:tcPr>
          <w:p>
            <w:pPr>
              <w:ind w:left="20"/>
              <w:spacing w:after="0"/>
              <w:rPr>
                <w:sz w:val="20"/>
                <w:szCs w:val="20"/>
                <w:color w:val="auto"/>
              </w:rPr>
            </w:pPr>
            <w:r>
              <w:rPr>
                <w:rFonts w:ascii="Arial" w:cs="Arial" w:eastAsia="Arial" w:hAnsi="Arial"/>
                <w:sz w:val="16"/>
                <w:szCs w:val="16"/>
                <w:color w:val="auto"/>
              </w:rPr>
              <w:t>Item 15.</w:t>
            </w:r>
          </w:p>
        </w:tc>
        <w:tc>
          <w:tcPr>
            <w:tcW w:w="9540" w:type="dxa"/>
            <w:vAlign w:val="bottom"/>
            <w:gridSpan w:val="23"/>
          </w:tcPr>
          <w:p>
            <w:pPr>
              <w:spacing w:after="0"/>
              <w:rPr>
                <w:sz w:val="20"/>
                <w:szCs w:val="20"/>
                <w:color w:val="auto"/>
              </w:rPr>
            </w:pPr>
            <w:r>
              <w:rPr>
                <w:rFonts w:ascii="Arial" w:cs="Arial" w:eastAsia="Arial" w:hAnsi="Arial"/>
                <w:sz w:val="16"/>
                <w:szCs w:val="16"/>
                <w:color w:val="0000FF"/>
              </w:rPr>
              <w:t>Exhibits and Financial Statement Schedules</w:t>
            </w:r>
          </w:p>
        </w:tc>
        <w:tc>
          <w:tcPr>
            <w:tcW w:w="64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40" w:type="dxa"/>
            <w:vAlign w:val="bottom"/>
            <w:tcBorders>
              <w:left w:val="single" w:sz="8" w:color="0000FF"/>
            </w:tcBorders>
            <w:gridSpan w:val="5"/>
            <w:shd w:val="clear" w:color="auto" w:fill="0000FF"/>
          </w:tcPr>
          <w:p>
            <w:pPr>
              <w:spacing w:after="0" w:line="20" w:lineRule="exact"/>
              <w:rPr>
                <w:sz w:val="1"/>
                <w:szCs w:val="1"/>
                <w:color w:val="auto"/>
              </w:rPr>
            </w:pPr>
          </w:p>
        </w:tc>
        <w:tc>
          <w:tcPr>
            <w:tcW w:w="1640" w:type="dxa"/>
            <w:vAlign w:val="bottom"/>
            <w:gridSpan w:val="5"/>
            <w:shd w:val="clear" w:color="auto" w:fill="0000FF"/>
          </w:tcPr>
          <w:p>
            <w:pPr>
              <w:spacing w:after="0" w:line="20" w:lineRule="exact"/>
              <w:rPr>
                <w:sz w:val="1"/>
                <w:szCs w:val="1"/>
                <w:color w:val="auto"/>
              </w:rPr>
            </w:pPr>
          </w:p>
        </w:tc>
        <w:tc>
          <w:tcPr>
            <w:tcW w:w="6400" w:type="dxa"/>
            <w:vAlign w:val="bottom"/>
            <w:gridSpan w:val="1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5"/>
        </w:trPr>
        <w:tc>
          <w:tcPr>
            <w:tcW w:w="1060" w:type="dxa"/>
            <w:vAlign w:val="bottom"/>
          </w:tcPr>
          <w:p>
            <w:pPr>
              <w:ind w:left="20"/>
              <w:spacing w:after="0"/>
              <w:rPr>
                <w:sz w:val="20"/>
                <w:szCs w:val="20"/>
                <w:color w:val="auto"/>
              </w:rPr>
            </w:pPr>
            <w:r>
              <w:rPr>
                <w:rFonts w:ascii="Arial" w:cs="Arial" w:eastAsia="Arial" w:hAnsi="Arial"/>
                <w:sz w:val="16"/>
                <w:szCs w:val="16"/>
                <w:color w:val="auto"/>
              </w:rPr>
              <w:t>Item 16.</w:t>
            </w:r>
          </w:p>
        </w:tc>
        <w:tc>
          <w:tcPr>
            <w:tcW w:w="9540" w:type="dxa"/>
            <w:vAlign w:val="bottom"/>
            <w:gridSpan w:val="23"/>
          </w:tcPr>
          <w:p>
            <w:pPr>
              <w:spacing w:after="0"/>
              <w:rPr>
                <w:sz w:val="20"/>
                <w:szCs w:val="20"/>
                <w:color w:val="auto"/>
              </w:rPr>
            </w:pPr>
            <w:r>
              <w:rPr>
                <w:rFonts w:ascii="Arial" w:cs="Arial" w:eastAsia="Arial" w:hAnsi="Arial"/>
                <w:sz w:val="16"/>
                <w:szCs w:val="16"/>
                <w:color w:val="0000FF"/>
              </w:rPr>
              <w:t>Form 10-K Summary</w:t>
            </w:r>
          </w:p>
        </w:tc>
        <w:tc>
          <w:tcPr>
            <w:tcW w:w="64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40" w:type="dxa"/>
            <w:vAlign w:val="bottom"/>
            <w:tcBorders>
              <w:left w:val="single" w:sz="8" w:color="0000FF"/>
            </w:tcBorders>
            <w:gridSpan w:val="5"/>
            <w:shd w:val="clear" w:color="auto" w:fill="0000FF"/>
          </w:tcPr>
          <w:p>
            <w:pPr>
              <w:spacing w:after="0" w:line="20" w:lineRule="exact"/>
              <w:rPr>
                <w:sz w:val="1"/>
                <w:szCs w:val="1"/>
                <w:color w:val="auto"/>
              </w:rPr>
            </w:pPr>
          </w:p>
        </w:tc>
        <w:tc>
          <w:tcPr>
            <w:tcW w:w="8040" w:type="dxa"/>
            <w:vAlign w:val="bottom"/>
            <w:gridSpan w:val="1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4"/>
        </w:trPr>
        <w:tc>
          <w:tcPr>
            <w:tcW w:w="1060" w:type="dxa"/>
            <w:vAlign w:val="bottom"/>
          </w:tcPr>
          <w:p>
            <w:pPr>
              <w:spacing w:after="0"/>
              <w:rPr>
                <w:sz w:val="24"/>
                <w:szCs w:val="24"/>
                <w:color w:val="auto"/>
              </w:rPr>
            </w:pPr>
          </w:p>
        </w:tc>
        <w:tc>
          <w:tcPr>
            <w:tcW w:w="9540" w:type="dxa"/>
            <w:vAlign w:val="bottom"/>
            <w:gridSpan w:val="23"/>
          </w:tcPr>
          <w:p>
            <w:pPr>
              <w:spacing w:after="0"/>
              <w:rPr>
                <w:sz w:val="20"/>
                <w:szCs w:val="20"/>
                <w:color w:val="auto"/>
              </w:rPr>
            </w:pPr>
            <w:r>
              <w:rPr>
                <w:rFonts w:ascii="Arial" w:cs="Arial" w:eastAsia="Arial" w:hAnsi="Arial"/>
                <w:sz w:val="16"/>
                <w:szCs w:val="16"/>
                <w:color w:val="0000FF"/>
              </w:rPr>
              <w:t>Signatures</w:t>
            </w:r>
          </w:p>
        </w:tc>
        <w:tc>
          <w:tcPr>
            <w:tcW w:w="64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780" w:type="dxa"/>
            <w:vAlign w:val="bottom"/>
            <w:gridSpan w:val="2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83"/>
        </w:trPr>
        <w:tc>
          <w:tcPr>
            <w:tcW w:w="1060" w:type="dxa"/>
            <w:vAlign w:val="bottom"/>
          </w:tcPr>
          <w:p>
            <w:pPr>
              <w:spacing w:after="0"/>
              <w:rPr>
                <w:sz w:val="24"/>
                <w:szCs w:val="24"/>
                <w:color w:val="auto"/>
              </w:rPr>
            </w:pPr>
          </w:p>
        </w:tc>
        <w:tc>
          <w:tcPr>
            <w:tcW w:w="9540" w:type="dxa"/>
            <w:vAlign w:val="bottom"/>
            <w:gridSpan w:val="23"/>
          </w:tcPr>
          <w:p>
            <w:pPr>
              <w:spacing w:after="0"/>
              <w:rPr>
                <w:sz w:val="20"/>
                <w:szCs w:val="20"/>
                <w:color w:val="auto"/>
              </w:rPr>
            </w:pPr>
            <w:r>
              <w:rPr>
                <w:rFonts w:ascii="Arial" w:cs="Arial" w:eastAsia="Arial" w:hAnsi="Arial"/>
                <w:sz w:val="16"/>
                <w:szCs w:val="16"/>
                <w:color w:val="auto"/>
              </w:rPr>
              <w:t>Certifications</w:t>
            </w:r>
          </w:p>
        </w:tc>
        <w:tc>
          <w:tcPr>
            <w:tcW w:w="640" w:type="dxa"/>
            <w:vAlign w:val="bottom"/>
          </w:tcPr>
          <w:p>
            <w:pPr>
              <w:spacing w:after="0"/>
              <w:rPr>
                <w:sz w:val="24"/>
                <w:szCs w:val="24"/>
                <w:color w:val="auto"/>
              </w:rPr>
            </w:pPr>
          </w:p>
        </w:tc>
      </w:tr>
      <w:tr>
        <w:trPr>
          <w:trHeight w:val="634"/>
        </w:trPr>
        <w:tc>
          <w:tcPr>
            <w:tcW w:w="1060" w:type="dxa"/>
            <w:vAlign w:val="bottom"/>
          </w:tcPr>
          <w:p>
            <w:pPr>
              <w:spacing w:after="0"/>
              <w:rPr>
                <w:sz w:val="24"/>
                <w:szCs w:val="24"/>
                <w:color w:val="auto"/>
              </w:rPr>
            </w:pPr>
          </w:p>
        </w:tc>
        <w:tc>
          <w:tcPr>
            <w:tcW w:w="4840" w:type="dxa"/>
            <w:vAlign w:val="bottom"/>
            <w:gridSpan w:val="17"/>
          </w:tcPr>
          <w:p>
            <w:pPr>
              <w:jc w:val="center"/>
              <w:ind w:left="4199"/>
              <w:spacing w:after="0"/>
              <w:rPr>
                <w:sz w:val="20"/>
                <w:szCs w:val="20"/>
                <w:color w:val="auto"/>
              </w:rPr>
            </w:pPr>
            <w:r>
              <w:rPr>
                <w:rFonts w:ascii="Arial" w:cs="Arial" w:eastAsia="Arial" w:hAnsi="Arial"/>
                <w:sz w:val="16"/>
                <w:szCs w:val="16"/>
                <w:color w:val="auto"/>
                <w:w w:val="89"/>
              </w:rPr>
              <w:t>2</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643"/>
        </w:trPr>
        <w:tc>
          <w:tcPr>
            <w:tcW w:w="10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auto"/>
        </w:rPr>
        <w:t>PART 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 Business.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All references in this report to “Registrant,” “Company,” “SLB,” “we” or “our” are to Schlumberger Limited (Schlumberger N.V.) and its consolidated subsidiaries.</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are SLB, a global technology company driving energy innovation for a balanced planet. With a global presence in more than 100 countries and employees representing almost twice as many nationalities, we work each day on innovating energy technology, delivering digital at scale, decarbonizing industries, and developing and scaling new energy systems that accelerate the energy transition.</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Today, the world faces the challenge of providing secure and affordable energy to meet growing demand, while rapidly decarbonizing for a sustainable future. With nearly a century of market and technology leadership, SLB is well positioned and committed to being a leader in providing solutions to address this trilemma.</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October 2022, we changed our brand name to SLB and unveiled a new logo that underscores our vision for a decarbonized energy future. This bold change highlighted our leadership as a global technology company focused on driving energy innovation within traditional energy sources and beyond. The SLB brand builds on nearly a century of technology innovation and industrialization. Our identity symbolizes SLB's commitment to moving farther and faster in facilitating the world's energy needs today and forging the road ahead for a sustainable future.</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SLB is organized under four Divisions that combine and integrate SLB’s technologies, enhancing our ability to support the emerging long-term growth opportunities in each of these market segments. The four Divisions are:</w:t>
      </w:r>
    </w:p>
    <w:p>
      <w:pPr>
        <w:spacing w:after="0" w:line="48"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Digital &amp; Integration</w:t>
      </w:r>
    </w:p>
    <w:p>
      <w:pPr>
        <w:spacing w:after="0" w:line="29"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Reservoir Performance</w:t>
      </w:r>
    </w:p>
    <w:p>
      <w:pPr>
        <w:spacing w:after="0" w:line="17"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Well Construction</w:t>
      </w:r>
    </w:p>
    <w:p>
      <w:pPr>
        <w:spacing w:after="0" w:line="17"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Production Systems</w:t>
      </w:r>
    </w:p>
    <w:p>
      <w:pPr>
        <w:spacing w:after="0" w:line="19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Digital &amp; Integration </w:t>
      </w:r>
      <w:r>
        <w:rPr>
          <w:rFonts w:ascii="Arial" w:cs="Arial" w:eastAsia="Arial" w:hAnsi="Arial"/>
          <w:sz w:val="16"/>
          <w:szCs w:val="16"/>
          <w:color w:val="auto"/>
        </w:rPr>
        <w:t>– Combines SLB’s industry-leading digital solutions and data products with its integrated offering of Asset Performance Solutions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(“APS”). This Division enables greater performance for our customers by reducing cycle times and risk, accelerating returns, increasing productivity, and lowering costs and carbon emissions.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primary offerings comprising this Division are:</w:t>
      </w:r>
    </w:p>
    <w:p>
      <w:pPr>
        <w:spacing w:after="0" w:line="194" w:lineRule="exact"/>
        <w:rPr>
          <w:sz w:val="20"/>
          <w:szCs w:val="20"/>
          <w:color w:val="auto"/>
        </w:rPr>
      </w:pPr>
    </w:p>
    <w:p>
      <w:pPr>
        <w:jc w:val="both"/>
        <w:ind w:left="1020" w:hanging="503"/>
        <w:spacing w:after="0" w:line="250" w:lineRule="auto"/>
        <w:tabs>
          <w:tab w:leader="none" w:pos="10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Digital solutions: </w:t>
      </w:r>
      <w:r>
        <w:rPr>
          <w:rFonts w:ascii="Arial" w:cs="Arial" w:eastAsia="Arial" w:hAnsi="Arial"/>
          <w:sz w:val="16"/>
          <w:szCs w:val="16"/>
          <w:color w:val="auto"/>
        </w:rPr>
        <w:t>Includes products, services, and solutions that span the energy value chain from subsurface characterization through field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and hydrocarbon production to carbon management and the integration of adjacent energy systems. Offerings are founded upon proprietary and open-source data platform technologies, industry-leading simulators and workflow tools, and include domain-specific application of innovative digital capabilities, such as artificial intelligence and machine learning. Solutions are deployable on traditional on-premise IT infrastructures, the cloud, and the edge, allowing for full market coverage irrespective of customer constraints.</w:t>
      </w:r>
    </w:p>
    <w:p>
      <w:pPr>
        <w:spacing w:after="0" w:line="2" w:lineRule="exact"/>
        <w:rPr>
          <w:rFonts w:ascii="Times New Roman" w:cs="Times New Roman" w:eastAsia="Times New Roman" w:hAnsi="Times New Roman"/>
          <w:sz w:val="16"/>
          <w:szCs w:val="16"/>
          <w:color w:val="auto"/>
        </w:rPr>
      </w:pPr>
    </w:p>
    <w:p>
      <w:pPr>
        <w:jc w:val="both"/>
        <w:ind w:left="1020" w:hanging="503"/>
        <w:spacing w:after="0" w:line="246" w:lineRule="auto"/>
        <w:tabs>
          <w:tab w:leader="none" w:pos="10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Exploration data and data processing: </w:t>
      </w:r>
      <w:r>
        <w:rPr>
          <w:rFonts w:ascii="Arial" w:cs="Arial" w:eastAsia="Arial" w:hAnsi="Arial"/>
          <w:sz w:val="16"/>
          <w:szCs w:val="16"/>
          <w:color w:val="auto"/>
        </w:rPr>
        <w:t>Provides comprehensive worldwide reservoir interpretation and data processing services, enabled by a</w:t>
      </w:r>
      <w:r>
        <w:rPr>
          <w:rFonts w:ascii="Arial" w:cs="Arial" w:eastAsia="Arial" w:hAnsi="Arial"/>
          <w:sz w:val="16"/>
          <w:szCs w:val="16"/>
          <w:i w:val="1"/>
          <w:iCs w:val="1"/>
          <w:color w:val="auto"/>
        </w:rPr>
        <w:t xml:space="preserve"> </w:t>
      </w:r>
      <w:r>
        <w:rPr>
          <w:rFonts w:ascii="Arial" w:cs="Arial" w:eastAsia="Arial" w:hAnsi="Arial"/>
          <w:sz w:val="16"/>
          <w:szCs w:val="16"/>
          <w:color w:val="auto"/>
        </w:rPr>
        <w:t>scientifically advanced platform and innovative subsurface imaging techniques for exploration data, and includes one of the industry’s most extensive exploration data libraries.</w:t>
      </w:r>
    </w:p>
    <w:p>
      <w:pPr>
        <w:jc w:val="both"/>
        <w:ind w:left="1020" w:hanging="503"/>
        <w:spacing w:after="0" w:line="252" w:lineRule="auto"/>
        <w:tabs>
          <w:tab w:leader="none" w:pos="10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Asset Performance Solutions: </w:t>
      </w:r>
      <w:r>
        <w:rPr>
          <w:rFonts w:ascii="Arial" w:cs="Arial" w:eastAsia="Arial" w:hAnsi="Arial"/>
          <w:sz w:val="16"/>
          <w:szCs w:val="16"/>
          <w:color w:val="auto"/>
        </w:rPr>
        <w:t>Offers an integrated business model for field production projects. Combines SLB’s services and products with</w:t>
      </w:r>
      <w:r>
        <w:rPr>
          <w:rFonts w:ascii="Arial" w:cs="Arial" w:eastAsia="Arial" w:hAnsi="Arial"/>
          <w:sz w:val="16"/>
          <w:szCs w:val="16"/>
          <w:i w:val="1"/>
          <w:iCs w:val="1"/>
          <w:color w:val="auto"/>
        </w:rPr>
        <w:t xml:space="preserve"> </w:t>
      </w:r>
      <w:r>
        <w:rPr>
          <w:rFonts w:ascii="Arial" w:cs="Arial" w:eastAsia="Arial" w:hAnsi="Arial"/>
          <w:sz w:val="16"/>
          <w:szCs w:val="16"/>
          <w:color w:val="auto"/>
        </w:rPr>
        <w:t>drilling rig management and specialized engineering and project management expertise, to provide a complete solution from well construction to production improvement. As of December 31, 2023, SLB’s APS portfolio primarily consisted of three field production projects in Ecuador and one in Canada.</w:t>
      </w:r>
    </w:p>
    <w:p>
      <w:pPr>
        <w:spacing w:after="0" w:line="15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Reservoir Performance </w:t>
      </w:r>
      <w:r>
        <w:rPr>
          <w:rFonts w:ascii="Arial" w:cs="Arial" w:eastAsia="Arial" w:hAnsi="Arial"/>
          <w:sz w:val="16"/>
          <w:szCs w:val="16"/>
          <w:color w:val="auto"/>
        </w:rPr>
        <w:t>– Consists of reservoir-centric technologies and services that are critical to optimizing reservoir productivity and performance.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Reservoir Performance develops and deploys innovative technologies and services to evaluate, intervene, and stimulate reservoirs providing customers with greater insights into their assets and maximizing their return on investment.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primary offerings comprising this Division are:</w:t>
      </w:r>
    </w:p>
    <w:p>
      <w:pPr>
        <w:spacing w:after="0" w:line="194" w:lineRule="exact"/>
        <w:rPr>
          <w:sz w:val="20"/>
          <w:szCs w:val="20"/>
          <w:color w:val="auto"/>
        </w:rPr>
      </w:pPr>
    </w:p>
    <w:p>
      <w:pPr>
        <w:ind w:left="1020" w:right="20" w:hanging="503"/>
        <w:spacing w:after="0" w:line="256" w:lineRule="auto"/>
        <w:tabs>
          <w:tab w:leader="none" w:pos="102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Wireline: </w:t>
      </w:r>
      <w:r>
        <w:rPr>
          <w:rFonts w:ascii="Arial" w:cs="Arial" w:eastAsia="Arial" w:hAnsi="Arial"/>
          <w:sz w:val="16"/>
          <w:szCs w:val="16"/>
          <w:color w:val="auto"/>
        </w:rPr>
        <w:t>Provides the information necessary to evaluate subsurface geology and fluids to plan and monitor well construction and to monitor</w:t>
      </w:r>
      <w:r>
        <w:rPr>
          <w:rFonts w:ascii="Arial" w:cs="Arial" w:eastAsia="Arial" w:hAnsi="Arial"/>
          <w:sz w:val="16"/>
          <w:szCs w:val="16"/>
          <w:i w:val="1"/>
          <w:iCs w:val="1"/>
          <w:color w:val="auto"/>
        </w:rPr>
        <w:t xml:space="preserve"> </w:t>
      </w:r>
      <w:r>
        <w:rPr>
          <w:rFonts w:ascii="Arial" w:cs="Arial" w:eastAsia="Arial" w:hAnsi="Arial"/>
          <w:sz w:val="16"/>
          <w:szCs w:val="16"/>
          <w:color w:val="auto"/>
        </w:rPr>
        <w:t>and evaluate well production through both openhole and cased hole services, including wireline logging and perforating.</w:t>
      </w:r>
    </w:p>
    <w:p>
      <w:pPr>
        <w:ind w:left="1020" w:right="20" w:hanging="503"/>
        <w:spacing w:after="0" w:line="246" w:lineRule="auto"/>
        <w:tabs>
          <w:tab w:leader="none" w:pos="102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Testing: </w:t>
      </w:r>
      <w:r>
        <w:rPr>
          <w:rFonts w:ascii="Arial" w:cs="Arial" w:eastAsia="Arial" w:hAnsi="Arial"/>
          <w:sz w:val="16"/>
          <w:szCs w:val="16"/>
          <w:color w:val="auto"/>
        </w:rPr>
        <w:t>Provides exploration and production pressure and flow-rate measurement services both at the surface and downhole supported by a</w:t>
      </w:r>
      <w:r>
        <w:rPr>
          <w:rFonts w:ascii="Arial" w:cs="Arial" w:eastAsia="Arial" w:hAnsi="Arial"/>
          <w:sz w:val="16"/>
          <w:szCs w:val="16"/>
          <w:i w:val="1"/>
          <w:iCs w:val="1"/>
          <w:color w:val="auto"/>
        </w:rPr>
        <w:t xml:space="preserve"> </w:t>
      </w:r>
      <w:r>
        <w:rPr>
          <w:rFonts w:ascii="Arial" w:cs="Arial" w:eastAsia="Arial" w:hAnsi="Arial"/>
          <w:sz w:val="16"/>
          <w:szCs w:val="16"/>
          <w:color w:val="auto"/>
        </w:rPr>
        <w:t>network of laboratories that facilitate rock and fluid characterization.</w:t>
      </w:r>
    </w:p>
    <w:p>
      <w:pPr>
        <w:jc w:val="both"/>
        <w:ind w:left="1020" w:hanging="503"/>
        <w:spacing w:after="0" w:line="255" w:lineRule="auto"/>
        <w:tabs>
          <w:tab w:leader="none" w:pos="102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Stimulation and Intervention</w:t>
      </w:r>
      <w:r>
        <w:rPr>
          <w:rFonts w:ascii="Arial" w:cs="Arial" w:eastAsia="Arial" w:hAnsi="Arial"/>
          <w:sz w:val="16"/>
          <w:szCs w:val="16"/>
          <w:color w:val="auto"/>
        </w:rPr>
        <w:t>: Provides services used during well completions, as well as those used to maintain optimal production throughout</w:t>
      </w:r>
      <w:r>
        <w:rPr>
          <w:rFonts w:ascii="Arial" w:cs="Arial" w:eastAsia="Arial" w:hAnsi="Arial"/>
          <w:sz w:val="16"/>
          <w:szCs w:val="16"/>
          <w:i w:val="1"/>
          <w:iCs w:val="1"/>
          <w:color w:val="auto"/>
        </w:rPr>
        <w:t xml:space="preserve"> </w:t>
      </w:r>
      <w:r>
        <w:rPr>
          <w:rFonts w:ascii="Arial" w:cs="Arial" w:eastAsia="Arial" w:hAnsi="Arial"/>
          <w:sz w:val="16"/>
          <w:szCs w:val="16"/>
          <w:color w:val="auto"/>
        </w:rPr>
        <w:t>the life of a well, including pressure pumping, well stimulation, and coiled tubing equipment for downhole mechanical well intervention and coiled-tubing drilling, reservoir monitoring, and downhole data acquisition.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Well Construction </w:t>
      </w:r>
      <w:r>
        <w:rPr>
          <w:rFonts w:ascii="Arial" w:cs="Arial" w:eastAsia="Arial" w:hAnsi="Arial"/>
          <w:sz w:val="16"/>
          <w:szCs w:val="16"/>
          <w:color w:val="auto"/>
        </w:rPr>
        <w:t>– Combines the full portfolio of products and services to optimize well placement and performance, maximize drilling efficiency,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improve wellbore assurance. Well Construction provides operators and drilling rig manufacturers with services and products related to designing and constructing a well.</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primary offerings comprising this Division are:</w:t>
      </w:r>
    </w:p>
    <w:p>
      <w:pPr>
        <w:spacing w:after="0" w:line="113" w:lineRule="exact"/>
        <w:rPr>
          <w:sz w:val="20"/>
          <w:szCs w:val="20"/>
          <w:color w:val="auto"/>
        </w:rPr>
      </w:pPr>
    </w:p>
    <w:p>
      <w:pPr>
        <w:ind w:left="1020" w:right="20" w:hanging="503"/>
        <w:spacing w:after="0" w:line="256"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Drilling &amp; Measurements: </w:t>
      </w:r>
      <w:r>
        <w:rPr>
          <w:rFonts w:ascii="Arial" w:cs="Arial" w:eastAsia="Arial" w:hAnsi="Arial"/>
          <w:sz w:val="16"/>
          <w:szCs w:val="16"/>
          <w:color w:val="auto"/>
        </w:rPr>
        <w:t>Provides mud logging services for geological and drilling surveillance, directional drilling, measurement-while-drilling,</w:t>
      </w:r>
      <w:r>
        <w:rPr>
          <w:rFonts w:ascii="Arial" w:cs="Arial" w:eastAsia="Arial" w:hAnsi="Arial"/>
          <w:sz w:val="16"/>
          <w:szCs w:val="16"/>
          <w:i w:val="1"/>
          <w:iCs w:val="1"/>
          <w:color w:val="auto"/>
        </w:rPr>
        <w:t xml:space="preserve"> </w:t>
      </w:r>
      <w:r>
        <w:rPr>
          <w:rFonts w:ascii="Arial" w:cs="Arial" w:eastAsia="Arial" w:hAnsi="Arial"/>
          <w:sz w:val="16"/>
          <w:szCs w:val="16"/>
          <w:color w:val="auto"/>
        </w:rPr>
        <w:t>and logging-while-drilling services for all well profiles as well as engineering support.</w:t>
      </w:r>
    </w:p>
    <w:p>
      <w:pPr>
        <w:ind w:left="1020" w:right="20" w:hanging="503"/>
        <w:spacing w:after="0" w:line="246"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Drilling Fluids: </w:t>
      </w:r>
      <w:r>
        <w:rPr>
          <w:rFonts w:ascii="Arial" w:cs="Arial" w:eastAsia="Arial" w:hAnsi="Arial"/>
          <w:sz w:val="16"/>
          <w:szCs w:val="16"/>
          <w:color w:val="auto"/>
        </w:rPr>
        <w:t>Supplies individually engineered drilling fluid systems that improve drilling performance and maintain well control and wellbore</w:t>
      </w:r>
      <w:r>
        <w:rPr>
          <w:rFonts w:ascii="Arial" w:cs="Arial" w:eastAsia="Arial" w:hAnsi="Arial"/>
          <w:sz w:val="16"/>
          <w:szCs w:val="16"/>
          <w:i w:val="1"/>
          <w:iCs w:val="1"/>
          <w:color w:val="auto"/>
        </w:rPr>
        <w:t xml:space="preserve"> </w:t>
      </w:r>
      <w:r>
        <w:rPr>
          <w:rFonts w:ascii="Arial" w:cs="Arial" w:eastAsia="Arial" w:hAnsi="Arial"/>
          <w:sz w:val="16"/>
          <w:szCs w:val="16"/>
          <w:color w:val="auto"/>
        </w:rPr>
        <w:t>stability throughout drilling operations.</w:t>
      </w:r>
    </w:p>
    <w:p>
      <w:pPr>
        <w:ind w:left="1020" w:hanging="503"/>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Drill Bits: </w:t>
      </w:r>
      <w:r>
        <w:rPr>
          <w:rFonts w:ascii="Arial" w:cs="Arial" w:eastAsia="Arial" w:hAnsi="Arial"/>
          <w:sz w:val="16"/>
          <w:szCs w:val="16"/>
          <w:color w:val="auto"/>
        </w:rPr>
        <w:t>Designs, manufactures, and markets roller cone and fixed cutter drill bits for all drilling environments.</w:t>
      </w:r>
    </w:p>
    <w:p>
      <w:pPr>
        <w:spacing w:after="0" w:line="13"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Drilling Tools</w:t>
      </w:r>
      <w:r>
        <w:rPr>
          <w:rFonts w:ascii="Arial" w:cs="Arial" w:eastAsia="Arial" w:hAnsi="Arial"/>
          <w:sz w:val="16"/>
          <w:szCs w:val="16"/>
          <w:color w:val="auto"/>
        </w:rPr>
        <w:t>: Includes a wide variety of bottomhole assembly and borehole enlargement technologies for drilling operations.</w:t>
      </w:r>
    </w:p>
    <w:p>
      <w:pPr>
        <w:spacing w:after="0" w:line="17" w:lineRule="exact"/>
        <w:rPr>
          <w:rFonts w:ascii="Times New Roman" w:cs="Times New Roman" w:eastAsia="Times New Roman" w:hAnsi="Times New Roman"/>
          <w:sz w:val="16"/>
          <w:szCs w:val="16"/>
          <w:color w:val="auto"/>
        </w:rPr>
      </w:pPr>
    </w:p>
    <w:p>
      <w:pPr>
        <w:ind w:left="1020" w:hanging="503"/>
        <w:spacing w:after="0" w:line="248"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Well Cementing</w:t>
      </w:r>
      <w:r>
        <w:rPr>
          <w:rFonts w:ascii="Arial" w:cs="Arial" w:eastAsia="Arial" w:hAnsi="Arial"/>
          <w:sz w:val="16"/>
          <w:szCs w:val="16"/>
          <w:color w:val="auto"/>
        </w:rPr>
        <w:t>: Provides products and services that secure and protect well casings while isolating fluid zones and maximizing wellbore</w:t>
      </w:r>
      <w:r>
        <w:rPr>
          <w:rFonts w:ascii="Arial" w:cs="Arial" w:eastAsia="Arial" w:hAnsi="Arial"/>
          <w:sz w:val="16"/>
          <w:szCs w:val="16"/>
          <w:i w:val="1"/>
          <w:iCs w:val="1"/>
          <w:color w:val="auto"/>
        </w:rPr>
        <w:t xml:space="preserve"> </w:t>
      </w:r>
      <w:r>
        <w:rPr>
          <w:rFonts w:ascii="Arial" w:cs="Arial" w:eastAsia="Arial" w:hAnsi="Arial"/>
          <w:sz w:val="16"/>
          <w:szCs w:val="16"/>
          <w:color w:val="auto"/>
        </w:rPr>
        <w:t>activity.</w:t>
      </w:r>
    </w:p>
    <w:p>
      <w:pPr>
        <w:ind w:left="1020" w:hanging="503"/>
        <w:spacing w:after="0" w:line="246"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Integrated Well Construction: </w:t>
      </w:r>
      <w:r>
        <w:rPr>
          <w:rFonts w:ascii="Arial" w:cs="Arial" w:eastAsia="Arial" w:hAnsi="Arial"/>
          <w:sz w:val="16"/>
          <w:szCs w:val="16"/>
          <w:color w:val="auto"/>
        </w:rPr>
        <w:t>Provides integrated solutions to construct or change the architecture (re-entry) of wells, including well planning,</w:t>
      </w:r>
      <w:r>
        <w:rPr>
          <w:rFonts w:ascii="Arial" w:cs="Arial" w:eastAsia="Arial" w:hAnsi="Arial"/>
          <w:sz w:val="16"/>
          <w:szCs w:val="16"/>
          <w:i w:val="1"/>
          <w:iCs w:val="1"/>
          <w:color w:val="auto"/>
        </w:rPr>
        <w:t xml:space="preserve"> </w:t>
      </w:r>
      <w:r>
        <w:rPr>
          <w:rFonts w:ascii="Arial" w:cs="Arial" w:eastAsia="Arial" w:hAnsi="Arial"/>
          <w:sz w:val="16"/>
          <w:szCs w:val="16"/>
          <w:color w:val="auto"/>
        </w:rPr>
        <w:t>well drilling, engineering, supervision, logistics, procurement and contracting of third parties, and drilling rig management.</w:t>
      </w:r>
    </w:p>
    <w:p>
      <w:pPr>
        <w:ind w:left="1020" w:right="20" w:hanging="503"/>
        <w:spacing w:after="0" w:line="264" w:lineRule="auto"/>
        <w:tabs>
          <w:tab w:leader="none" w:pos="102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Rigs and Equipment</w:t>
      </w:r>
      <w:r>
        <w:rPr>
          <w:rFonts w:ascii="Arial" w:cs="Arial" w:eastAsia="Arial" w:hAnsi="Arial"/>
          <w:sz w:val="16"/>
          <w:szCs w:val="16"/>
          <w:color w:val="auto"/>
        </w:rPr>
        <w:t>: Provides drilling equipment, including pressure control equipment and rotary drilling equipment, and services for</w:t>
      </w:r>
      <w:r>
        <w:rPr>
          <w:rFonts w:ascii="Arial" w:cs="Arial" w:eastAsia="Arial" w:hAnsi="Arial"/>
          <w:sz w:val="16"/>
          <w:szCs w:val="16"/>
          <w:i w:val="1"/>
          <w:iCs w:val="1"/>
          <w:color w:val="auto"/>
        </w:rPr>
        <w:t xml:space="preserve"> </w:t>
      </w:r>
      <w:r>
        <w:rPr>
          <w:rFonts w:ascii="Arial" w:cs="Arial" w:eastAsia="Arial" w:hAnsi="Arial"/>
          <w:sz w:val="16"/>
          <w:szCs w:val="16"/>
          <w:color w:val="auto"/>
        </w:rPr>
        <w:t>shipyards, drilling contractors, operators, and rental tool companies, as well as land drilling rigs and related services.</w:t>
      </w:r>
    </w:p>
    <w:p>
      <w:pPr>
        <w:spacing w:after="0" w:line="14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Production Systems </w:t>
      </w:r>
      <w:r>
        <w:rPr>
          <w:rFonts w:ascii="Arial" w:cs="Arial" w:eastAsia="Arial" w:hAnsi="Arial"/>
          <w:sz w:val="16"/>
          <w:szCs w:val="16"/>
          <w:color w:val="auto"/>
        </w:rPr>
        <w:t>– Develops technologies and provides expertise that enhance production and recovery from subsurface reservoirs to the surface,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pipelines, and to refineries. Production Systems provides a comprehensive portfolio of equipment and services including subsurface production systems, subsea and surface equipment and services, and midstream production systems.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primary offerings comprising this Division are:</w:t>
      </w:r>
    </w:p>
    <w:p>
      <w:pPr>
        <w:spacing w:after="0" w:line="194" w:lineRule="exact"/>
        <w:rPr>
          <w:sz w:val="20"/>
          <w:szCs w:val="20"/>
          <w:color w:val="auto"/>
        </w:rPr>
      </w:pPr>
    </w:p>
    <w:p>
      <w:pPr>
        <w:ind w:left="1020" w:right="20" w:hanging="503"/>
        <w:spacing w:after="0" w:line="256"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Artificial Lift: </w:t>
      </w:r>
      <w:r>
        <w:rPr>
          <w:rFonts w:ascii="Arial" w:cs="Arial" w:eastAsia="Arial" w:hAnsi="Arial"/>
          <w:sz w:val="16"/>
          <w:szCs w:val="16"/>
          <w:color w:val="auto"/>
        </w:rPr>
        <w:t>Provides production equipment and optimization services using electrical submersible pumps, gas lift equipment, progressing</w:t>
      </w:r>
      <w:r>
        <w:rPr>
          <w:rFonts w:ascii="Arial" w:cs="Arial" w:eastAsia="Arial" w:hAnsi="Arial"/>
          <w:sz w:val="16"/>
          <w:szCs w:val="16"/>
          <w:i w:val="1"/>
          <w:iCs w:val="1"/>
          <w:color w:val="auto"/>
        </w:rPr>
        <w:t xml:space="preserve"> </w:t>
      </w:r>
      <w:r>
        <w:rPr>
          <w:rFonts w:ascii="Arial" w:cs="Arial" w:eastAsia="Arial" w:hAnsi="Arial"/>
          <w:sz w:val="16"/>
          <w:szCs w:val="16"/>
          <w:color w:val="auto"/>
        </w:rPr>
        <w:t>cavity pumps, and surface horizontal pumping systems.</w:t>
      </w:r>
    </w:p>
    <w:p>
      <w:pPr>
        <w:ind w:left="1020" w:hanging="503"/>
        <w:spacing w:after="0" w:line="246"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Completions Equipment: </w:t>
      </w:r>
      <w:r>
        <w:rPr>
          <w:rFonts w:ascii="Arial" w:cs="Arial" w:eastAsia="Arial" w:hAnsi="Arial"/>
          <w:sz w:val="16"/>
          <w:szCs w:val="16"/>
          <w:color w:val="auto"/>
        </w:rPr>
        <w:t>Supplies well completion services and equipment that include packers, safety valves, and sand control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as well as a range of intelligent well completions technology and equipment.</w:t>
      </w:r>
    </w:p>
    <w:p>
      <w:pPr>
        <w:ind w:left="1020" w:right="20" w:hanging="503"/>
        <w:spacing w:after="0" w:line="246"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Surface: </w:t>
      </w:r>
      <w:r>
        <w:rPr>
          <w:rFonts w:ascii="Arial" w:cs="Arial" w:eastAsia="Arial" w:hAnsi="Arial"/>
          <w:sz w:val="16"/>
          <w:szCs w:val="16"/>
          <w:color w:val="auto"/>
        </w:rPr>
        <w:t>Designs and manufactures onshore and offshore platform wellhead systems and processing solutions, including valves, chokes,</w:t>
      </w:r>
      <w:r>
        <w:rPr>
          <w:rFonts w:ascii="Arial" w:cs="Arial" w:eastAsia="Arial" w:hAnsi="Arial"/>
          <w:sz w:val="16"/>
          <w:szCs w:val="16"/>
          <w:i w:val="1"/>
          <w:iCs w:val="1"/>
          <w:color w:val="auto"/>
        </w:rPr>
        <w:t xml:space="preserve"> </w:t>
      </w:r>
      <w:r>
        <w:rPr>
          <w:rFonts w:ascii="Arial" w:cs="Arial" w:eastAsia="Arial" w:hAnsi="Arial"/>
          <w:sz w:val="16"/>
          <w:szCs w:val="16"/>
          <w:color w:val="auto"/>
        </w:rPr>
        <w:t>actuators, and surface trees, and provides services to operators.</w:t>
      </w:r>
    </w:p>
    <w:p>
      <w:pPr>
        <w:jc w:val="both"/>
        <w:ind w:left="1020" w:hanging="503"/>
        <w:spacing w:after="0" w:line="246"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Valves: </w:t>
      </w:r>
      <w:r>
        <w:rPr>
          <w:rFonts w:ascii="Arial" w:cs="Arial" w:eastAsia="Arial" w:hAnsi="Arial"/>
          <w:sz w:val="16"/>
          <w:szCs w:val="16"/>
          <w:color w:val="auto"/>
        </w:rPr>
        <w:t>Serves portions of the upstream, midstream, and downstream markets and provides valve products that are primarily used to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and direct the flow of hydrocarbons as they are moved from wellheads through flow lines, gathering lines, and transmission systems to refineries, petrochemical plants, and industrial centers for processing.</w:t>
      </w:r>
    </w:p>
    <w:p>
      <w:pPr>
        <w:jc w:val="both"/>
        <w:ind w:left="1020" w:hanging="503"/>
        <w:spacing w:after="0" w:line="246"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Processing: </w:t>
      </w:r>
      <w:r>
        <w:rPr>
          <w:rFonts w:ascii="Arial" w:cs="Arial" w:eastAsia="Arial" w:hAnsi="Arial"/>
          <w:sz w:val="16"/>
          <w:szCs w:val="16"/>
          <w:color w:val="auto"/>
        </w:rPr>
        <w:t>Enables efficient monetization of subsurface assets using standard and custom-designed onshore, offshore, and downstream</w:t>
      </w:r>
      <w:r>
        <w:rPr>
          <w:rFonts w:ascii="Arial" w:cs="Arial" w:eastAsia="Arial" w:hAnsi="Arial"/>
          <w:sz w:val="16"/>
          <w:szCs w:val="16"/>
          <w:i w:val="1"/>
          <w:iCs w:val="1"/>
          <w:color w:val="auto"/>
        </w:rPr>
        <w:t xml:space="preserve"> </w:t>
      </w:r>
      <w:r>
        <w:rPr>
          <w:rFonts w:ascii="Arial" w:cs="Arial" w:eastAsia="Arial" w:hAnsi="Arial"/>
          <w:sz w:val="16"/>
          <w:szCs w:val="16"/>
          <w:color w:val="auto"/>
        </w:rPr>
        <w:t>processing and treatment systems, as well as unique, reservoir-driven, fit-for-purpose integrated production systems for accelerating first production and maximizing project economics.</w:t>
      </w:r>
    </w:p>
    <w:p>
      <w:pPr>
        <w:jc w:val="both"/>
        <w:ind w:left="1020" w:hanging="503"/>
        <w:spacing w:after="0" w:line="255"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OneSubsea</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integrated solutions, products, systems, and services for the subsea market, including integrated subsea production</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involving wellheads, subsea trees, manifolds and flowline connectors, control systems, connectors and services designed to maximize reservoir recovery and extend the life of each field.</w:t>
      </w:r>
    </w:p>
    <w:p>
      <w:pPr>
        <w:spacing w:after="0" w:line="152" w:lineRule="exact"/>
        <w:rPr>
          <w:rFonts w:ascii="Times New Roman" w:cs="Times New Roman" w:eastAsia="Times New Roman" w:hAnsi="Times New Roman"/>
          <w:sz w:val="16"/>
          <w:szCs w:val="16"/>
          <w:color w:val="auto"/>
        </w:rPr>
      </w:pPr>
    </w:p>
    <w:p>
      <w:pPr>
        <w:jc w:val="both"/>
        <w:ind w:left="1020"/>
        <w:spacing w:after="0" w:line="253" w:lineRule="auto"/>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On October 2, 2023, SLB, Aker Solutions (“Aker”), and Subsea7 closed their previously announced joint venture. The new business, OneSubsea, will drive innovation and efficiency in subsea production by helping customers unlock reserves and reduce cycle time. OneSubsea now comprises SLB’s and Aker’s subsea businesses, which include an extensive complementary subsea production and processing technology portfolio, world-class manufacturing scale and capacity, access to industry-leading reservoir and digital domain expertise, unique pore-to-process integration capabilities, and strengthened research and development capabilities. SLB owns 70% of the joint venture, while Aker owns 20% and Subsea7 owns 10%. As the majority owner and controlling entity, SLB is considered the acquirer and reflects OneSubsea as a consolidated subsidiary in its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SLB's four Divisions operate through a geographical structure of four Basins that are aligned with critical concentrations of activity: Americas Land, Offshore Atlantic, Middle East &amp; North Africa, and Asia. The Basins are configured around common regional characteristics that enable us to deploy fit-for-purpose technologies, operating models, and skills to meet the specific customer needs in each Basin. The Basins are further organized into GeoUnits, which can be a region, a single country, or made up of several countries. With a strong focus on customers, the Basins identify opportunities for growth, and are focused on agility, responsiveness, and competitiveness.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Supporting the Divisions is a global network of research and development centers. Through these centers we advance SLB’s technology programs to enhance industry efficiency, lower finding and producing costs, improve productivity, maximize reserve recovery, and increase asset value safely, securely, and sustainably. These centers also support SLB's New Energy investments in lower carbon energy sources and carbon capture technologies.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Corporate Strategy</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evolving marketplace will require bold new technologies and ideas, digital transformation and a deep commitment to sustainability. With a balanced energy transition in mind, our strategy is focused on three engines of growth: Core, Digital and New Energy.</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Core</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Consisting of our Reservoir Performance, WeIl Construction and Production Systems Divisions, Core remains SLB’s largest engine of growth. Building on decades of technology advancement, we will continue innovating new products, services and technologies that make the exploration, development and production of oil and gas assets cleaner, more resilient, and more efficient, with lower carbon emissions and less impact on the environment.</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continue to build on our fit-for-basin approach and technology access initiatives, developing bespoke and custom technology tailored to the regions and environments in which we operate. This strategy allows us to address the rapid evolution of our industry into more regional markets, each with distinct resource plays and economics.</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With the continued growth of digitally enabled technologies that improve efficiency and performance, including our Transition Technologies™ portfolio and our SLB End-to-end Emissions Solutions (SEES) methane elimination business, SLB provides solutions that enable customers to increase production from their reserves at a competitive cost and at a lower carbon intensity per barrel equivalent.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Digital</w:t>
      </w:r>
    </w:p>
    <w:p>
      <w:pPr>
        <w:spacing w:after="0" w:line="11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Digital capabilities continue to grow throughout the energy industry as a key element of the complex systems required to meet current energy demand and to harness the promise of a lower-carbon future. SLB is uniquely positioned to support customers on their digital journeys by managing data migration, workflow redesign, and transition to the cloud.</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SLB’s customers have access to leading digital products and services that help to meet their sustainability goals by driving transparency, better measurement, more effective planning, and more impactful and reliable outcomes. To continue elevating customer offerings, we are accelerating the adoption of our proprietary cloud offering Delfi™, enabling enterprise data management, delivering autonomous operations, and innovating through domain-driven artificial intelligence.</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cloud-based solutions allow our customers to transition from our established software applications to our Delfi digital platform, and shift from a user-based license model to software-as-a-service (SaaS) subscriptions. This enables customers to evolve from legacy infrastructure and deliver new levels of value creation, with access to key resources such as storage and computing from our cloud partners and access to our industry-leading simulators. Our evolving offering of on-premises solutions allows us to support the digital transition journey of customers that prefer or are required to maintain data solutions locally.</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 Energy</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New Energy offers a significant opportunity to use SLB’s experience and scale to drive innovation for a low-carbon economy spanning industries beyond oil and gas. We are building a broad, diverse portfolio across New Energy sectors, selected for their materiality and adjacency to existing SLB strengths and our ability to offer differentiated technology.</w:t>
      </w:r>
    </w:p>
    <w:p>
      <w:pPr>
        <w:spacing w:after="0" w:line="14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Our New Energy portfolio builds on several fundamental SLB strengths: our unique subsurface domain expertise, applicable beyond oil and gas; our ability to design and deploy complex processing and production systems as an original equipment manufacturer; our differentiated track record for innovation and industrialization; and our ability to deploy at scale in any region of the world with local knowledge and talent.</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 will continue building businesses and forging partnerships across various industries to focus on five key areas: carbon solutions, hydrogen, geothermal and geoenergy, stationary energy storage, and critical minerals. Our ambition is to seed technology capabilities in each of these domains, and then grow throughout the decade, ultimately scaling our New Energy offering into the Company’s fastest growing and largest division.</w:t>
      </w:r>
    </w:p>
    <w:p>
      <w:pPr>
        <w:spacing w:after="0" w:line="144" w:lineRule="exact"/>
        <w:rPr>
          <w:sz w:val="20"/>
          <w:szCs w:val="20"/>
          <w:color w:val="auto"/>
        </w:rPr>
      </w:pPr>
    </w:p>
    <w:p>
      <w:pPr>
        <w:jc w:val="both"/>
        <w:ind w:left="1020" w:hanging="503"/>
        <w:spacing w:after="0" w:line="254"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Carbon Solutions</w:t>
      </w:r>
      <w:r>
        <w:rPr>
          <w:rFonts w:ascii="Arial" w:cs="Arial" w:eastAsia="Arial" w:hAnsi="Arial"/>
          <w:sz w:val="16"/>
          <w:szCs w:val="16"/>
          <w:color w:val="auto"/>
        </w:rPr>
        <w:t>: Carbon capture, and sequestration (“CCS”) is critical to advancing decarbonization and achieving the goals of the Paris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Agreement on climate change. With industry-leading reservoir modeling capabilities, SLB has been in the CCS business for more than three decades. </w:t>
      </w:r>
      <w:r>
        <w:rPr>
          <w:rFonts w:ascii="Arial" w:cs="Arial" w:eastAsia="Arial" w:hAnsi="Arial"/>
          <w:sz w:val="16"/>
          <w:szCs w:val="16"/>
          <w:color w:val="242424"/>
        </w:rPr>
        <w:t>The Company is actively progressing CCS technologies to enable widespread adoption of CCS and is going beyond subsurface</w:t>
      </w:r>
      <w:r>
        <w:rPr>
          <w:rFonts w:ascii="Arial" w:cs="Arial" w:eastAsia="Arial" w:hAnsi="Arial"/>
          <w:sz w:val="16"/>
          <w:szCs w:val="16"/>
          <w:color w:val="auto"/>
        </w:rPr>
        <w:t xml:space="preserve"> </w:t>
      </w:r>
      <w:r>
        <w:rPr>
          <w:rFonts w:ascii="Arial" w:cs="Arial" w:eastAsia="Arial" w:hAnsi="Arial"/>
          <w:sz w:val="16"/>
          <w:szCs w:val="16"/>
          <w:color w:val="242424"/>
        </w:rPr>
        <w:t>characterization and well construction to include capture technology, project economics, technology selection, and permitting. In addition, SLB is developing digital platforms to support emissions management for carbon and methane that will allow clients to measure, monitor, and plan abatement strategies.</w:t>
      </w:r>
    </w:p>
    <w:p>
      <w:pPr>
        <w:spacing w:after="0" w:line="153" w:lineRule="exact"/>
        <w:rPr>
          <w:rFonts w:ascii="Times New Roman" w:cs="Times New Roman" w:eastAsia="Times New Roman" w:hAnsi="Times New Roman"/>
          <w:sz w:val="16"/>
          <w:szCs w:val="16"/>
          <w:color w:val="auto"/>
        </w:rPr>
      </w:pPr>
    </w:p>
    <w:p>
      <w:pPr>
        <w:jc w:val="both"/>
        <w:ind w:left="1020" w:hanging="503"/>
        <w:spacing w:after="0" w:line="259"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Hydrogen: </w:t>
      </w:r>
      <w:r>
        <w:rPr>
          <w:rFonts w:ascii="Arial" w:cs="Arial" w:eastAsia="Arial" w:hAnsi="Arial"/>
          <w:sz w:val="16"/>
          <w:szCs w:val="16"/>
          <w:color w:val="auto"/>
        </w:rPr>
        <w:t>SLB is investing in low-carbon hydrogen generation technologies. One such investment is Genvia, a unique private-public</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partnership that combines SLB’s expertise and experience with that of the French Atomic Energy and Alternative Energies Commission and partners. Genvia aims to deliver the most efficient and cost-effective solid oxide electrolyzer technology for producing clean hydrogen in hard-to-abate industrial settings—a key component of the energy transition.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jc w:val="both"/>
        <w:ind w:left="1020" w:hanging="503"/>
        <w:spacing w:after="0" w:line="259" w:lineRule="auto"/>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Geothermal and Geoenergy: </w:t>
      </w:r>
      <w:r>
        <w:rPr>
          <w:rFonts w:ascii="Arial" w:cs="Arial" w:eastAsia="Arial" w:hAnsi="Arial"/>
          <w:sz w:val="16"/>
          <w:szCs w:val="16"/>
          <w:color w:val="auto"/>
        </w:rPr>
        <w:t>Geothermal power leverages the heat of the earth to generate electricity or provide heat directly, by tapping into</w:t>
      </w:r>
      <w:r>
        <w:rPr>
          <w:rFonts w:ascii="Arial" w:cs="Arial" w:eastAsia="Arial" w:hAnsi="Arial"/>
          <w:sz w:val="16"/>
          <w:szCs w:val="16"/>
          <w:i w:val="1"/>
          <w:iCs w:val="1"/>
          <w:color w:val="auto"/>
        </w:rPr>
        <w:t xml:space="preserve"> </w:t>
      </w:r>
      <w:r>
        <w:rPr>
          <w:rFonts w:ascii="Arial" w:cs="Arial" w:eastAsia="Arial" w:hAnsi="Arial"/>
          <w:sz w:val="16"/>
          <w:szCs w:val="16"/>
          <w:color w:val="auto"/>
        </w:rPr>
        <w:t>subsurface hot water and steam zones that are continuously recharged, both naturally and by injection. Geoenergy uses the ambient temperatures beneath the earth's surface to act as a thermal battery and dramatically reduce energy consumption from heating and cooling buildings, electrify and, therefore, drive both efficiency and decarbonization.</w:t>
      </w:r>
    </w:p>
    <w:p>
      <w:pPr>
        <w:spacing w:after="0" w:line="150" w:lineRule="exact"/>
        <w:rPr>
          <w:rFonts w:ascii="Times New Roman" w:cs="Times New Roman" w:eastAsia="Times New Roman" w:hAnsi="Times New Roman"/>
          <w:sz w:val="16"/>
          <w:szCs w:val="16"/>
          <w:color w:val="auto"/>
        </w:rPr>
      </w:pPr>
    </w:p>
    <w:p>
      <w:pPr>
        <w:jc w:val="both"/>
        <w:ind w:left="1020" w:hanging="503"/>
        <w:spacing w:after="0" w:line="259" w:lineRule="auto"/>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Stationary Energy Storage: </w:t>
      </w:r>
      <w:r>
        <w:rPr>
          <w:rFonts w:ascii="Arial" w:cs="Arial" w:eastAsia="Arial" w:hAnsi="Arial"/>
          <w:sz w:val="16"/>
          <w:szCs w:val="16"/>
          <w:color w:val="auto"/>
        </w:rPr>
        <w:t>Stationary energy storage is a key enabler to make variable renewable energy sources (such as solar or wind) a</w:t>
      </w:r>
      <w:r>
        <w:rPr>
          <w:rFonts w:ascii="Arial" w:cs="Arial" w:eastAsia="Arial" w:hAnsi="Arial"/>
          <w:sz w:val="16"/>
          <w:szCs w:val="16"/>
          <w:i w:val="1"/>
          <w:iCs w:val="1"/>
          <w:color w:val="auto"/>
        </w:rPr>
        <w:t xml:space="preserve"> </w:t>
      </w:r>
      <w:r>
        <w:rPr>
          <w:rFonts w:ascii="Arial" w:cs="Arial" w:eastAsia="Arial" w:hAnsi="Arial"/>
          <w:sz w:val="16"/>
          <w:szCs w:val="16"/>
          <w:color w:val="auto"/>
        </w:rPr>
        <w:t>larger component of the world’s electricity systems enabling power to be delivered in the right place, at the right time, to meet demand. As renewables become a greater percentage of the energy mix, the need increases for additional long-duration energy storage to ensure the efficiency of renewable assets and the reliability of electricity systems.</w:t>
      </w:r>
    </w:p>
    <w:p>
      <w:pPr>
        <w:spacing w:after="0" w:line="150"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Critical Minerals: </w:t>
      </w:r>
      <w:r>
        <w:rPr>
          <w:rFonts w:ascii="Arial" w:cs="Arial" w:eastAsia="Arial" w:hAnsi="Arial"/>
          <w:sz w:val="16"/>
          <w:szCs w:val="16"/>
          <w:color w:val="auto"/>
        </w:rPr>
        <w:t>SLB is applying its knowledge of extraction technologies and processing to the location and sources of critical minerals, such</w:t>
      </w:r>
      <w:r>
        <w:rPr>
          <w:rFonts w:ascii="Arial" w:cs="Arial" w:eastAsia="Arial" w:hAnsi="Arial"/>
          <w:sz w:val="16"/>
          <w:szCs w:val="16"/>
          <w:i w:val="1"/>
          <w:iCs w:val="1"/>
          <w:color w:val="auto"/>
        </w:rPr>
        <w:t xml:space="preserve"> </w:t>
      </w:r>
      <w:r>
        <w:rPr>
          <w:rFonts w:ascii="Arial" w:cs="Arial" w:eastAsia="Arial" w:hAnsi="Arial"/>
          <w:sz w:val="16"/>
          <w:szCs w:val="16"/>
          <w:color w:val="auto"/>
        </w:rPr>
        <w:t>as lithium from brine deposits, that will be required to support the energy transition.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Sustainability</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SLB’s emissions reduction strategy is at the center of our identity and vision, and our commitment to a sustainable future is underscored by bold science-backed targets aligned with the Paris Agreement. In 2021, SLB became the first company in the energy services industry to commit to a 2050 net-zero greenhouse gas (“GHG”) emissions target including all three emission scopes.</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By setting targets based on SLB’s total 2019 baseline GHG footprint—inclusive of Scope 3 emissions (which accounted for approximately 95% of SLB’s baseline)—and not just its Scope 1 and 2 footprint, SLB’s comprehensive emissions reduction roadmap addresses the entire energy value chain.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SLB’s 2050 net-zero target is supported by the following interim milestones, using 2019 as the baseline year:</w:t>
      </w:r>
    </w:p>
    <w:p>
      <w:pPr>
        <w:spacing w:after="0" w:line="21" w:lineRule="exact"/>
        <w:rPr>
          <w:sz w:val="20"/>
          <w:szCs w:val="20"/>
          <w:color w:val="auto"/>
        </w:rPr>
      </w:pPr>
    </w:p>
    <w:p>
      <w:pPr>
        <w:ind w:left="1300" w:hanging="274"/>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by 2025, a 30% reduction in Scope 1 and Scope 2 emissions;</w:t>
      </w:r>
    </w:p>
    <w:p>
      <w:pPr>
        <w:spacing w:after="0" w:line="5" w:lineRule="exact"/>
        <w:rPr>
          <w:rFonts w:ascii="Arial" w:cs="Arial" w:eastAsia="Arial" w:hAnsi="Arial"/>
          <w:sz w:val="16"/>
          <w:szCs w:val="16"/>
          <w:color w:val="auto"/>
        </w:rPr>
      </w:pPr>
    </w:p>
    <w:p>
      <w:pPr>
        <w:ind w:left="1300" w:hanging="274"/>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by 2030, a 50% reduction in Scope 1 and Scope 2 emissions; and</w:t>
      </w:r>
    </w:p>
    <w:p>
      <w:pPr>
        <w:spacing w:after="0" w:line="5" w:lineRule="exact"/>
        <w:rPr>
          <w:rFonts w:ascii="Arial" w:cs="Arial" w:eastAsia="Arial" w:hAnsi="Arial"/>
          <w:sz w:val="16"/>
          <w:szCs w:val="16"/>
          <w:color w:val="auto"/>
        </w:rPr>
      </w:pPr>
    </w:p>
    <w:p>
      <w:pPr>
        <w:ind w:left="1300" w:hanging="274"/>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by 2030, a 30% reduction in Scope 3 emissions.</w:t>
      </w:r>
    </w:p>
    <w:p>
      <w:pPr>
        <w:spacing w:after="0" w:line="17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SLB’s Scope 1 and 2 emissions primarily come from fuel use and electricity consumption. SLB’s Scope 3 emissions are indirect, such as emissions from customers’ use of SLB technology and emissions from our use of third-party goods and services.</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There are three key components to SLB achieving the 2050 net-zero target: reducing operational emissions, reducing customer emissions that occur while using SLB technology, and taking carbon-negative actions of sufficient scale to offset any residual operating and technology emissions that the Company may have in 2050.</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tandem with our 2050 net-zero commitment, SLB introduced a portfolio of Transition Technologies™ in 2021. This portfolio includes a select group of products and services that quantifiably reduce our customers’ GHG emissions footprint, while continuing to drive high performance, reliability, and efficiency. This portfolio is supported by an industry-leading impact quantification framework and will continue to grow as sustainability is further embedded in the Company’s research and development process.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As a leading global technology company that operates in more than 100 countries with a workforce of approximately 111,000 people from diverse backgrounds, cultures, and nationalities, one of SLB’s greatest strengths is the diversity of our people. We believe that our ability to attract, develop, motivate, and retain a highly competent and diverse workforce has been paramount to our success for many decades. We recognize that cultivating diversity and promoting inclusion are essential to attracting the best talent from around the world and enabling creativity and innovation to drive business success. We believe our strong culture focused on workforce diversity, inclusivity, and learning and development results in the best possible working environment for all our people.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Workforce Diversity</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SLB's long-standing commitment to national and cultural diversity is reflected in our workforce composition and our philosophy to recruit and develop people from the communities in which we operate. Our workforce nationality mix generally aligns with the revenue derived from the countries in which we work, as reflected in the charts below. This fosters a culture that is global in outlook, yet local in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739775</wp:posOffset>
            </wp:positionH>
            <wp:positionV relativeFrom="page">
              <wp:posOffset>226060</wp:posOffset>
            </wp:positionV>
            <wp:extent cx="6206490" cy="2459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0649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 also recognizes the importance of gender diversity as a source of creativity, innovation, and competitive advantage. We are committed to leading our industry in this area and, in this regard, a number of years ago we established goals of having women represent 25% of our salaried workforce by 2025 and 30% by 2030. As of December 31, 2023, women represented just under 25% of our salaried workforce.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Inclusivity</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building on our diversity to foster a strong culture of inclusion, in which each person can feel accepted, respected, and empowered to perform at their best. SLB has numerous policies and programs to support our inclusive culture, including:</w:t>
      </w:r>
    </w:p>
    <w:p>
      <w:pPr>
        <w:spacing w:after="0" w:line="48" w:lineRule="exact"/>
        <w:rPr>
          <w:sz w:val="20"/>
          <w:szCs w:val="20"/>
          <w:color w:val="auto"/>
        </w:rPr>
      </w:pPr>
    </w:p>
    <w:p>
      <w:pPr>
        <w:ind w:left="1020" w:hanging="503"/>
        <w:spacing w:after="0" w:line="256" w:lineRule="auto"/>
        <w:tabs>
          <w:tab w:leader="none" w:pos="102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a global Code of Conduct that outlines the standards of behavior and ethics that all employees are expected to follow, and that prohibits any form of discrimination, harassment, or retaliation;</w:t>
      </w:r>
    </w:p>
    <w:p>
      <w:pPr>
        <w:ind w:left="1020" w:hanging="503"/>
        <w:spacing w:after="0" w:line="246" w:lineRule="auto"/>
        <w:tabs>
          <w:tab w:leader="none" w:pos="102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a global diversity, equity, and inclusion (“DEI”) strategy with a network of diversity and inclusion champions that promote DEI awareness and best practices; and</w:t>
      </w:r>
    </w:p>
    <w:p>
      <w:pPr>
        <w:ind w:left="1020" w:hanging="503"/>
        <w:spacing w:after="0"/>
        <w:tabs>
          <w:tab w:leader="none" w:pos="102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a global mobility program that enables employees to gain international exposure and experience and develop cross-cultural competencies.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Learning and Development</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 invests significantly in the learning and development of our people. We strive to identify talent early, and to provide employees who demonstrate exceptional performance with opportunities to progress to higher levels within the organization. This allows us to accelerate personal development while maximizing performance, fostering an agile workforce with the skills necessary to lead SLB today and into the future.</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SLB believes that through diversity, inclusivity, and learning and development, we can support our people to reach their full potential which unlocks value for all of our stakeholders.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principal methods of competition within the energy services industry are technological innovation, quality of service, and price differentiation. These factors vary geographically and are dependent upon the different services and products that SLB offers. SLB has numerous competitors, both large and small.</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 owns or controls the industry’s leading portfolio of intellectual property, including but not limited to patents, proprietary information, trade secrets, and software tools and applications that, in the aggregate, are material to SLB’s business. While SLB seeks and holds a significant number of patents covering various products and processes, no particular patent or group of patents is material to SLB’s business.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Seasonal changes in weather and significant weather events can temporarily affect the delivery of SLB’s products and services. For example, the spring thaw in Canada and other Northern climates and consequent road restrictions can affect activity levels, while the winter months in the North Sea, Russia, and China can produce severe weather conditions that can temporarily reduce levels of activity. In addition, hurricanes and typhoons can disrupt coastal and offshore operations. Furthermore, customer spending patterns for exploration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data, software, and other products may result in higher activity in the fourth quarter of the year as clients seek to fully utilize their annual budgets.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Conversely, customer budget constraints in North America may lead to lower demand for our services and products in the fourth quarter of the year.</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Customers</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SLB’s primary customers are national oil companies, large integrated oil companies, and independent operators. No single customer exceeded 10% of SLB’s consolidated revenue during each of 2023, 2022 and 2021.</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Governmental Regulations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SLB is subject to numerous environmental and other governmental and regulatory requirements related to its operations worldwide. For additional details, see “Item 1(a). Risk Factors – Legal and Regulatory Risks,” which is incorporated by reference in this Item 1.</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Information</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SLB was founded in 1926. </w:t>
      </w:r>
      <w:r>
        <w:rPr>
          <w:rFonts w:ascii="Arial" w:cs="Arial" w:eastAsia="Arial" w:hAnsi="Arial"/>
          <w:sz w:val="16"/>
          <w:szCs w:val="16"/>
          <w:color w:val="242424"/>
        </w:rPr>
        <w:t>Schlumberger Limited, the NYSE-listed parent of the SLB family of companies, is incorporated under the laws of Curaçao and</w:t>
      </w:r>
      <w:r>
        <w:rPr>
          <w:rFonts w:ascii="Arial" w:cs="Arial" w:eastAsia="Arial" w:hAnsi="Arial"/>
          <w:sz w:val="16"/>
          <w:szCs w:val="16"/>
          <w:color w:val="auto"/>
        </w:rPr>
        <w:t xml:space="preserve"> </w:t>
      </w:r>
      <w:r>
        <w:rPr>
          <w:rFonts w:ascii="Arial" w:cs="Arial" w:eastAsia="Arial" w:hAnsi="Arial"/>
          <w:sz w:val="16"/>
          <w:szCs w:val="16"/>
          <w:color w:val="242424"/>
        </w:rPr>
        <w:t xml:space="preserve">has executive offices in Paris, Houston, London, and The Hague. </w:t>
      </w:r>
      <w:r>
        <w:rPr>
          <w:rFonts w:ascii="Arial" w:cs="Arial" w:eastAsia="Arial" w:hAnsi="Arial"/>
          <w:sz w:val="16"/>
          <w:szCs w:val="16"/>
          <w:color w:val="000000"/>
        </w:rPr>
        <w:t>The Company changed its brand name to SLB in 2022 but did not change the legal name</w:t>
      </w:r>
      <w:r>
        <w:rPr>
          <w:rFonts w:ascii="Arial" w:cs="Arial" w:eastAsia="Arial" w:hAnsi="Arial"/>
          <w:sz w:val="16"/>
          <w:szCs w:val="16"/>
          <w:color w:val="242424"/>
        </w:rPr>
        <w:t xml:space="preserve"> </w:t>
      </w:r>
      <w:r>
        <w:rPr>
          <w:rFonts w:ascii="Arial" w:cs="Arial" w:eastAsia="Arial" w:hAnsi="Arial"/>
          <w:sz w:val="16"/>
          <w:szCs w:val="16"/>
          <w:color w:val="000000"/>
        </w:rPr>
        <w:t>of its listed parent company, which remains Schlumberger Limited.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The SLB website is </w:t>
      </w:r>
      <w:r>
        <w:rPr>
          <w:rFonts w:ascii="Arial" w:cs="Arial" w:eastAsia="Arial" w:hAnsi="Arial"/>
          <w:sz w:val="16"/>
          <w:szCs w:val="16"/>
          <w:u w:val="single" w:color="auto"/>
          <w:color w:val="auto"/>
        </w:rPr>
        <w:t>www.slb.com</w:t>
      </w:r>
      <w:r>
        <w:rPr>
          <w:rFonts w:ascii="Arial" w:cs="Arial" w:eastAsia="Arial" w:hAnsi="Arial"/>
          <w:sz w:val="16"/>
          <w:szCs w:val="16"/>
          <w:color w:val="auto"/>
        </w:rPr>
        <w:t xml:space="preserve">. SLB uses its Investor Relations website, </w:t>
      </w:r>
      <w:r>
        <w:rPr>
          <w:rFonts w:ascii="Arial" w:cs="Arial" w:eastAsia="Arial" w:hAnsi="Arial"/>
          <w:sz w:val="16"/>
          <w:szCs w:val="16"/>
          <w:u w:val="single" w:color="auto"/>
          <w:color w:val="auto"/>
        </w:rPr>
        <w:t>https://investorcenter.slb.com/</w:t>
      </w:r>
      <w:r>
        <w:rPr>
          <w:rFonts w:ascii="Arial" w:cs="Arial" w:eastAsia="Arial" w:hAnsi="Arial"/>
          <w:sz w:val="16"/>
          <w:szCs w:val="16"/>
          <w:color w:val="auto"/>
        </w:rPr>
        <w:t xml:space="preserve">, as a routine channel for distribution of important information, including news releases, analyst presentations, and financial information. SLB makes available, free of charge through its Investor Relations website at </w:t>
      </w:r>
      <w:r>
        <w:rPr>
          <w:rFonts w:ascii="Arial" w:cs="Arial" w:eastAsia="Arial" w:hAnsi="Arial"/>
          <w:sz w:val="16"/>
          <w:szCs w:val="16"/>
          <w:u w:val="single" w:color="auto"/>
          <w:color w:val="auto"/>
        </w:rPr>
        <w:t>https://investorcenter.slb.com/,</w:t>
      </w:r>
      <w:r>
        <w:rPr>
          <w:rFonts w:ascii="Arial" w:cs="Arial" w:eastAsia="Arial" w:hAnsi="Arial"/>
          <w:sz w:val="16"/>
          <w:szCs w:val="16"/>
          <w:color w:val="auto"/>
        </w:rPr>
        <w:t xml:space="preserve"> access to its Annual Reports on Form 10-K, Quarterly Reports on Form 10-Q, Current Reports on Form 8-K, proxy statements and Forms 3, 4 and 5 filed on behalf of directors and executive officers, and amendments to each of those reports, as soon as reasonably practicable after such material is filed with or furnished to the SEC. Alternatively, you may access these reports at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Copies are also available, without charge, from SLB Investor Relations, 5599 San Felipe, Houston, Texas 77056. Unless expressly noted, the information on its website or any other website is not incorporated by reference in this Form 10-K and should not be considered part of this Form 10-K or any other filing SLB makes with the SEC.</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Information About Our Executive Officers</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following table sets forth, as of January 24, 2024, the names and ages of SLB’s executive officers, including all offices and positions held by each executive officer during the past five years.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22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4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Age</w:t>
            </w:r>
          </w:p>
        </w:tc>
        <w:tc>
          <w:tcPr>
            <w:tcW w:w="8600" w:type="dxa"/>
            <w:vAlign w:val="bottom"/>
            <w:gridSpan w:val="3"/>
          </w:tcPr>
          <w:p>
            <w:pPr>
              <w:ind w:left="100"/>
              <w:spacing w:after="0"/>
              <w:rPr>
                <w:sz w:val="20"/>
                <w:szCs w:val="20"/>
                <w:color w:val="auto"/>
              </w:rPr>
            </w:pPr>
            <w:r>
              <w:rPr>
                <w:rFonts w:ascii="Arial" w:cs="Arial" w:eastAsia="Arial" w:hAnsi="Arial"/>
                <w:sz w:val="16"/>
                <w:szCs w:val="16"/>
                <w:b w:val="1"/>
                <w:bCs w:val="1"/>
                <w:color w:val="auto"/>
              </w:rPr>
              <w:t>Current Position and Five-Year Business Experience</w:t>
            </w: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6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6"/>
                <w:szCs w:val="16"/>
                <w:color w:val="auto"/>
              </w:rPr>
              <w:t>Olivier Le Peuch</w:t>
            </w:r>
          </w:p>
        </w:tc>
        <w:tc>
          <w:tcPr>
            <w:tcW w:w="320" w:type="dxa"/>
            <w:vAlign w:val="bottom"/>
          </w:tcPr>
          <w:p>
            <w:pPr>
              <w:jc w:val="center"/>
              <w:spacing w:after="0"/>
              <w:rPr>
                <w:sz w:val="20"/>
                <w:szCs w:val="20"/>
                <w:color w:val="auto"/>
              </w:rPr>
            </w:pPr>
            <w:r>
              <w:rPr>
                <w:rFonts w:ascii="Arial" w:cs="Arial" w:eastAsia="Arial" w:hAnsi="Arial"/>
                <w:sz w:val="16"/>
                <w:szCs w:val="16"/>
                <w:color w:val="auto"/>
              </w:rPr>
              <w:t>60</w:t>
            </w:r>
          </w:p>
        </w:tc>
        <w:tc>
          <w:tcPr>
            <w:tcW w:w="80" w:type="dxa"/>
            <w:vAlign w:val="bottom"/>
          </w:tcPr>
          <w:p>
            <w:pPr>
              <w:spacing w:after="0"/>
              <w:rPr>
                <w:sz w:val="24"/>
                <w:szCs w:val="24"/>
                <w:color w:val="auto"/>
              </w:rPr>
            </w:pPr>
          </w:p>
        </w:tc>
        <w:tc>
          <w:tcPr>
            <w:tcW w:w="8600" w:type="dxa"/>
            <w:vAlign w:val="bottom"/>
            <w:gridSpan w:val="3"/>
          </w:tcPr>
          <w:p>
            <w:pPr>
              <w:ind w:left="100"/>
              <w:spacing w:after="0"/>
              <w:rPr>
                <w:sz w:val="20"/>
                <w:szCs w:val="20"/>
                <w:color w:val="auto"/>
              </w:rPr>
            </w:pPr>
            <w:r>
              <w:rPr>
                <w:rFonts w:ascii="Arial" w:cs="Arial" w:eastAsia="Arial" w:hAnsi="Arial"/>
                <w:sz w:val="16"/>
                <w:szCs w:val="16"/>
                <w:color w:val="auto"/>
              </w:rPr>
              <w:t>Chief Executive Officer and Director, since August 2019; Chief Operating Officer, February 2019 to July 2019; and</w:t>
            </w:r>
          </w:p>
        </w:tc>
      </w:tr>
      <w:tr>
        <w:trPr>
          <w:trHeight w:val="215"/>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0" w:type="dxa"/>
            <w:vAlign w:val="bottom"/>
            <w:gridSpan w:val="3"/>
          </w:tcPr>
          <w:p>
            <w:pPr>
              <w:ind w:left="100"/>
              <w:spacing w:after="0"/>
              <w:rPr>
                <w:sz w:val="20"/>
                <w:szCs w:val="20"/>
                <w:color w:val="auto"/>
              </w:rPr>
            </w:pPr>
            <w:r>
              <w:rPr>
                <w:rFonts w:ascii="Arial" w:cs="Arial" w:eastAsia="Arial" w:hAnsi="Arial"/>
                <w:sz w:val="16"/>
                <w:szCs w:val="16"/>
                <w:color w:val="auto"/>
              </w:rPr>
              <w:t>Executive Vice President, Reservoir and Infrastructure, May 2018 to February 2019.</w:t>
            </w:r>
          </w:p>
        </w:tc>
      </w:tr>
      <w:tr>
        <w:trPr>
          <w:trHeight w:val="406"/>
        </w:trPr>
        <w:tc>
          <w:tcPr>
            <w:tcW w:w="2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6"/>
                <w:szCs w:val="16"/>
                <w:color w:val="auto"/>
              </w:rPr>
              <w:t>Khaled Al Mogharbel</w:t>
            </w:r>
          </w:p>
        </w:tc>
        <w:tc>
          <w:tcPr>
            <w:tcW w:w="320" w:type="dxa"/>
            <w:vAlign w:val="bottom"/>
          </w:tcPr>
          <w:p>
            <w:pPr>
              <w:jc w:val="center"/>
              <w:spacing w:after="0"/>
              <w:rPr>
                <w:sz w:val="20"/>
                <w:szCs w:val="20"/>
                <w:color w:val="auto"/>
              </w:rPr>
            </w:pPr>
            <w:r>
              <w:rPr>
                <w:rFonts w:ascii="Arial" w:cs="Arial" w:eastAsia="Arial" w:hAnsi="Arial"/>
                <w:sz w:val="16"/>
                <w:szCs w:val="16"/>
                <w:color w:val="auto"/>
              </w:rPr>
              <w:t>53</w:t>
            </w:r>
          </w:p>
        </w:tc>
        <w:tc>
          <w:tcPr>
            <w:tcW w:w="80" w:type="dxa"/>
            <w:vAlign w:val="bottom"/>
          </w:tcPr>
          <w:p>
            <w:pPr>
              <w:spacing w:after="0"/>
              <w:rPr>
                <w:sz w:val="24"/>
                <w:szCs w:val="24"/>
                <w:color w:val="auto"/>
              </w:rPr>
            </w:pPr>
          </w:p>
        </w:tc>
        <w:tc>
          <w:tcPr>
            <w:tcW w:w="8600" w:type="dxa"/>
            <w:vAlign w:val="bottom"/>
            <w:gridSpan w:val="3"/>
          </w:tcPr>
          <w:p>
            <w:pPr>
              <w:ind w:left="100"/>
              <w:spacing w:after="0"/>
              <w:rPr>
                <w:sz w:val="20"/>
                <w:szCs w:val="20"/>
                <w:color w:val="auto"/>
              </w:rPr>
            </w:pPr>
            <w:r>
              <w:rPr>
                <w:rFonts w:ascii="Arial" w:cs="Arial" w:eastAsia="Arial" w:hAnsi="Arial"/>
                <w:sz w:val="16"/>
                <w:szCs w:val="16"/>
                <w:color w:val="auto"/>
              </w:rPr>
              <w:t>Executive Vice President, Geographies, since July 2020; Executive Vice President, Operations, April 2019 to June</w:t>
            </w: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0" w:type="dxa"/>
            <w:vAlign w:val="bottom"/>
            <w:gridSpan w:val="3"/>
          </w:tcPr>
          <w:p>
            <w:pPr>
              <w:ind w:left="100"/>
              <w:spacing w:after="0"/>
              <w:rPr>
                <w:sz w:val="20"/>
                <w:szCs w:val="20"/>
                <w:color w:val="auto"/>
              </w:rPr>
            </w:pPr>
            <w:r>
              <w:rPr>
                <w:rFonts w:ascii="Arial" w:cs="Arial" w:eastAsia="Arial" w:hAnsi="Arial"/>
                <w:sz w:val="16"/>
                <w:szCs w:val="16"/>
                <w:color w:val="auto"/>
              </w:rPr>
              <w:t>2020; Executive Vice President, Eastern Hemisphere, February 2019 to March 2019; and President, Eastern</w:t>
            </w:r>
          </w:p>
        </w:tc>
      </w:tr>
      <w:tr>
        <w:trPr>
          <w:trHeight w:val="215"/>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0" w:type="dxa"/>
            <w:vAlign w:val="bottom"/>
            <w:gridSpan w:val="3"/>
          </w:tcPr>
          <w:p>
            <w:pPr>
              <w:ind w:left="100"/>
              <w:spacing w:after="0"/>
              <w:rPr>
                <w:sz w:val="20"/>
                <w:szCs w:val="20"/>
                <w:color w:val="auto"/>
              </w:rPr>
            </w:pPr>
            <w:r>
              <w:rPr>
                <w:rFonts w:ascii="Arial" w:cs="Arial" w:eastAsia="Arial" w:hAnsi="Arial"/>
                <w:sz w:val="16"/>
                <w:szCs w:val="16"/>
                <w:color w:val="auto"/>
              </w:rPr>
              <w:t>Hemisphere, May 2017 to January 2019.</w:t>
            </w:r>
          </w:p>
        </w:tc>
      </w:tr>
      <w:tr>
        <w:trPr>
          <w:trHeight w:val="406"/>
        </w:trPr>
        <w:tc>
          <w:tcPr>
            <w:tcW w:w="2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6"/>
                <w:szCs w:val="16"/>
                <w:color w:val="auto"/>
              </w:rPr>
              <w:t>Stephane Biguet</w:t>
            </w:r>
          </w:p>
        </w:tc>
        <w:tc>
          <w:tcPr>
            <w:tcW w:w="320" w:type="dxa"/>
            <w:vAlign w:val="bottom"/>
          </w:tcPr>
          <w:p>
            <w:pPr>
              <w:jc w:val="center"/>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24"/>
                <w:szCs w:val="24"/>
                <w:color w:val="auto"/>
              </w:rPr>
            </w:pPr>
          </w:p>
        </w:tc>
        <w:tc>
          <w:tcPr>
            <w:tcW w:w="8600" w:type="dxa"/>
            <w:vAlign w:val="bottom"/>
            <w:gridSpan w:val="3"/>
          </w:tcPr>
          <w:p>
            <w:pPr>
              <w:ind w:left="100"/>
              <w:spacing w:after="0"/>
              <w:rPr>
                <w:sz w:val="20"/>
                <w:szCs w:val="20"/>
                <w:color w:val="auto"/>
              </w:rPr>
            </w:pPr>
            <w:r>
              <w:rPr>
                <w:rFonts w:ascii="Arial" w:cs="Arial" w:eastAsia="Arial" w:hAnsi="Arial"/>
                <w:sz w:val="16"/>
                <w:szCs w:val="16"/>
                <w:color w:val="auto"/>
              </w:rPr>
              <w:t>Executive Vice President and Chief Financial Officer, since January 2020; and Vice President, Finance, December</w:t>
            </w:r>
          </w:p>
        </w:tc>
      </w:tr>
      <w:tr>
        <w:trPr>
          <w:trHeight w:val="215"/>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0" w:type="dxa"/>
            <w:vAlign w:val="bottom"/>
            <w:gridSpan w:val="3"/>
          </w:tcPr>
          <w:p>
            <w:pPr>
              <w:ind w:left="100"/>
              <w:spacing w:after="0"/>
              <w:rPr>
                <w:sz w:val="20"/>
                <w:szCs w:val="20"/>
                <w:color w:val="auto"/>
              </w:rPr>
            </w:pPr>
            <w:r>
              <w:rPr>
                <w:rFonts w:ascii="Arial" w:cs="Arial" w:eastAsia="Arial" w:hAnsi="Arial"/>
                <w:sz w:val="16"/>
                <w:szCs w:val="16"/>
                <w:color w:val="auto"/>
              </w:rPr>
              <w:t>2017 to January 2020.</w:t>
            </w:r>
          </w:p>
        </w:tc>
      </w:tr>
      <w:tr>
        <w:trPr>
          <w:trHeight w:val="406"/>
        </w:trPr>
        <w:tc>
          <w:tcPr>
            <w:tcW w:w="2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6"/>
                <w:szCs w:val="16"/>
                <w:color w:val="auto"/>
              </w:rPr>
              <w:t>Abdellah Merad</w:t>
            </w:r>
          </w:p>
        </w:tc>
        <w:tc>
          <w:tcPr>
            <w:tcW w:w="320" w:type="dxa"/>
            <w:vAlign w:val="bottom"/>
          </w:tcPr>
          <w:p>
            <w:pPr>
              <w:jc w:val="center"/>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24"/>
                <w:szCs w:val="24"/>
                <w:color w:val="auto"/>
              </w:rPr>
            </w:pPr>
          </w:p>
        </w:tc>
        <w:tc>
          <w:tcPr>
            <w:tcW w:w="8600" w:type="dxa"/>
            <w:vAlign w:val="bottom"/>
            <w:gridSpan w:val="3"/>
          </w:tcPr>
          <w:p>
            <w:pPr>
              <w:ind w:left="100"/>
              <w:spacing w:after="0"/>
              <w:rPr>
                <w:sz w:val="20"/>
                <w:szCs w:val="20"/>
                <w:color w:val="auto"/>
              </w:rPr>
            </w:pPr>
            <w:r>
              <w:rPr>
                <w:rFonts w:ascii="Arial" w:cs="Arial" w:eastAsia="Arial" w:hAnsi="Arial"/>
                <w:sz w:val="16"/>
                <w:szCs w:val="16"/>
                <w:color w:val="auto"/>
              </w:rPr>
              <w:t>Executive Vice President, Core Services and Equipment, since April 2022; Executive Vice President, Performance</w:t>
            </w:r>
          </w:p>
        </w:tc>
      </w:tr>
      <w:tr>
        <w:trPr>
          <w:trHeight w:val="215"/>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0" w:type="dxa"/>
            <w:vAlign w:val="bottom"/>
            <w:gridSpan w:val="3"/>
          </w:tcPr>
          <w:p>
            <w:pPr>
              <w:ind w:left="100"/>
              <w:spacing w:after="0"/>
              <w:rPr>
                <w:sz w:val="20"/>
                <w:szCs w:val="20"/>
                <w:color w:val="auto"/>
              </w:rPr>
            </w:pPr>
            <w:r>
              <w:rPr>
                <w:rFonts w:ascii="Arial" w:cs="Arial" w:eastAsia="Arial" w:hAnsi="Arial"/>
                <w:sz w:val="16"/>
                <w:szCs w:val="16"/>
                <w:color w:val="auto"/>
              </w:rPr>
              <w:t>Management, May 2019 to March 2022; and President, Production Group, October 2017 to April 2019.</w:t>
            </w:r>
          </w:p>
        </w:tc>
      </w:tr>
      <w:tr>
        <w:trPr>
          <w:trHeight w:val="406"/>
        </w:trPr>
        <w:tc>
          <w:tcPr>
            <w:tcW w:w="2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6"/>
                <w:szCs w:val="16"/>
                <w:color w:val="auto"/>
              </w:rPr>
              <w:t>Katharina Beumelburg</w:t>
            </w:r>
          </w:p>
        </w:tc>
        <w:tc>
          <w:tcPr>
            <w:tcW w:w="320" w:type="dxa"/>
            <w:vAlign w:val="bottom"/>
          </w:tcPr>
          <w:p>
            <w:pPr>
              <w:jc w:val="center"/>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24"/>
                <w:szCs w:val="24"/>
                <w:color w:val="auto"/>
              </w:rPr>
            </w:pPr>
          </w:p>
        </w:tc>
        <w:tc>
          <w:tcPr>
            <w:tcW w:w="8600" w:type="dxa"/>
            <w:vAlign w:val="bottom"/>
            <w:gridSpan w:val="3"/>
          </w:tcPr>
          <w:p>
            <w:pPr>
              <w:ind w:left="100"/>
              <w:spacing w:after="0"/>
              <w:rPr>
                <w:sz w:val="20"/>
                <w:szCs w:val="20"/>
                <w:color w:val="auto"/>
              </w:rPr>
            </w:pPr>
            <w:r>
              <w:rPr>
                <w:rFonts w:ascii="Arial" w:cs="Arial" w:eastAsia="Arial" w:hAnsi="Arial"/>
                <w:sz w:val="16"/>
                <w:szCs w:val="16"/>
                <w:color w:val="auto"/>
              </w:rPr>
              <w:t>Chief Strategy and Sustainability Officer, since May 2021; Senior Vice President, Transmission Service, Siemens</w:t>
            </w: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0" w:type="dxa"/>
            <w:vAlign w:val="bottom"/>
            <w:gridSpan w:val="3"/>
          </w:tcPr>
          <w:p>
            <w:pPr>
              <w:ind w:left="100"/>
              <w:spacing w:after="0"/>
              <w:rPr>
                <w:sz w:val="20"/>
                <w:szCs w:val="20"/>
                <w:color w:val="auto"/>
              </w:rPr>
            </w:pPr>
            <w:r>
              <w:rPr>
                <w:rFonts w:ascii="Arial" w:cs="Arial" w:eastAsia="Arial" w:hAnsi="Arial"/>
                <w:sz w:val="16"/>
                <w:szCs w:val="16"/>
                <w:color w:val="auto"/>
              </w:rPr>
              <w:t>Energy, Siemens AG (a multinational industrial manufacturing company), April 2020 to May 2021; and Executive Vice</w:t>
            </w:r>
          </w:p>
        </w:tc>
      </w:tr>
      <w:tr>
        <w:trPr>
          <w:trHeight w:val="215"/>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0" w:type="dxa"/>
            <w:vAlign w:val="bottom"/>
            <w:gridSpan w:val="3"/>
          </w:tcPr>
          <w:p>
            <w:pPr>
              <w:ind w:left="100"/>
              <w:spacing w:after="0"/>
              <w:rPr>
                <w:sz w:val="20"/>
                <w:szCs w:val="20"/>
                <w:color w:val="auto"/>
              </w:rPr>
            </w:pPr>
            <w:r>
              <w:rPr>
                <w:rFonts w:ascii="Arial" w:cs="Arial" w:eastAsia="Arial" w:hAnsi="Arial"/>
                <w:sz w:val="16"/>
                <w:szCs w:val="16"/>
                <w:color w:val="auto"/>
              </w:rPr>
              <w:t>President, Strategy, Siemens Gas and Power, Siemens AG, November 2016 to April 2020.</w:t>
            </w:r>
          </w:p>
        </w:tc>
      </w:tr>
      <w:tr>
        <w:trPr>
          <w:trHeight w:val="406"/>
        </w:trPr>
        <w:tc>
          <w:tcPr>
            <w:tcW w:w="2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6"/>
                <w:szCs w:val="16"/>
                <w:color w:val="auto"/>
              </w:rPr>
              <w:t>Demosthenis Pafitis</w:t>
            </w:r>
          </w:p>
        </w:tc>
        <w:tc>
          <w:tcPr>
            <w:tcW w:w="320" w:type="dxa"/>
            <w:vAlign w:val="bottom"/>
          </w:tcPr>
          <w:p>
            <w:pPr>
              <w:jc w:val="center"/>
              <w:spacing w:after="0"/>
              <w:rPr>
                <w:sz w:val="20"/>
                <w:szCs w:val="20"/>
                <w:color w:val="auto"/>
              </w:rPr>
            </w:pPr>
            <w:r>
              <w:rPr>
                <w:rFonts w:ascii="Arial" w:cs="Arial" w:eastAsia="Arial" w:hAnsi="Arial"/>
                <w:sz w:val="16"/>
                <w:szCs w:val="16"/>
                <w:color w:val="auto"/>
              </w:rPr>
              <w:t>56</w:t>
            </w:r>
          </w:p>
        </w:tc>
        <w:tc>
          <w:tcPr>
            <w:tcW w:w="80" w:type="dxa"/>
            <w:vAlign w:val="bottom"/>
          </w:tcPr>
          <w:p>
            <w:pPr>
              <w:spacing w:after="0"/>
              <w:rPr>
                <w:sz w:val="24"/>
                <w:szCs w:val="24"/>
                <w:color w:val="auto"/>
              </w:rPr>
            </w:pPr>
          </w:p>
        </w:tc>
        <w:tc>
          <w:tcPr>
            <w:tcW w:w="8600" w:type="dxa"/>
            <w:vAlign w:val="bottom"/>
            <w:gridSpan w:val="3"/>
          </w:tcPr>
          <w:p>
            <w:pPr>
              <w:ind w:left="100"/>
              <w:spacing w:after="0"/>
              <w:rPr>
                <w:sz w:val="20"/>
                <w:szCs w:val="20"/>
                <w:color w:val="auto"/>
              </w:rPr>
            </w:pPr>
            <w:r>
              <w:rPr>
                <w:rFonts w:ascii="Arial" w:cs="Arial" w:eastAsia="Arial" w:hAnsi="Arial"/>
                <w:sz w:val="16"/>
                <w:szCs w:val="16"/>
                <w:color w:val="auto"/>
              </w:rPr>
              <w:t>Chief Technology Officer, since February 2020; and Senior Vice President, SLB 4.0 Platforms, from December 2017 to</w:t>
            </w:r>
          </w:p>
        </w:tc>
      </w:tr>
      <w:tr>
        <w:trPr>
          <w:trHeight w:val="215"/>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0" w:type="dxa"/>
            <w:vAlign w:val="bottom"/>
            <w:gridSpan w:val="3"/>
          </w:tcPr>
          <w:p>
            <w:pPr>
              <w:ind w:left="100"/>
              <w:spacing w:after="0"/>
              <w:rPr>
                <w:sz w:val="20"/>
                <w:szCs w:val="20"/>
                <w:color w:val="auto"/>
              </w:rPr>
            </w:pPr>
            <w:r>
              <w:rPr>
                <w:rFonts w:ascii="Arial" w:cs="Arial" w:eastAsia="Arial" w:hAnsi="Arial"/>
                <w:sz w:val="16"/>
                <w:szCs w:val="16"/>
                <w:color w:val="auto"/>
              </w:rPr>
              <w:t>January 2020.</w:t>
            </w:r>
          </w:p>
        </w:tc>
      </w:tr>
      <w:tr>
        <w:trPr>
          <w:trHeight w:val="406"/>
        </w:trPr>
        <w:tc>
          <w:tcPr>
            <w:tcW w:w="2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6"/>
                <w:szCs w:val="16"/>
                <w:color w:val="auto"/>
              </w:rPr>
              <w:t>Dianne Ralston</w:t>
            </w:r>
          </w:p>
        </w:tc>
        <w:tc>
          <w:tcPr>
            <w:tcW w:w="320" w:type="dxa"/>
            <w:vAlign w:val="bottom"/>
          </w:tcPr>
          <w:p>
            <w:pPr>
              <w:jc w:val="center"/>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24"/>
                <w:szCs w:val="24"/>
                <w:color w:val="auto"/>
              </w:rPr>
            </w:pPr>
          </w:p>
        </w:tc>
        <w:tc>
          <w:tcPr>
            <w:tcW w:w="8600" w:type="dxa"/>
            <w:vAlign w:val="bottom"/>
            <w:gridSpan w:val="3"/>
          </w:tcPr>
          <w:p>
            <w:pPr>
              <w:ind w:left="100"/>
              <w:spacing w:after="0"/>
              <w:rPr>
                <w:sz w:val="20"/>
                <w:szCs w:val="20"/>
                <w:color w:val="auto"/>
              </w:rPr>
            </w:pPr>
            <w:r>
              <w:rPr>
                <w:rFonts w:ascii="Arial" w:cs="Arial" w:eastAsia="Arial" w:hAnsi="Arial"/>
                <w:sz w:val="16"/>
                <w:szCs w:val="16"/>
                <w:color w:val="auto"/>
              </w:rPr>
              <w:t>Chief Legal Officer, since December 2020, and Secretary, since April 2021; and Executive Vice President, Chief Legal</w:t>
            </w:r>
          </w:p>
        </w:tc>
      </w:tr>
      <w:tr>
        <w:trPr>
          <w:trHeight w:val="215"/>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0" w:type="dxa"/>
            <w:vAlign w:val="bottom"/>
            <w:gridSpan w:val="3"/>
          </w:tcPr>
          <w:p>
            <w:pPr>
              <w:ind w:left="100"/>
              <w:spacing w:after="0"/>
              <w:rPr>
                <w:sz w:val="20"/>
                <w:szCs w:val="20"/>
                <w:color w:val="auto"/>
              </w:rPr>
            </w:pPr>
            <w:r>
              <w:rPr>
                <w:rFonts w:ascii="Arial" w:cs="Arial" w:eastAsia="Arial" w:hAnsi="Arial"/>
                <w:sz w:val="16"/>
                <w:szCs w:val="16"/>
                <w:color w:val="auto"/>
              </w:rPr>
              <w:t>Officer, and Secretary, TechnipFMC plc (a global oilfield services company), January 2017 to September 2020.</w:t>
            </w:r>
          </w:p>
        </w:tc>
      </w:tr>
      <w:tr>
        <w:trPr>
          <w:trHeight w:val="634"/>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60" w:type="dxa"/>
            <w:vAlign w:val="bottom"/>
            <w:gridSpan w:val="2"/>
          </w:tcPr>
          <w:p>
            <w:pPr>
              <w:jc w:val="right"/>
              <w:ind w:right="1140"/>
              <w:spacing w:after="0"/>
              <w:rPr>
                <w:sz w:val="20"/>
                <w:szCs w:val="20"/>
                <w:color w:val="auto"/>
              </w:rPr>
            </w:pPr>
            <w:r>
              <w:rPr>
                <w:rFonts w:ascii="Arial" w:cs="Arial" w:eastAsia="Arial" w:hAnsi="Arial"/>
                <w:sz w:val="16"/>
                <w:szCs w:val="16"/>
                <w:color w:val="auto"/>
              </w:rPr>
              <w:t>8</w:t>
            </w:r>
          </w:p>
        </w:tc>
        <w:tc>
          <w:tcPr>
            <w:tcW w:w="4440" w:type="dxa"/>
            <w:vAlign w:val="bottom"/>
          </w:tcPr>
          <w:p>
            <w:pPr>
              <w:spacing w:after="0"/>
              <w:rPr>
                <w:sz w:val="24"/>
                <w:szCs w:val="24"/>
                <w:color w:val="auto"/>
              </w:rPr>
            </w:pPr>
          </w:p>
        </w:tc>
      </w:tr>
      <w:tr>
        <w:trPr>
          <w:trHeight w:val="644"/>
        </w:trPr>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9"/>
        </w:trPr>
        <w:tc>
          <w:tcPr>
            <w:tcW w:w="1920" w:type="dxa"/>
            <w:vAlign w:val="bottom"/>
          </w:tcPr>
          <w:p>
            <w:pPr>
              <w:ind w:left="20"/>
              <w:spacing w:after="0"/>
              <w:rPr>
                <w:sz w:val="20"/>
                <w:szCs w:val="20"/>
                <w:color w:val="auto"/>
              </w:rPr>
            </w:pPr>
            <w:r>
              <w:rPr>
                <w:rFonts w:ascii="Arial" w:cs="Arial" w:eastAsia="Arial" w:hAnsi="Arial"/>
                <w:sz w:val="16"/>
                <w:szCs w:val="16"/>
                <w:color w:val="auto"/>
              </w:rPr>
              <w:t>Carmen Rando Bejar</w:t>
            </w: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46</w:t>
            </w:r>
          </w:p>
        </w:tc>
        <w:tc>
          <w:tcPr>
            <w:tcW w:w="8620" w:type="dxa"/>
            <w:vAlign w:val="bottom"/>
          </w:tcPr>
          <w:p>
            <w:pPr>
              <w:ind w:left="120"/>
              <w:spacing w:after="0"/>
              <w:rPr>
                <w:sz w:val="20"/>
                <w:szCs w:val="20"/>
                <w:color w:val="auto"/>
              </w:rPr>
            </w:pPr>
            <w:r>
              <w:rPr>
                <w:rFonts w:ascii="Arial" w:cs="Arial" w:eastAsia="Arial" w:hAnsi="Arial"/>
                <w:sz w:val="16"/>
                <w:szCs w:val="16"/>
                <w:color w:val="auto"/>
              </w:rPr>
              <w:t>Chief People Officer, since April 2022; Vice President, Global Business Services, September 2019 to March 2022; and</w:t>
            </w:r>
          </w:p>
        </w:tc>
      </w:tr>
      <w:tr>
        <w:trPr>
          <w:trHeight w:val="215"/>
        </w:trPr>
        <w:tc>
          <w:tcPr>
            <w:tcW w:w="1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tcPr>
          <w:p>
            <w:pPr>
              <w:ind w:left="120"/>
              <w:spacing w:after="0"/>
              <w:rPr>
                <w:sz w:val="20"/>
                <w:szCs w:val="20"/>
                <w:color w:val="auto"/>
              </w:rPr>
            </w:pPr>
            <w:r>
              <w:rPr>
                <w:rFonts w:ascii="Arial" w:cs="Arial" w:eastAsia="Arial" w:hAnsi="Arial"/>
                <w:sz w:val="16"/>
                <w:szCs w:val="16"/>
                <w:color w:val="auto"/>
              </w:rPr>
              <w:t>Operational Planning and Resource Manager, Drilling and Measurements, April 2018 to August 2019.</w:t>
            </w:r>
          </w:p>
        </w:tc>
      </w:tr>
      <w:tr>
        <w:trPr>
          <w:trHeight w:val="406"/>
        </w:trPr>
        <w:tc>
          <w:tcPr>
            <w:tcW w:w="1920" w:type="dxa"/>
            <w:vAlign w:val="bottom"/>
          </w:tcPr>
          <w:p>
            <w:pPr>
              <w:ind w:left="20"/>
              <w:spacing w:after="0"/>
              <w:rPr>
                <w:sz w:val="20"/>
                <w:szCs w:val="20"/>
                <w:color w:val="auto"/>
              </w:rPr>
            </w:pPr>
            <w:r>
              <w:rPr>
                <w:rFonts w:ascii="Arial" w:cs="Arial" w:eastAsia="Arial" w:hAnsi="Arial"/>
                <w:sz w:val="16"/>
                <w:szCs w:val="16"/>
                <w:color w:val="auto"/>
              </w:rPr>
              <w:t>Rakesh Jaggi</w:t>
            </w: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54</w:t>
            </w:r>
          </w:p>
        </w:tc>
        <w:tc>
          <w:tcPr>
            <w:tcW w:w="8620" w:type="dxa"/>
            <w:vAlign w:val="bottom"/>
          </w:tcPr>
          <w:p>
            <w:pPr>
              <w:ind w:left="120"/>
              <w:spacing w:after="0"/>
              <w:rPr>
                <w:sz w:val="20"/>
                <w:szCs w:val="20"/>
                <w:color w:val="auto"/>
              </w:rPr>
            </w:pPr>
            <w:r>
              <w:rPr>
                <w:rFonts w:ascii="Arial" w:cs="Arial" w:eastAsia="Arial" w:hAnsi="Arial"/>
                <w:sz w:val="16"/>
                <w:szCs w:val="16"/>
                <w:color w:val="auto"/>
              </w:rPr>
              <w:t>President, Digital and Integration, since April 2023; Senior Vice President, Sales &amp; Commercial, May 2019 to March</w:t>
            </w:r>
          </w:p>
        </w:tc>
      </w:tr>
      <w:tr>
        <w:trPr>
          <w:trHeight w:val="215"/>
        </w:trPr>
        <w:tc>
          <w:tcPr>
            <w:tcW w:w="1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tcPr>
          <w:p>
            <w:pPr>
              <w:ind w:left="120"/>
              <w:spacing w:after="0"/>
              <w:rPr>
                <w:sz w:val="20"/>
                <w:szCs w:val="20"/>
                <w:color w:val="auto"/>
              </w:rPr>
            </w:pPr>
            <w:r>
              <w:rPr>
                <w:rFonts w:ascii="Arial" w:cs="Arial" w:eastAsia="Arial" w:hAnsi="Arial"/>
                <w:sz w:val="16"/>
                <w:szCs w:val="16"/>
                <w:color w:val="auto"/>
              </w:rPr>
              <w:t>2023; and President, Completions, March 2017 to May 2019.</w:t>
            </w:r>
          </w:p>
        </w:tc>
      </w:tr>
      <w:tr>
        <w:trPr>
          <w:trHeight w:val="406"/>
        </w:trPr>
        <w:tc>
          <w:tcPr>
            <w:tcW w:w="1920" w:type="dxa"/>
            <w:vAlign w:val="bottom"/>
          </w:tcPr>
          <w:p>
            <w:pPr>
              <w:ind w:left="20"/>
              <w:spacing w:after="0"/>
              <w:rPr>
                <w:sz w:val="20"/>
                <w:szCs w:val="20"/>
                <w:color w:val="auto"/>
              </w:rPr>
            </w:pPr>
            <w:r>
              <w:rPr>
                <w:rFonts w:ascii="Arial" w:cs="Arial" w:eastAsia="Arial" w:hAnsi="Arial"/>
                <w:sz w:val="16"/>
                <w:szCs w:val="16"/>
                <w:color w:val="auto"/>
              </w:rPr>
              <w:t>Gavin Rennick</w:t>
            </w: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49</w:t>
            </w:r>
          </w:p>
        </w:tc>
        <w:tc>
          <w:tcPr>
            <w:tcW w:w="8620" w:type="dxa"/>
            <w:vAlign w:val="bottom"/>
          </w:tcPr>
          <w:p>
            <w:pPr>
              <w:ind w:left="120"/>
              <w:spacing w:after="0"/>
              <w:rPr>
                <w:sz w:val="20"/>
                <w:szCs w:val="20"/>
                <w:color w:val="auto"/>
              </w:rPr>
            </w:pPr>
            <w:r>
              <w:rPr>
                <w:rFonts w:ascii="Arial" w:cs="Arial" w:eastAsia="Arial" w:hAnsi="Arial"/>
                <w:sz w:val="16"/>
                <w:szCs w:val="16"/>
                <w:color w:val="auto"/>
              </w:rPr>
              <w:t>President, New Energy, since April 2022; Vice President, Human Resources, February 2019 to March 2022; and</w:t>
            </w:r>
          </w:p>
        </w:tc>
      </w:tr>
      <w:tr>
        <w:trPr>
          <w:trHeight w:val="215"/>
        </w:trPr>
        <w:tc>
          <w:tcPr>
            <w:tcW w:w="1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tcPr>
          <w:p>
            <w:pPr>
              <w:ind w:left="120"/>
              <w:spacing w:after="0"/>
              <w:rPr>
                <w:sz w:val="20"/>
                <w:szCs w:val="20"/>
                <w:color w:val="auto"/>
              </w:rPr>
            </w:pPr>
            <w:r>
              <w:rPr>
                <w:rFonts w:ascii="Arial" w:cs="Arial" w:eastAsia="Arial" w:hAnsi="Arial"/>
                <w:sz w:val="16"/>
                <w:szCs w:val="16"/>
                <w:color w:val="auto"/>
              </w:rPr>
              <w:t>President, Software Integrated Solutions, January 2017 to February 2019.</w:t>
            </w:r>
          </w:p>
        </w:tc>
      </w:tr>
      <w:tr>
        <w:trPr>
          <w:trHeight w:val="432"/>
        </w:trPr>
        <w:tc>
          <w:tcPr>
            <w:tcW w:w="1920" w:type="dxa"/>
            <w:vAlign w:val="bottom"/>
          </w:tcPr>
          <w:p>
            <w:pPr>
              <w:ind w:left="20"/>
              <w:spacing w:after="0"/>
              <w:rPr>
                <w:sz w:val="20"/>
                <w:szCs w:val="20"/>
                <w:color w:val="auto"/>
              </w:rPr>
            </w:pPr>
            <w:r>
              <w:rPr>
                <w:rFonts w:ascii="Arial" w:cs="Arial" w:eastAsia="Arial" w:hAnsi="Arial"/>
                <w:sz w:val="16"/>
                <w:szCs w:val="16"/>
                <w:color w:val="auto"/>
              </w:rPr>
              <w:t>Kevin Fyfe</w:t>
            </w: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50</w:t>
            </w:r>
          </w:p>
        </w:tc>
        <w:tc>
          <w:tcPr>
            <w:tcW w:w="8620" w:type="dxa"/>
            <w:vAlign w:val="bottom"/>
          </w:tcPr>
          <w:p>
            <w:pPr>
              <w:ind w:left="120"/>
              <w:spacing w:after="0"/>
              <w:rPr>
                <w:sz w:val="20"/>
                <w:szCs w:val="20"/>
                <w:color w:val="auto"/>
              </w:rPr>
            </w:pPr>
            <w:r>
              <w:rPr>
                <w:rFonts w:ascii="Arial" w:cs="Arial" w:eastAsia="Arial" w:hAnsi="Arial"/>
                <w:sz w:val="16"/>
                <w:szCs w:val="16"/>
                <w:color w:val="auto"/>
              </w:rPr>
              <w:t>Vice President and Treasurer, since July 2022; and Vice President and Controller, October 2017 to June 2022.</w:t>
            </w:r>
          </w:p>
        </w:tc>
      </w:tr>
      <w:tr>
        <w:trPr>
          <w:trHeight w:val="432"/>
        </w:trPr>
        <w:tc>
          <w:tcPr>
            <w:tcW w:w="1920" w:type="dxa"/>
            <w:vAlign w:val="bottom"/>
          </w:tcPr>
          <w:p>
            <w:pPr>
              <w:ind w:left="20"/>
              <w:spacing w:after="0"/>
              <w:rPr>
                <w:sz w:val="20"/>
                <w:szCs w:val="20"/>
                <w:color w:val="auto"/>
              </w:rPr>
            </w:pPr>
            <w:r>
              <w:rPr>
                <w:rFonts w:ascii="Arial" w:cs="Arial" w:eastAsia="Arial" w:hAnsi="Arial"/>
                <w:sz w:val="16"/>
                <w:szCs w:val="16"/>
                <w:color w:val="auto"/>
              </w:rPr>
              <w:t>Howard Guild</w:t>
            </w: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52</w:t>
            </w:r>
          </w:p>
        </w:tc>
        <w:tc>
          <w:tcPr>
            <w:tcW w:w="8620" w:type="dxa"/>
            <w:vAlign w:val="bottom"/>
          </w:tcPr>
          <w:p>
            <w:pPr>
              <w:ind w:left="120"/>
              <w:spacing w:after="0"/>
              <w:rPr>
                <w:sz w:val="20"/>
                <w:szCs w:val="20"/>
                <w:color w:val="auto"/>
              </w:rPr>
            </w:pPr>
            <w:r>
              <w:rPr>
                <w:rFonts w:ascii="Arial" w:cs="Arial" w:eastAsia="Arial" w:hAnsi="Arial"/>
                <w:sz w:val="16"/>
                <w:szCs w:val="16"/>
                <w:color w:val="auto"/>
              </w:rPr>
              <w:t>Chief Accounting Officer, since July 2005.</w:t>
            </w:r>
          </w:p>
        </w:tc>
      </w:tr>
      <w:tr>
        <w:trPr>
          <w:trHeight w:val="406"/>
        </w:trPr>
        <w:tc>
          <w:tcPr>
            <w:tcW w:w="1920" w:type="dxa"/>
            <w:vAlign w:val="bottom"/>
          </w:tcPr>
          <w:p>
            <w:pPr>
              <w:ind w:left="20"/>
              <w:spacing w:after="0"/>
              <w:rPr>
                <w:sz w:val="20"/>
                <w:szCs w:val="20"/>
                <w:color w:val="auto"/>
              </w:rPr>
            </w:pPr>
            <w:r>
              <w:rPr>
                <w:rFonts w:ascii="Arial" w:cs="Arial" w:eastAsia="Arial" w:hAnsi="Arial"/>
                <w:sz w:val="16"/>
                <w:szCs w:val="16"/>
                <w:color w:val="auto"/>
              </w:rPr>
              <w:t>Ugo Prechner</w:t>
            </w: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46</w:t>
            </w:r>
          </w:p>
        </w:tc>
        <w:tc>
          <w:tcPr>
            <w:tcW w:w="8620" w:type="dxa"/>
            <w:vAlign w:val="bottom"/>
          </w:tcPr>
          <w:p>
            <w:pPr>
              <w:ind w:left="120"/>
              <w:spacing w:after="0"/>
              <w:rPr>
                <w:sz w:val="20"/>
                <w:szCs w:val="20"/>
                <w:color w:val="auto"/>
              </w:rPr>
            </w:pPr>
            <w:r>
              <w:rPr>
                <w:rFonts w:ascii="Arial" w:cs="Arial" w:eastAsia="Arial" w:hAnsi="Arial"/>
                <w:sz w:val="16"/>
                <w:szCs w:val="16"/>
                <w:color w:val="auto"/>
              </w:rPr>
              <w:t>Vice President and Controller, since August 2022; Well Construction Controller, July 2020 to July 2022; Controller</w:t>
            </w:r>
          </w:p>
        </w:tc>
      </w:tr>
      <w:tr>
        <w:trPr>
          <w:trHeight w:val="215"/>
        </w:trPr>
        <w:tc>
          <w:tcPr>
            <w:tcW w:w="1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tcPr>
          <w:p>
            <w:pPr>
              <w:ind w:left="120"/>
              <w:spacing w:after="0"/>
              <w:rPr>
                <w:sz w:val="20"/>
                <w:szCs w:val="20"/>
                <w:color w:val="auto"/>
              </w:rPr>
            </w:pPr>
            <w:r>
              <w:rPr>
                <w:rFonts w:ascii="Arial" w:cs="Arial" w:eastAsia="Arial" w:hAnsi="Arial"/>
                <w:sz w:val="16"/>
                <w:szCs w:val="16"/>
                <w:color w:val="auto"/>
              </w:rPr>
              <w:t>Operations, August 2019 to June 2020; and M-I SWACO Controller, October 2017 to August 2019.</w:t>
            </w:r>
          </w:p>
        </w:tc>
      </w:tr>
      <w:tr>
        <w:trPr>
          <w:trHeight w:val="432"/>
        </w:trPr>
        <w:tc>
          <w:tcPr>
            <w:tcW w:w="1920" w:type="dxa"/>
            <w:vAlign w:val="bottom"/>
          </w:tcPr>
          <w:p>
            <w:pPr>
              <w:ind w:left="20"/>
              <w:spacing w:after="0"/>
              <w:rPr>
                <w:sz w:val="20"/>
                <w:szCs w:val="20"/>
                <w:color w:val="auto"/>
              </w:rPr>
            </w:pPr>
            <w:r>
              <w:rPr>
                <w:rFonts w:ascii="Arial" w:cs="Arial" w:eastAsia="Arial" w:hAnsi="Arial"/>
                <w:sz w:val="16"/>
                <w:szCs w:val="16"/>
                <w:color w:val="auto"/>
              </w:rPr>
              <w:t>Vijay Kasibhatla</w:t>
            </w: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60</w:t>
            </w:r>
          </w:p>
        </w:tc>
        <w:tc>
          <w:tcPr>
            <w:tcW w:w="8620" w:type="dxa"/>
            <w:vAlign w:val="bottom"/>
          </w:tcPr>
          <w:p>
            <w:pPr>
              <w:ind w:left="120"/>
              <w:spacing w:after="0"/>
              <w:rPr>
                <w:sz w:val="20"/>
                <w:szCs w:val="20"/>
                <w:color w:val="auto"/>
              </w:rPr>
            </w:pPr>
            <w:r>
              <w:rPr>
                <w:rFonts w:ascii="Arial" w:cs="Arial" w:eastAsia="Arial" w:hAnsi="Arial"/>
                <w:sz w:val="16"/>
                <w:szCs w:val="16"/>
                <w:color w:val="auto"/>
              </w:rPr>
              <w:t>Director, Mergers and Acquisitions, since January 2013.</w:t>
            </w:r>
          </w:p>
        </w:tc>
      </w:tr>
      <w:tr>
        <w:trPr>
          <w:trHeight w:val="419"/>
        </w:trPr>
        <w:tc>
          <w:tcPr>
            <w:tcW w:w="1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20" w:type="dxa"/>
            <w:vAlign w:val="bottom"/>
          </w:tcPr>
          <w:p>
            <w:pPr>
              <w:ind w:left="2960"/>
              <w:spacing w:after="0"/>
              <w:rPr>
                <w:sz w:val="20"/>
                <w:szCs w:val="20"/>
                <w:color w:val="auto"/>
              </w:rPr>
            </w:pPr>
            <w:r>
              <w:rPr>
                <w:rFonts w:ascii="Arial" w:cs="Arial" w:eastAsia="Arial" w:hAnsi="Arial"/>
                <w:sz w:val="16"/>
                <w:szCs w:val="16"/>
                <w:color w:val="auto"/>
              </w:rPr>
              <w:t>9</w:t>
            </w:r>
          </w:p>
        </w:tc>
      </w:tr>
      <w:tr>
        <w:trPr>
          <w:trHeight w:val="643"/>
        </w:trPr>
        <w:tc>
          <w:tcPr>
            <w:tcW w:w="19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auto"/>
        </w:rPr>
        <w:t>Item 1A. Risk Factors.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The following discussion of risk factors known to us contains important information for the understanding of our “forward-looking statements,” which are discussed immediately following Item 7A. of this Form 10-K and elsewhere. These risk factors should also be read in conjunction with Item 7. Management’s Discussion and Analysis of Financial Condition and Results of Operations, and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and related notes included in Item 8. Financial Statements and Supplementary Data of this Form 10-K.</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Please carefully consider the risks described below, which discuss the material factors that make an investment in our securities speculative or risky, other material included or incorporated by reference in this Form 10-K, and other reports and materials that we file with the SEC. Additional risks and uncertainties not currently known to us or that we currently deem immaterial could also materially adversely affect our business, reputation, financial condition, results of operations, cash flows and prospects.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Business and Operational Risks</w:t>
      </w:r>
    </w:p>
    <w:p>
      <w:pPr>
        <w:spacing w:after="0" w:line="11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color w:val="auto"/>
        </w:rPr>
        <w:t>Demand for our products and services is substantially dependent on the levels of expenditures by our customers, which can change based on many factors, including fluctuations in oil and gas prices. Oil and gas industry downturns have resulted in reduced demand for oilfield products and services and lower expenditures by our customers, which has in the past had, and may in the future have, a material adverse effect on our financial condition, results of operations and cash flows.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Demand for our products and services depends substantially on expenditures by our customers for the exploration, development and production of oil and gas reserves. These expenditures are generally dependent on our customers’ views of future demand for oil and gas and future oil and gas prices, as well as our customers’ ability to access capital. In addition, the transition of the global energy sector from a primarily fossil fuel-based system to a diverse system which includes renewable energy sources could affect our customers’ levels of expenditures.</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Actual and anticipated declines in oil and gas prices have in the past resulted in, and may in the future result in, lower capital expenditures, project modifications, delays or cancellations, general business disruptions, and delays in payment of, or nonpayment of, amounts that are owed to us. These effects have had, and may in the future have, a material adverse effect on our financial condition, results of operations and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Historically, oil and gas prices have experienced significant volatility and can be affected by a variety of factors, including:</w:t>
      </w:r>
    </w:p>
    <w:p>
      <w:pPr>
        <w:spacing w:after="0" w:line="302"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the supply of and demand for hydrocarbons, which are affected by general economic and business conditions;</w:t>
      </w:r>
    </w:p>
    <w:p>
      <w:pPr>
        <w:spacing w:after="0" w:line="29"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the costs of exploring for, producing, and delivering oil and gas;</w:t>
      </w:r>
    </w:p>
    <w:p>
      <w:pPr>
        <w:spacing w:after="0" w:line="17" w:lineRule="exact"/>
        <w:rPr>
          <w:rFonts w:ascii="Times New Roman" w:cs="Times New Roman" w:eastAsia="Times New Roman" w:hAnsi="Times New Roman"/>
          <w:sz w:val="16"/>
          <w:szCs w:val="16"/>
          <w:color w:val="auto"/>
        </w:rPr>
      </w:pPr>
    </w:p>
    <w:p>
      <w:pPr>
        <w:ind w:left="1020" w:right="20" w:hanging="503"/>
        <w:spacing w:after="0" w:line="248" w:lineRule="auto"/>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the ability or willingness of the Organization of Petroleum Exporting Countries and the expanded alliance known as OPEC+ to set and maintain production levels for oil;</w:t>
      </w: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the level of oil and gas exploration and production activity;</w:t>
      </w:r>
    </w:p>
    <w:p>
      <w:pPr>
        <w:spacing w:after="0" w:line="13"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the level of excess production capacity;</w:t>
      </w:r>
    </w:p>
    <w:p>
      <w:pPr>
        <w:spacing w:after="0" w:line="17"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the level of refining and storage capacity;</w:t>
      </w:r>
    </w:p>
    <w:p>
      <w:pPr>
        <w:spacing w:after="0" w:line="17"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the level of oil and gas inventories;</w:t>
      </w:r>
    </w:p>
    <w:p>
      <w:pPr>
        <w:spacing w:after="0" w:line="17"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access to potential resources;</w:t>
      </w:r>
    </w:p>
    <w:p>
      <w:pPr>
        <w:spacing w:after="0" w:line="17"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political and economic uncertainty and geopolitical unrest;</w:t>
      </w:r>
    </w:p>
    <w:p>
      <w:pPr>
        <w:spacing w:after="0" w:line="17"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governmental laws, policies, regulations, subsidies, and other actions, including initiatives to promote the use of renewable energy sources;</w:t>
      </w:r>
    </w:p>
    <w:p>
      <w:pPr>
        <w:spacing w:after="0" w:line="17"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speculation as to the future price of oil and the speculative trading of oil and gas futures contracts;</w:t>
      </w:r>
    </w:p>
    <w:p>
      <w:pPr>
        <w:spacing w:after="0" w:line="17"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technological advances affecting energy consumption; and</w:t>
      </w:r>
    </w:p>
    <w:p>
      <w:pPr>
        <w:spacing w:after="0" w:line="17"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extreme weather conditions, natural disasters, and public health or similar issues, such as pandemics and epidemics.</w:t>
      </w:r>
    </w:p>
    <w:p>
      <w:pPr>
        <w:spacing w:after="0" w:line="19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oil and gas industry has historically experienced periodic downturns, which have been characterized by diminished demand for our products and services and downward pressure on the prices that we are able to charge. Sustained market uncertainty can also result in lower demand and pricing for our products and services. A significant industry downturn, sustained market uncertainty, or increased availability of economical alternative energy sources could result in a reduction in demand for our products and services, which could adversely affect our business, financial condition, results of operations, cash flows and prospects.</w:t>
      </w:r>
    </w:p>
    <w:p>
      <w:pPr>
        <w:spacing w:after="0" w:line="15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Disruptions in the political, regulatory, economic, and social environments of the countries in which we operate could adversely affect our reputation, financial condition, results of operations and cash flows.</w:t>
      </w:r>
    </w:p>
    <w:p>
      <w:pPr>
        <w:spacing w:after="0" w:line="32"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We are a global technology company, and our non-US operations accounted for approximately 84% of our consolidated revenue in 2023 and 2022, and 85% in 2021. Geopolitical instability and unforeseen changes in any of the markets in which we operate could result in business disruptions or operational challenges that may adversely affect the demand for our products and services, or our reputation, our financial condition, and our results of operations and cash flows. These factors include, but are not limited to, the following:</w:t>
      </w:r>
    </w:p>
    <w:p>
      <w:pPr>
        <w:spacing w:after="0" w:line="151"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uncertain or volatile political, social, and economic conditions;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440" w:type="dxa"/>
            <w:vAlign w:val="bottom"/>
          </w:tcPr>
          <w:p>
            <w:pPr>
              <w:ind w:left="220"/>
              <w:spacing w:after="0"/>
              <w:rPr>
                <w:sz w:val="20"/>
                <w:szCs w:val="20"/>
                <w:color w:val="auto"/>
              </w:rPr>
            </w:pPr>
            <w:r>
              <w:rPr>
                <w:rFonts w:ascii="Arial" w:cs="Arial" w:eastAsia="Arial" w:hAnsi="Arial"/>
                <w:sz w:val="16"/>
                <w:szCs w:val="16"/>
                <w:color w:val="auto"/>
              </w:rPr>
              <w:t>exposure to expropriation, nationalization, deprivation or confiscation of our assets or the assets of our customers, or other  governmental</w:t>
            </w:r>
          </w:p>
        </w:tc>
      </w:tr>
      <w:tr>
        <w:trPr>
          <w:trHeight w:val="215"/>
        </w:trPr>
        <w:tc>
          <w:tcPr>
            <w:tcW w:w="800" w:type="dxa"/>
            <w:vAlign w:val="bottom"/>
          </w:tcPr>
          <w:p>
            <w:pPr>
              <w:spacing w:after="0"/>
              <w:rPr>
                <w:sz w:val="18"/>
                <w:szCs w:val="18"/>
                <w:color w:val="auto"/>
              </w:rPr>
            </w:pPr>
          </w:p>
        </w:tc>
        <w:tc>
          <w:tcPr>
            <w:tcW w:w="10440" w:type="dxa"/>
            <w:vAlign w:val="bottom"/>
          </w:tcPr>
          <w:p>
            <w:pPr>
              <w:ind w:left="220"/>
              <w:spacing w:after="0"/>
              <w:rPr>
                <w:sz w:val="20"/>
                <w:szCs w:val="20"/>
                <w:color w:val="auto"/>
              </w:rPr>
            </w:pPr>
            <w:r>
              <w:rPr>
                <w:rFonts w:ascii="Arial" w:cs="Arial" w:eastAsia="Arial" w:hAnsi="Arial"/>
                <w:sz w:val="16"/>
                <w:szCs w:val="16"/>
                <w:color w:val="auto"/>
              </w:rPr>
              <w:t>actions;</w:t>
            </w:r>
          </w:p>
        </w:tc>
      </w:tr>
      <w:tr>
        <w:trPr>
          <w:trHeight w:val="405"/>
        </w:trPr>
        <w:tc>
          <w:tcPr>
            <w:tcW w:w="800" w:type="dxa"/>
            <w:vAlign w:val="bottom"/>
          </w:tcPr>
          <w:p>
            <w:pPr>
              <w:spacing w:after="0"/>
              <w:rPr>
                <w:sz w:val="24"/>
                <w:szCs w:val="24"/>
                <w:color w:val="auto"/>
              </w:rPr>
            </w:pPr>
          </w:p>
        </w:tc>
        <w:tc>
          <w:tcPr>
            <w:tcW w:w="10440" w:type="dxa"/>
            <w:vAlign w:val="bottom"/>
          </w:tcPr>
          <w:p>
            <w:pPr>
              <w:jc w:val="right"/>
              <w:ind w:right="5439"/>
              <w:spacing w:after="0"/>
              <w:rPr>
                <w:sz w:val="20"/>
                <w:szCs w:val="20"/>
                <w:color w:val="auto"/>
              </w:rPr>
            </w:pPr>
            <w:r>
              <w:rPr>
                <w:rFonts w:ascii="Arial" w:cs="Arial" w:eastAsia="Arial" w:hAnsi="Arial"/>
                <w:sz w:val="16"/>
                <w:szCs w:val="16"/>
                <w:color w:val="auto"/>
              </w:rPr>
              <w:t>10</w:t>
            </w:r>
          </w:p>
        </w:tc>
      </w:tr>
      <w:tr>
        <w:trPr>
          <w:trHeight w:val="643"/>
        </w:trPr>
        <w:tc>
          <w:tcPr>
            <w:tcW w:w="800" w:type="dxa"/>
            <w:vAlign w:val="bottom"/>
            <w:tcBorders>
              <w:bottom w:val="single" w:sz="8" w:color="9A9A9A"/>
            </w:tcBorders>
          </w:tcPr>
          <w:p>
            <w:pPr>
              <w:spacing w:after="0"/>
              <w:rPr>
                <w:sz w:val="24"/>
                <w:szCs w:val="24"/>
                <w:color w:val="auto"/>
              </w:rPr>
            </w:pPr>
          </w:p>
        </w:tc>
        <w:tc>
          <w:tcPr>
            <w:tcW w:w="10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social unrest, acts of terrorism, war, or other armed conflict;</w:t>
      </w:r>
    </w:p>
    <w:p>
      <w:pPr>
        <w:spacing w:after="0" w:line="29"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confiscatory taxation or other adverse tax policies;</w:t>
      </w:r>
    </w:p>
    <w:p>
      <w:pPr>
        <w:spacing w:after="0" w:line="17"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theft of, or lack of sufficient legal protection for, proprietary technology and other intellectual property;</w:t>
      </w:r>
    </w:p>
    <w:p>
      <w:pPr>
        <w:spacing w:after="0" w:line="17"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deprivation of contract rights;</w:t>
      </w:r>
    </w:p>
    <w:p>
      <w:pPr>
        <w:spacing w:after="0" w:line="17" w:lineRule="exact"/>
        <w:rPr>
          <w:rFonts w:ascii="Times New Roman" w:cs="Times New Roman" w:eastAsia="Times New Roman" w:hAnsi="Times New Roman"/>
          <w:sz w:val="16"/>
          <w:szCs w:val="16"/>
          <w:color w:val="auto"/>
        </w:rPr>
      </w:pPr>
    </w:p>
    <w:p>
      <w:pPr>
        <w:ind w:left="1020" w:hanging="503"/>
        <w:spacing w:after="0" w:line="248"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trade and economic sanctions or other restrictions imposed by the European Union, the United States, the United Kingdom, China, or other regions or countries that could restrict or curtail our ability to operate in certain markets;</w:t>
      </w: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public health crises;</w:t>
      </w:r>
    </w:p>
    <w:p>
      <w:pPr>
        <w:spacing w:after="0" w:line="13"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unexpected changes in legal and regulatory requirements, including changes in interpretation or enforcement of existing laws;</w:t>
      </w:r>
    </w:p>
    <w:p>
      <w:pPr>
        <w:spacing w:after="0" w:line="17"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restrictions on the repatriation of income or capital;</w:t>
      </w:r>
    </w:p>
    <w:p>
      <w:pPr>
        <w:spacing w:after="0" w:line="17"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currency exchange controls;</w:t>
      </w:r>
    </w:p>
    <w:p>
      <w:pPr>
        <w:spacing w:after="0" w:line="17"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inflation; and</w:t>
      </w:r>
    </w:p>
    <w:p>
      <w:pPr>
        <w:spacing w:after="0" w:line="17"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currency exchange rate fluctuations and devaluations.</w:t>
      </w:r>
    </w:p>
    <w:p>
      <w:pPr>
        <w:spacing w:after="0" w:line="19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As an example of a risk resulting from our global operations, in March 2022 we decided to immediately suspend new investment and technology deployment to our Russia operations. In July 2023, we announced that we were halting shipments of products into Russia from all our facilities worldwide in response to the continued expansion of international sanctions. Russia represented approximately 5% of our worldwide revenue during 2023. The carrying value of our net assets in Russia was approximately $0.6 billion as of December 31, 2023. This consisted of $0.2 billion of receivables, $0.3 billion of fixed assets, $0.4 billion of other assets, and $0.3 billion of current liabilities.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continue to actively monitor the dynamic situation in Ukraine and applicable laws, sanctions and trade control restrictions resulting from the conflict. The extent to which our operations, financial results and cash flows may be affected by the ongoing conflict in Ukraine will depend on various factors, including the extent and duration of the conflict; the effects of the conflict on regional and global economic and geopolitical conditions; the effect of further laws, sanctions and trade control restrictions on our business, the global economy and global supply chains; and the impact of fluctuations in the exchange rate of the ruble. Continuation or escalation of the conflict may also exacerbate this and other risk factors identified in this Form 10-K, including cybersecurity, regulatory, and reputational risks.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effectively and timely address the energy transition could adversely affect our business, results of operations, and cash flows.</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long-term success depends on our ability to effectively address the energy transition, which will require adapting our technology portfolio to changing customer preferences and government requirements, developing solutions to decarbonize oil and gas operations, and scaling innovative low-carbon and carbon-neutral technologies. If the energy transition landscape changes faster than anticipated or in a manner that we do not anticipate, demand for our products and services could be adversely affected. Furthermore, if we fail or are perceived to not effectively implement an energy transition strategy, or if investors or financial institutions shift funding away from companies in fossil fuel-related industries, our access to capital or the market for our securities could be negatively impacted.</w:t>
      </w:r>
    </w:p>
    <w:p>
      <w:pPr>
        <w:spacing w:after="0" w:line="15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Our operations are subject to cyber incidents that could have a material adverse effect on our business, financial condition, results of operations, and cash flows.</w:t>
      </w:r>
    </w:p>
    <w:p>
      <w:pPr>
        <w:spacing w:after="0" w:line="3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success depends in part on our ability to provide effective cyber security protection in connection with our digital technologies and services as well as our internal digital infrastructure. We operate information technology networks and systems for internal purposes that incorporate third-party software and technologies. We also connect to and exchange data with external networks that may be operated by our customers, suppliers, alliance partners, or other third parties. We provide digital technologies that allow us or our customers to remotely perform wellsite and field operations. We also develop software and other digital products and services that store, retrieve, manipulate, and manage our customers’ information and data, external data, personal data, and our own data.</w:t>
      </w:r>
    </w:p>
    <w:p>
      <w:pPr>
        <w:spacing w:after="0" w:line="15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digital technologies and services, as well as third-party products, services and technologies that we rely on (including emerging technologies, such as artificial intelligence programs), are subject to the risk of cyberattacks and, given the nature of such attacks, some incidents can remain undetected for a period of time despite efforts to detect and respond to them in a timely manner. Cyberattacks are expected to accelerate on a global basis in both frequency and magnitude as threat actors are becoming increasingly sophisticated in using techniques and tools (including artificial intelligence) that circumvent controls, evade detection and even remove forensic evidence of the infiltration. There can be no assurance that the systems we have designed to prevent or limit the effects of cyber incidents or attacks will be sufficient to prevent or detect material consequences arising from such incidents or attacks, or to avoid a material adverse impact on our systems after such incidents or attacks do occur. We have experienced and will continue to experience varying degrees of cyber incidents in the normal conduct of our business, including attacks resulting from social engineering such as phishing and ransomware infections. Even if we successfully defend our own digital technologies and services, we also rely on providers of third-party products, services, and networks, with whom we may share data and services, and who may be unable to effectively defend their digital technologies and services against attack.</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Unauthorized access to or modification of, or actions disabling our ability to obtain authorized access to, our customers’ data, other external data, personal data, or our own data, as a result of a cyber incident, attack or exploitation of a security vulnerability, or loss of control of our clients’ operations could result in significant damage to our reputation or disruption of the services we provide to our customers or of our customers’ businesses. In addition, allegations, reports, or concerns regarding vulnerabilities affecting our digital products or services could damage our reputation. This could lead to fewer customers using our digital products and services, which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jc w:val="both"/>
        <w:spacing w:after="0" w:line="254" w:lineRule="auto"/>
        <w:rPr>
          <w:sz w:val="20"/>
          <w:szCs w:val="20"/>
          <w:color w:val="auto"/>
        </w:rPr>
      </w:pPr>
      <w:r>
        <w:rPr>
          <w:rFonts w:ascii="Arial" w:cs="Arial" w:eastAsia="Arial" w:hAnsi="Arial"/>
          <w:sz w:val="16"/>
          <w:szCs w:val="16"/>
          <w:color w:val="auto"/>
        </w:rPr>
        <w:t>could have a material adverse impact on our financial condition, results of operations, cash flows, and future prospects. In addition, if our systems or third-party products, services, and network systems for protecting against cybersecurity risks prove to be insufficient, we could be adversely affected by, among other things, loss of or damage to our intellectual property, proprietary or confidential information; loss of customer, supplier, or our employee data; breach of personal data; interruption of our business operations; disruption of our customers’ businesses; increased legal and regulatory exposure, including fines and remediation costs; and increased costs required to prevent, respond to, or mitigate cybersecurity attacks. These risks could harm our reputation and our relationships with our employees, our customers, our suppliers, our alliance partners and other third parties, and may result in claims against us.</w:t>
      </w:r>
    </w:p>
    <w:p>
      <w:pPr>
        <w:spacing w:after="0" w:line="15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We operate in a highly competitive environment. If we are unable to maintain technology leadership, this could adversely affect any competitive advantage we hold.</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energy industry is highly competitive and rapidly evolving. Our business may be adversely affected if we fail to continue developing and producing innovative technologies in response to changes in the market, including customer and government requirements, or if we fail to deliver such technologies to our customers in a timely and cost-competitive manner. If we are unable to maintain technology leadership in our industry, our ability to maintain market share, defend, maintain, or increase prices for our products and services, and negotiate acceptable contract terms with our customers could be adversely affected. Furthermore, competing or new technologies may accelerate the obsolescence of our products or services and reduce the value of our intellectual property.</w:t>
      </w:r>
    </w:p>
    <w:p>
      <w:pPr>
        <w:spacing w:after="0" w:line="34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Limitations on our ability to obtain, maintain, protect, or enforce our intellectual property rights, including our trade secrets, could cause a loss in revenue and any competitive advantage we hold.</w:t>
      </w:r>
    </w:p>
    <w:p>
      <w:pPr>
        <w:spacing w:after="0" w:line="3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There can be no assurance that the steps we take to obtain, maintain, protect, and enforce our intellectual property rights will be adequate. Some of our products or services, and the processes we use to produce or provide them, have been granted patent protection, have patent applications pending, or are trade secrets. Our business may be adversely affected when our patents are unenforceable, the claims allowed under our patents are not sufficient to protect our technology, our patent applications are denied, or our trade secrets are not adequately protected. Patent protection on some types of technology, such as software or machine learning processes, may not be available in certain countries in which we operate. Our competitors may also be able to develop technology independently that is similar to ours without infringing on our patents or gaining access to our trade secrets.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Third parties may claim that we have infringed upon or otherwise violated their intellectual property rights.</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tools, techniques, methodologies, programs, and components we use to provide our services and products may infringe upon or otherwise violate the intellectual property rights of others or be challenged on that basis. Regardless of the merits, any such claims generally result in significant legal and other costs, including reputational harm, and may distract management from running our business. Resolving such claims could increase our costs, including through royalty payments to acquire licenses, if available, from third parties and through the development of replacement technologies. If a license to resolve a claim were not available, we might not be able to continue providing a particular service or product.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Legal and Regulatory Risks</w:t>
      </w:r>
    </w:p>
    <w:p>
      <w:pPr>
        <w:spacing w:after="0" w:line="11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Our operations require us to comply with numerous laws and regulations, violations of which could have a material adverse effect on our reputation, financial condition, results of operations or cash flows.</w:t>
      </w:r>
    </w:p>
    <w:p>
      <w:pPr>
        <w:spacing w:after="0" w:line="3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operations are subject to international, regional, national, and local laws and regulations in every place where we operate, relating to matters such as environmental protection, health and safety, labor and employment, human rights, import/export controls, currency exchange, bribery and corruption, data privacy and cybersecurity, intellectual property, immigration, and taxation. These laws and regulations are complex, frequently change, have tended to become more stringent over time, and could conflict among one another. In the event the scope of these laws and regulations expands in the future, the incremental cost of compliance could adversely affect our financial condition, results of operations, or cash flows.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operations are subject to anti-corruption and anti-bribery laws and regulations, such as the Foreign Corrupt Practices Act, the UK Bribery Act, and other similar laws. We are also subject to trade control regulations and trade sanctions laws that restrict the movement of certain goods to, and certain operations in, various countries or with certain persons. Our ability to transfer people, products, and data among certain countries is subject to maintaining required licenses and complying with these laws and regulations.</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internal controls, policies and procedures, and employee training and compliance programs we have implemented to deter prohibited practices may not be effective in preventing employees, contractors, or agents from violating or circumventing such internal policies or from material violations of applicable laws and regulations. Any determination that we have violated or are responsible for violations of applicable laws, including securities, environmental, trade control, trade sanctions, or anti-corruption laws, could have a material adverse effect on our financial condition. Violations of international and US laws and regulations or the loss of any required licenses may result in fines and penalties, criminal sanctions, administrative remedies, or restrictions on business conduct, and could have a material adverse effect on our business, operations, and financial condition. In addition, any major violations could have a significant effect on our reputation and consequently on our ability to win future business and maintain existing customer and supplier relationships.</w:t>
      </w:r>
    </w:p>
    <w:p>
      <w:pPr>
        <w:spacing w:after="0" w:line="154"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b w:val="1"/>
          <w:bCs w:val="1"/>
          <w:color w:val="auto"/>
        </w:rPr>
        <w:t>Existing or future laws, regulations, court orders or other public- or private-sector initiatives to limit greenhouse gas emissions or relating to climate change may reduce demand for our products and services.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jc w:val="both"/>
        <w:spacing w:after="0" w:line="256" w:lineRule="auto"/>
        <w:rPr>
          <w:sz w:val="20"/>
          <w:szCs w:val="20"/>
          <w:color w:val="auto"/>
        </w:rPr>
      </w:pPr>
      <w:r>
        <w:rPr>
          <w:rFonts w:ascii="Arial" w:cs="Arial" w:eastAsia="Arial" w:hAnsi="Arial"/>
          <w:sz w:val="16"/>
          <w:szCs w:val="16"/>
          <w:color w:val="auto"/>
        </w:rPr>
        <w:t>Continuing political and social attention to the issue of climate change has resulted in both existing and proposed international agreements and national, regional, and local legislation and regulatory measures to limit GHG emissions and mitigate the effects of climate change. The implementation of these agreements, including the Paris Agreement, the Europe Climate Law, and other existing or future regulatory mandates, may adversely affect the demand for our products and services, impose taxes on us or our customers, require us or our customers to reduce GHG emissions from our technologies or operations, or accelerate the obsolescence of our products or services.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addition, increasing attention to the risks of climate change has resulted in an increased possibility of litigation or investigations brought by public and private entities against oil and gas companies in connection with their GHG emissions. As a result, we or our customers may become subject to court orders compelling a reduction of GHG emissions or requiring mitigation of the effects of climate change.</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There is also increased focus by our customers, investors and other stakeholders on climate change, sustainability, and energy transition matters. Actions to address these concerns or negative perceptions of our industry or fossil fuel products and their relationship to the environment have led to initiatives to conserve energy and promote the use of alternative energy sources, which may reduce the demand for and production of oil and gas in areas of the world where our customers operate, and thus reduce future demand for our products and services. In addition, initiatives by investors and financial institutions to limit funding to companies in fossil fuel-related industries may adversely affect our liquidity or access to capital. Any of these initiatives may, in turn, adversely affect our financial condition, results of operations, and cash flows.</w:t>
      </w:r>
    </w:p>
    <w:p>
      <w:pPr>
        <w:spacing w:after="0" w:line="15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Environmental compliance costs and liabilities arising as a result of environmental laws and regulations could have a material adverse effect on our business, financial condition, results of operations, and cash flows.</w:t>
      </w:r>
    </w:p>
    <w:p>
      <w:pPr>
        <w:spacing w:after="0" w:line="3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are subject to numerous laws and regulations relating to environmental protection, including those governing air and GHG emissions, water discharges and waste management, as well as the importation and use of hazardous materials, radioactive materials, chemicals, and explosives. The technical requirements of these laws and regulations are becoming increasingly complex, stringent, and expensive to implement. These laws sometimes provide for “strict liability” for remediation costs, damages to natural resources or threats to public health and safety. Strict liability can render us liable for damages without regard to our degree of care or fault. Some environmental laws provide for joint and several strict liability for remediation of spills and releases of hazardous substances, and, as a result, we could be liable for the actions of others.</w:t>
      </w:r>
    </w:p>
    <w:p>
      <w:pPr>
        <w:spacing w:after="0" w:line="15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use and generate hazardous substances and wastes in our operations. In addition, many of our current and former properties are, or have been, used for industrial purposes. Accordingly, we could become subject to material liabilities relating to the investigation and cleanup of potentially contaminated properties, and to claims alleging personal injury or property damage as a result of exposures to, or releases of, hazardous substances. In addition, stricter enforcement or changing interpretations of existing laws and regulations, the enactment of new laws and regulations, the discovery of previously unknown contamination, or the imposition of new or increased requirements could require us to incur costs or become the basis for new or increased liabilities that could have a material adverse effect on our business, operations, and financial condition.</w:t>
      </w:r>
    </w:p>
    <w:p>
      <w:pPr>
        <w:spacing w:after="0" w:line="15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We could be subject to substantial liability claims, including as a result of well incidents, which could adversely affect our reputation, financial condition, results of operations, and cash flows.</w:t>
      </w:r>
    </w:p>
    <w:p>
      <w:pPr>
        <w:spacing w:after="0" w:line="3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technical complexities of our operations expose us to a wide range of significant health, safety, and environmental risks. Our operations involve the use of radioactive materials, chemicals, explosives and other equipment and services that are deployed in challenging exploration, development, and production environments. Accidents or acts of malfeasance involving these services or equipment, or a failure of a product (including as a result of a cyberattack), could cause personal injury, loss of life, damage to or destruction of property, equipment or the environment, or suspension of operations, which could materially adversely affect us. Any well incidents, including blowouts at a well site or any loss of containment or well control, may expose us to additional liabilities, which could be material. Generally, we rely on contractual indemnities, releases, and limitations on liability with our customers and insurance to protect us from potential liability related to such events. However, our insurance may not protect us against liability for certain kinds of events, including events involving pollution, or against losses resulting from business interruption. Moreover, we may not be able to maintain insurance at levels of risk coverage or policy limits that we deem adequate. Any damages caused by our services or products that are not covered by insurance or are in excess of policy limits or subject to substantial deductibles, could adversely affect our financial condition, results of operations, and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General Risk Factors</w:t>
      </w:r>
    </w:p>
    <w:p>
      <w:pPr>
        <w:spacing w:after="0" w:line="11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Our aspirations, goals, and initiatives related to sustainability and emissions reduction, and our public statements and disclosures regarding them, expose us to numerous risks.</w:t>
      </w:r>
    </w:p>
    <w:p>
      <w:pPr>
        <w:spacing w:after="0" w:line="3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have developed, and will continue to develop and set, goals, targets, and other objectives related to sustainability matters, including our net-zero emissions target and our energy transition strategy. Statements related to these goals, targets, and objectives reflect our current plans and aspirations and do not constitute a guarantee that they will be achieved. Our efforts to research, establish, accomplish, and accurately report on these goals, targets, and objectives expose us to numerous operational, reputational, financial, legal, and other risks. Our ability to achieve any stated goal, target, or objective, including with respect to emissions reduction, is subject to numerous factors and conditions, some of which are outside of our contro</w:t>
      </w:r>
      <w:r>
        <w:rPr>
          <w:rFonts w:ascii="Arial" w:cs="Arial" w:eastAsia="Arial" w:hAnsi="Arial"/>
          <w:sz w:val="17"/>
          <w:szCs w:val="17"/>
          <w:color w:val="auto"/>
        </w:rPr>
        <w:t>l.</w:t>
      </w:r>
      <w:r>
        <w:rPr>
          <w:rFonts w:ascii="Arial" w:cs="Arial" w:eastAsia="Arial" w:hAnsi="Arial"/>
          <w:sz w:val="16"/>
          <w:szCs w:val="16"/>
          <w:color w:val="auto"/>
        </w:rPr>
        <w:t xml:space="preserve"> Our targets are based on empirical data and estimates that reflect our understanding of current best practices for measuring or estimating emissions or other metrics, but we anticipate that future innovations in both measurement technologies and estimation methodologies could cause us to revise our baseline as well as re-calculate progress toward our targets.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jc w:val="both"/>
        <w:spacing w:after="0" w:line="253" w:lineRule="auto"/>
        <w:rPr>
          <w:sz w:val="20"/>
          <w:szCs w:val="20"/>
          <w:color w:val="auto"/>
        </w:rPr>
      </w:pPr>
      <w:r>
        <w:rPr>
          <w:rFonts w:ascii="Arial" w:cs="Arial" w:eastAsia="Arial" w:hAnsi="Arial"/>
          <w:sz w:val="16"/>
          <w:szCs w:val="16"/>
          <w:color w:val="auto"/>
        </w:rPr>
        <w:t>Our business faces increased scrutiny from certain investors and other stakeholders related to our sustainability activities, including the goals, targets, and objectives that we announce, and our methodologies and timelines for pursuing them. If our sustainability practices do not meet investor or other stakeholder expectations and standards, including any third-party ratings used by stakeholders, which continue to evolve, our reputation, our ability to attract or retain employees, our ability to access capital, and our attractiveness as an investment or business partner could be negatively affected. Similarly, our failure or perceived failure to pursue or fulfill our sustainability-focused goals, targets, and objectives, to comply with ethical, environmental, or other standards, regulations, or expectations, or to satisfy various reporting standards with respect to these matters, within the timelines we announce, or at all, could adversely affect our business or reputation, as well as expose us to government enforcement actions and private litigation.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attract and retain qualified personnel could impede our operations.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future success depends on our ability to recruit, train, and retain qualified personnel. We require highly skilled personnel to operate and provide technical services and support for our business. Competition for the personnel necessary for our businesses intensifies as activity increases, technology evolves and customer demands change. In periods of high utilization, it is often more difficult to find and retain qualified individuals. This could increase our costs or have other material adverse effects on our operations.</w:t>
      </w:r>
    </w:p>
    <w:p>
      <w:pPr>
        <w:spacing w:after="0" w:line="15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Severe weather events, including extreme weather conditions associated with climate change, have in the past and may in the future adversely affect our operations and financial results.</w:t>
      </w:r>
    </w:p>
    <w:p>
      <w:pPr>
        <w:spacing w:after="0" w:line="3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business has been, and in the future will be, affected by severe weather events in areas where we operate, which could materially affect our operations and financial results. Extreme weather conditions such as hurricanes, flooding, landslides, and heat waves have in the past resulted in, and may in the future result in, the evacuation of personnel, stoppage of services and activity disruptions at our facilities, in our supply chain, or at well-sites, or result in disruptions to our customers’ operations. Particularly severe weather events affecting platforms or structures may result in a suspension of activities. Climate change may impact the frequency and/or intensity of such events. In addition, acute or chronic physical impacts of climate change, such as sea level rise, coastal storm surge, inland flooding from intense rainfall, and hurricane-strength winds may damage our facilities. Any such extreme weather events may result in increased operating costs or decreases in revenue.</w:t>
      </w:r>
    </w:p>
    <w:p>
      <w:pPr>
        <w:spacing w:after="0" w:line="15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Public health emergencies, such as the COVID-19 pandemic, and resulting adverse economic conditions have had, and may continue to have, a material adverse effect on our financial condition, results of operations, and cash flows.</w:t>
      </w:r>
    </w:p>
    <w:p>
      <w:pPr>
        <w:spacing w:after="0" w:line="3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Public health emergencies, including the COVID-19 pandemic, have caused, and could again cause, a significant reduction in global economic activity, significantly weakening demand for oil and gas, and in turn, demand for our products and services. Other effects of public health emergencies have included, and may continue to include, significant volatility and disruption of the global financial markets; adverse revenue and net income effects; disruptions to our operations, including suspension or deferral of drilling activities; customer shutdowns of oil and gas exploration and production; downward revisions to customer budgets; limitations on access to sources of liquidity; supply chain disruptions; limitations on access to raw materials; employee impacts from illness; and local and regional closures or lockdowns, including temporary closures of our facilities and the facilities of our customers and suppliers. The extent to which our operating and financial results will be and may continue to be affected by public health emergencies will depend on various factors beyond our control, such as the continued severity and duration of the public health emergencies, including any sustained geographic resurgence; the emergence of new variants and strains of a contagious disease or virus; and the success of actions to contain or mitigate the effects of the public health emergency. A public health emergency, and volatile regional and global economic conditions stemming from a public health emergency, could also aggravate our other risk factors described in this Form 10-K.</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1B. Unresolved Staff Comments.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1C. Cybersecurity.</w:t>
      </w:r>
    </w:p>
    <w:p>
      <w:pPr>
        <w:spacing w:after="0" w:line="11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SLB maintains a cyber risk management program designed to identify, assess, manage, mitigate, and respond to cybersecurity threats. This program is integrated within the Company’s enterprise risk management system and addresses both the corporate information technology environment and customer-facing products.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underlying controls of the cyber risk management program are based on recognized best practices and standards for cybersecurity and information technology, including the National Institute of Standards and Technology (“NIST”) Cybersecurity Framework (“CSF”) and the International Organization Standardization (“ISO”) 27001 Information Security Management System Requirements. SLB has an annual assessment, performed by a third party, of the Company’s cyber risk management program against the NIST CSF.</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 has a Cyber Security Operations Center operating in three locations to provide 24/7 monitoring of its global cybersecurity environment and to coordinate the investigation and remediation of alerts. A program for staging incident response drills is in place to prepare support teams in the event of a significant incident.</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Cyber partners are a key part of SLB’s cybersecurity infrastructure. SLB partners with leading cybersecurity companies and organizations, leveraging third-party technology and expertise. SLB engages with these partners to monitor and maintain the performance and effectiveness of products and services that are deployed in SLB’s environment.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4" w:name="page15"/>
    <w:bookmarkEnd w:id="14"/>
    <w:p>
      <w:pPr>
        <w:jc w:val="both"/>
        <w:spacing w:after="0" w:line="256" w:lineRule="auto"/>
        <w:rPr>
          <w:sz w:val="20"/>
          <w:szCs w:val="20"/>
          <w:color w:val="auto"/>
        </w:rPr>
      </w:pPr>
      <w:r>
        <w:rPr>
          <w:rFonts w:ascii="Arial" w:cs="Arial" w:eastAsia="Arial" w:hAnsi="Arial"/>
          <w:sz w:val="16"/>
          <w:szCs w:val="16"/>
          <w:color w:val="auto"/>
        </w:rPr>
        <w:t>SLB’s Cyber Security Director reports to SLB’s Chief Information Officer and is the head of the Company’s cybersecurity team. The Cyber Security Director is responsible for assessing and managing SLB’s cyber risk management program, informs senior management regarding the prevention, detection, mitigation, and remediation of cybersecurity incidents and supervises such efforts. The cybersecurity team has decades of experience selecting, deploying, and operating cybersecurity technologies, initiatives, and processes around the world, and relies on threat intelligence as well as other information obtained from governmental, public or private sources, including external consultants engaged by SLB.</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Audit Committee of the Board of Directors oversees SLB’s cybersecurity risk exposures and the steps taken by management to monitor and mitigate cybersecurity risks. The cybersecurity team briefs the Audit Committee on the effectiveness of SLB’s cyber risk management program, typically on a quarterly basis. In addition, cybersecurity risks are reviewed by the SLB Board of Directors, at least annually, as part of the Company’s corporate risk mapping exercise.</w:t>
      </w:r>
    </w:p>
    <w:p>
      <w:pPr>
        <w:spacing w:after="0" w:line="34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SLB faces risks from cybersecurity threats that could have a material adverse effect on its business, financial condition, results of operations, cash flows or reputation. SLB has experienced, and will continue to experience, cyber incidents in the normal course of its business. However, prior cybersecurity incidents have not had a material adverse effect on SLB’s business, financial condition, results of operations, or cash flows. See “Risk Factors – Business and Operational Risks – Our operations are subject to cyber incidents that could have a material adverse effect on our business, financial condition, results of operations, and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2. Properties.</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SLB owns or leases numerous manufacturing facilities, administrative offices, service centers, research centers, data processing centers, mines, and other facilities throughout the world, none of which are individually material.</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3. Legal Proceedings.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information with respect to this Item 3. Legal Proceedings is set forth in Note 15 – </w:t>
      </w:r>
      <w:r>
        <w:rPr>
          <w:rFonts w:ascii="Arial" w:cs="Arial" w:eastAsia="Arial" w:hAnsi="Arial"/>
          <w:sz w:val="16"/>
          <w:szCs w:val="16"/>
          <w:i w:val="1"/>
          <w:iCs w:val="1"/>
          <w:color w:val="auto"/>
        </w:rPr>
        <w:t>Contingencies</w:t>
      </w:r>
      <w:r>
        <w:rPr>
          <w:rFonts w:ascii="Arial" w:cs="Arial" w:eastAsia="Arial" w:hAnsi="Arial"/>
          <w:sz w:val="16"/>
          <w:szCs w:val="16"/>
          <w:color w:val="auto"/>
        </w:rPr>
        <w:t xml:space="preserve">, in the accompanying </w:t>
      </w:r>
      <w:r>
        <w:rPr>
          <w:rFonts w:ascii="Arial" w:cs="Arial" w:eastAsia="Arial" w:hAnsi="Arial"/>
          <w:sz w:val="16"/>
          <w:szCs w:val="16"/>
          <w:i w:val="1"/>
          <w:iCs w:val="1"/>
          <w:color w:val="auto"/>
        </w:rPr>
        <w:t>Consolidated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w:t>
      </w:r>
      <w:r>
        <w:rPr>
          <w:rFonts w:ascii="Arial" w:cs="Arial" w:eastAsia="Arial" w:hAnsi="Arial"/>
          <w:sz w:val="16"/>
          <w:szCs w:val="16"/>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4. Mine Safety Disclosures.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Information concerning mine safety violations or other regulatory matters required by section 1503(a) of the Dodd-Frank Wall Street Reform and Consumer Protection Act and Item 104 of Regulation S-K is included in Exhibit 95 to this Form 10-K.</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auto"/>
        </w:rPr>
        <w:t>PART II</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5. Market for Registrant’s Common Equity, Related Stockholder Matters and Issuer Purchases of Equity Securities.</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As of December 31, 2023, there were 21,444 stockholders of record. The principal US market for SLB’s common stock is the New York Stock Exchange (“NYSE”), where it is traded under the symbol “SLB.”</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graph compares the cumulative total stockholder return on SLB common stock with the cumulative total return on the Standard &amp; Poor’s 500 Index (“S&amp;P 500 Index”) and the cumulative total return on the Philadelphia Oil Service Index. It assumes $100 was invested on December 31, 2018 in SLB common stock, in the S&amp;P 500 Index and in the Philadelphia Oil Service Index, as well as the reinvestment of dividends on the last day of the month of payment. The stockholder return set forth below is not necessarily indicative of future performance. The following graph and related information shall not be deemed “soliciting material” or to be “filed” with the SEC, nor shall such information be incorporated by reference into any future filing under the Securities Act of 1933, as amended, or the Securities Exchange Act of 1934, as amended, except to the extent that SLB specifically incorporates it by reference into such filing.</w:t>
      </w: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Comparison of Five-Year Cumulative Total Return Among</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SLB Common Stock, the S&amp;P 500 Index and the</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Philadelphia Oil Service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121920</wp:posOffset>
            </wp:positionV>
            <wp:extent cx="5134610" cy="33604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34610"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Share Repurchases</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On January 21, 2016, the SLB Board of Directors approved a $10 billion share repurchase program for SLB common stock. SLB had cumulatively repurchased $1.7 billion of its common stock under this program as of December 31, 2023.</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SLB's common stock repurchase program activity for the three months ended December 31, 2023 was as follows: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8"/>
        </w:trPr>
        <w:tc>
          <w:tcPr>
            <w:tcW w:w="5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40" w:type="dxa"/>
            <w:vAlign w:val="bottom"/>
            <w:gridSpan w:val="7"/>
          </w:tcPr>
          <w:p>
            <w:pPr>
              <w:jc w:val="right"/>
              <w:ind w:right="120"/>
              <w:spacing w:after="0"/>
              <w:rPr>
                <w:sz w:val="20"/>
                <w:szCs w:val="20"/>
                <w:color w:val="auto"/>
              </w:rPr>
            </w:pPr>
            <w:r>
              <w:rPr>
                <w:rFonts w:ascii="Arial" w:cs="Arial" w:eastAsia="Arial" w:hAnsi="Arial"/>
                <w:sz w:val="14"/>
                <w:szCs w:val="14"/>
                <w:i w:val="1"/>
                <w:iCs w:val="1"/>
                <w:color w:val="auto"/>
              </w:rPr>
              <w:t>(Stated in thousands, except per share amounts)</w:t>
            </w:r>
          </w:p>
        </w:tc>
      </w:tr>
      <w:tr>
        <w:trPr>
          <w:trHeight w:val="412"/>
        </w:trPr>
        <w:tc>
          <w:tcPr>
            <w:tcW w:w="5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Total number of</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5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shares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color w:val="auto"/>
              </w:rPr>
              <w:t>Maximum</w:t>
            </w:r>
          </w:p>
        </w:tc>
      </w:tr>
      <w:tr>
        <w:trPr>
          <w:trHeight w:val="189"/>
        </w:trPr>
        <w:tc>
          <w:tcPr>
            <w:tcW w:w="5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purchased as</w:t>
            </w:r>
          </w:p>
        </w:tc>
        <w:tc>
          <w:tcPr>
            <w:tcW w:w="240" w:type="dxa"/>
            <w:vAlign w:val="bottom"/>
          </w:tcPr>
          <w:p>
            <w:pPr>
              <w:spacing w:after="0"/>
              <w:rPr>
                <w:sz w:val="16"/>
                <w:szCs w:val="16"/>
                <w:color w:val="auto"/>
              </w:rPr>
            </w:pPr>
          </w:p>
        </w:tc>
        <w:tc>
          <w:tcPr>
            <w:tcW w:w="1260" w:type="dxa"/>
            <w:vAlign w:val="bottom"/>
            <w:gridSpan w:val="3"/>
          </w:tcPr>
          <w:p>
            <w:pPr>
              <w:ind w:left="20"/>
              <w:spacing w:after="0"/>
              <w:rPr>
                <w:sz w:val="20"/>
                <w:szCs w:val="20"/>
                <w:color w:val="auto"/>
              </w:rPr>
            </w:pPr>
            <w:r>
              <w:rPr>
                <w:rFonts w:ascii="Arial" w:cs="Arial" w:eastAsia="Arial" w:hAnsi="Arial"/>
                <w:sz w:val="16"/>
                <w:szCs w:val="16"/>
                <w:color w:val="auto"/>
              </w:rPr>
              <w:t>value of shares</w:t>
            </w:r>
          </w:p>
        </w:tc>
      </w:tr>
      <w:tr>
        <w:trPr>
          <w:trHeight w:val="189"/>
        </w:trPr>
        <w:tc>
          <w:tcPr>
            <w:tcW w:w="5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part of publicly</w:t>
            </w:r>
          </w:p>
        </w:tc>
        <w:tc>
          <w:tcPr>
            <w:tcW w:w="240" w:type="dxa"/>
            <w:vAlign w:val="bottom"/>
          </w:tcPr>
          <w:p>
            <w:pPr>
              <w:spacing w:after="0"/>
              <w:rPr>
                <w:sz w:val="16"/>
                <w:szCs w:val="16"/>
                <w:color w:val="auto"/>
              </w:rPr>
            </w:pPr>
          </w:p>
        </w:tc>
        <w:tc>
          <w:tcPr>
            <w:tcW w:w="1260" w:type="dxa"/>
            <w:vAlign w:val="bottom"/>
            <w:gridSpan w:val="3"/>
          </w:tcPr>
          <w:p>
            <w:pPr>
              <w:ind w:left="20"/>
              <w:spacing w:after="0"/>
              <w:rPr>
                <w:sz w:val="20"/>
                <w:szCs w:val="20"/>
                <w:color w:val="auto"/>
              </w:rPr>
            </w:pPr>
            <w:r>
              <w:rPr>
                <w:rFonts w:ascii="Arial" w:cs="Arial" w:eastAsia="Arial" w:hAnsi="Arial"/>
                <w:sz w:val="16"/>
                <w:szCs w:val="16"/>
                <w:color w:val="auto"/>
              </w:rPr>
              <w:t>that may yet be</w:t>
            </w:r>
          </w:p>
        </w:tc>
      </w:tr>
      <w:tr>
        <w:trPr>
          <w:trHeight w:val="189"/>
        </w:trPr>
        <w:tc>
          <w:tcPr>
            <w:tcW w:w="57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9"/>
              </w:rPr>
              <w:t>Total number of</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announced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rPr>
              <w:t>purchased</w:t>
            </w:r>
          </w:p>
        </w:tc>
      </w:tr>
      <w:tr>
        <w:trPr>
          <w:trHeight w:val="189"/>
        </w:trPr>
        <w:tc>
          <w:tcPr>
            <w:tcW w:w="57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9"/>
              </w:rPr>
              <w:t>shares</w:t>
            </w:r>
          </w:p>
        </w:tc>
        <w:tc>
          <w:tcPr>
            <w:tcW w:w="26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6"/>
                <w:szCs w:val="16"/>
                <w:color w:val="auto"/>
              </w:rPr>
              <w:t>Average price</w:t>
            </w: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8"/>
              </w:rPr>
              <w:t>plans or</w:t>
            </w:r>
          </w:p>
        </w:tc>
        <w:tc>
          <w:tcPr>
            <w:tcW w:w="240" w:type="dxa"/>
            <w:vAlign w:val="bottom"/>
          </w:tcPr>
          <w:p>
            <w:pPr>
              <w:spacing w:after="0"/>
              <w:rPr>
                <w:sz w:val="16"/>
                <w:szCs w:val="16"/>
                <w:color w:val="auto"/>
              </w:rPr>
            </w:pPr>
          </w:p>
        </w:tc>
        <w:tc>
          <w:tcPr>
            <w:tcW w:w="1260" w:type="dxa"/>
            <w:vAlign w:val="bottom"/>
            <w:gridSpan w:val="3"/>
          </w:tcPr>
          <w:p>
            <w:pPr>
              <w:ind w:left="20"/>
              <w:spacing w:after="0"/>
              <w:rPr>
                <w:sz w:val="20"/>
                <w:szCs w:val="20"/>
                <w:color w:val="auto"/>
              </w:rPr>
            </w:pPr>
            <w:r>
              <w:rPr>
                <w:rFonts w:ascii="Arial" w:cs="Arial" w:eastAsia="Arial" w:hAnsi="Arial"/>
                <w:sz w:val="16"/>
                <w:szCs w:val="16"/>
                <w:color w:val="auto"/>
              </w:rPr>
              <w:t>under the plans</w:t>
            </w:r>
          </w:p>
        </w:tc>
      </w:tr>
      <w:tr>
        <w:trPr>
          <w:trHeight w:val="216"/>
        </w:trPr>
        <w:tc>
          <w:tcPr>
            <w:tcW w:w="570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purchased</w:t>
            </w:r>
          </w:p>
        </w:tc>
        <w:tc>
          <w:tcPr>
            <w:tcW w:w="260" w:type="dxa"/>
            <w:vAlign w:val="bottom"/>
          </w:tcPr>
          <w:p>
            <w:pPr>
              <w:spacing w:after="0"/>
              <w:rPr>
                <w:sz w:val="18"/>
                <w:szCs w:val="18"/>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paid per share</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programs</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or programs</w:t>
            </w:r>
          </w:p>
        </w:tc>
        <w:tc>
          <w:tcPr>
            <w:tcW w:w="100" w:type="dxa"/>
            <w:vAlign w:val="bottom"/>
          </w:tcPr>
          <w:p>
            <w:pPr>
              <w:spacing w:after="0"/>
              <w:rPr>
                <w:sz w:val="18"/>
                <w:szCs w:val="18"/>
                <w:color w:val="auto"/>
              </w:rPr>
            </w:pPr>
          </w:p>
        </w:tc>
      </w:tr>
      <w:tr>
        <w:trPr>
          <w:trHeight w:val="211"/>
        </w:trPr>
        <w:tc>
          <w:tcPr>
            <w:tcW w:w="5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October 2023</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598.9</w:t>
            </w:r>
          </w:p>
        </w:tc>
        <w:tc>
          <w:tcPr>
            <w:tcW w:w="680" w:type="dxa"/>
            <w:vAlign w:val="bottom"/>
            <w:gridSpan w:val="2"/>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58.10</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598.9</w:t>
            </w:r>
          </w:p>
        </w:tc>
        <w:tc>
          <w:tcPr>
            <w:tcW w:w="3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8,343,538</w:t>
            </w:r>
          </w:p>
        </w:tc>
        <w:tc>
          <w:tcPr>
            <w:tcW w:w="100" w:type="dxa"/>
            <w:vAlign w:val="bottom"/>
            <w:shd w:val="clear" w:color="auto" w:fill="CFF0FC"/>
          </w:tcPr>
          <w:p>
            <w:pPr>
              <w:spacing w:after="0"/>
              <w:rPr>
                <w:sz w:val="18"/>
                <w:szCs w:val="18"/>
                <w:color w:val="auto"/>
              </w:rPr>
            </w:pPr>
          </w:p>
        </w:tc>
      </w:tr>
      <w:tr>
        <w:trPr>
          <w:trHeight w:val="215"/>
        </w:trPr>
        <w:tc>
          <w:tcPr>
            <w:tcW w:w="5700" w:type="dxa"/>
            <w:vAlign w:val="bottom"/>
          </w:tcPr>
          <w:p>
            <w:pPr>
              <w:ind w:left="20"/>
              <w:spacing w:after="0"/>
              <w:rPr>
                <w:sz w:val="20"/>
                <w:szCs w:val="20"/>
                <w:color w:val="auto"/>
              </w:rPr>
            </w:pPr>
            <w:r>
              <w:rPr>
                <w:rFonts w:ascii="Arial" w:cs="Arial" w:eastAsia="Arial" w:hAnsi="Arial"/>
                <w:sz w:val="16"/>
                <w:szCs w:val="16"/>
                <w:color w:val="auto"/>
              </w:rPr>
              <w:t>November 2023</w:t>
            </w:r>
          </w:p>
        </w:tc>
        <w:tc>
          <w:tcPr>
            <w:tcW w:w="1220" w:type="dxa"/>
            <w:vAlign w:val="bottom"/>
          </w:tcPr>
          <w:p>
            <w:pPr>
              <w:jc w:val="right"/>
              <w:spacing w:after="0"/>
              <w:rPr>
                <w:sz w:val="20"/>
                <w:szCs w:val="20"/>
                <w:color w:val="auto"/>
              </w:rPr>
            </w:pPr>
            <w:r>
              <w:rPr>
                <w:rFonts w:ascii="Arial" w:cs="Arial" w:eastAsia="Arial" w:hAnsi="Arial"/>
                <w:sz w:val="16"/>
                <w:szCs w:val="16"/>
                <w:color w:val="auto"/>
              </w:rPr>
              <w:t>618.2</w:t>
            </w:r>
          </w:p>
        </w:tc>
        <w:tc>
          <w:tcPr>
            <w:tcW w:w="68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53.96</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618.2</w:t>
            </w:r>
          </w:p>
        </w:tc>
        <w:tc>
          <w:tcPr>
            <w:tcW w:w="360" w:type="dxa"/>
            <w:vAlign w:val="bottom"/>
            <w:gridSpan w:val="2"/>
          </w:tcPr>
          <w:p>
            <w:pPr>
              <w:ind w:left="26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8,310,182</w:t>
            </w:r>
          </w:p>
        </w:tc>
        <w:tc>
          <w:tcPr>
            <w:tcW w:w="100" w:type="dxa"/>
            <w:vAlign w:val="bottom"/>
          </w:tcPr>
          <w:p>
            <w:pPr>
              <w:spacing w:after="0"/>
              <w:rPr>
                <w:sz w:val="18"/>
                <w:szCs w:val="18"/>
                <w:color w:val="auto"/>
              </w:rPr>
            </w:pPr>
          </w:p>
        </w:tc>
      </w:tr>
      <w:tr>
        <w:trPr>
          <w:trHeight w:val="217"/>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December 2023</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619.9</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51.44</w:t>
            </w:r>
          </w:p>
        </w:tc>
        <w:tc>
          <w:tcPr>
            <w:tcW w:w="2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619.9</w:t>
            </w:r>
          </w:p>
        </w:tc>
        <w:tc>
          <w:tcPr>
            <w:tcW w:w="36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8,278,295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1,837.0</w:t>
            </w:r>
          </w:p>
        </w:tc>
        <w:tc>
          <w:tcPr>
            <w:tcW w:w="68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54.46</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1,837.0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-170815</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-170815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Unregistered Sales of Equity Securities</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On October 2, 2023, SLB, Aker and Subsea7 closed their previously announced joint venture. In addition to contributing its subsea business to the joint venture, at closing SLB issued 5.1 million shares of its common stock valued at $306.5 million to Aker through a private placement pursuant to Rule 144A.</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6. [Reserved].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auto"/>
        </w:rPr>
        <w:t>Item 7. Management’s Discussion and Analysis of Financial Condition and Results of Operations.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following discussion and analysis contains forward-looking statements, including, without limitation, statements relating to our plans, strategies, objectives, expectations, intentions, and resources. Such forward-looking statements should be read in conjunction with our disclosures under “Item 1A. Risk Factors” of this Form 10-K.</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This section of the Form 10-K generally discusses 2023 and 2022 items and year-to-year comparisons between 2023 and 2022. Discussions of 2021 items and year-to-year comparison between 2022 and 2021 that are not included in this Form 10-K can be found in “Management’s Discussion and Analysis of Financial Condition and Results of Operations” in Part II, Item 7 of SLB’s Annual Report on Form 10-K for the fiscal year ended December 31, 2022.</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2023 Executive Overview</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2023 was a remarkable year marked by widespread revenue growth, margin expansion, and exceptional cash flow. Year on year, revenue grew 18%, pretax segment operating margin increased 185 basis points (“bps”) to 20% and we delivered $6.6 billion of cash flow from operations and $4.0 billion of free cash flow—allowing us to reduce net debt by $1.4 billion and return $2.0 billion to shareholders this year through dividends and stock repurchases.</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strong full-year performance was fueled by substantial international growth, with approximately 90% of our international GeoUnits posting year-on-year increases, complemented by sustained performance in North America.</w:t>
      </w:r>
    </w:p>
    <w:p>
      <w:pPr>
        <w:spacing w:after="0" w:line="12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International revenue grew 20% year on year by more than $4 billion. Notably, we achieved our highest-ever revenue in the Middle East, led by impressive growth in Saudi Arabia, the United Arab Emirates, and Egypt &amp; East Mediterranean GeoUnits.</w:t>
      </w:r>
    </w:p>
    <w:p>
      <w:pPr>
        <w:spacing w:after="0" w:line="12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 the offshore basins, we benefited from long-cycle developments, capacity expansions, and exploration and appraisal activities with remarkable growth in Brazil and Angola, and solid increases in the US Gulf of Mexico, Guyana, and Norway.</w:t>
      </w:r>
    </w:p>
    <w:p>
      <w:pPr>
        <w:spacing w:after="0" w:line="12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 North America, while activity moderated as expected in the second half of the year, revenue increased 12% year on year, outpacing the rig count. This outperformance was driven by our technology-leveraged portfolio in both US land and the US Gulf of Mexico.</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a divisional basis, our Core business—comprising Reservoir Performance, Well Construction, and Production Systems—accelerated, growing revenue 20% year on year and expanding pretax segment operating margin 277 bps.</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Digital &amp; Integration revenue increased 4% year on year. This was led by digital, which continued strong growth momentum, delivering more than $2 billion in revenue. Our success in digital was driven by further adoption of Delfi technology and customers embracing our connected and autonomous drilling, data, and AI solutions.</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also saw continued adoption of our Transition Technologies portfolio as customers look to enhance efficiency and reduce emissions. The imperative to operate more sustainably is translating into tangible investments by our customers, resulting in the portfolio generating more than $1 billion of revenue.</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global energy demand continues to increase, international production is expected to play a key role in meeting supply through the end of the decade. Notably, we anticipate record investment levels in the Middle East extending beyond 2025, with significant expansion in Saudi Arabia, the United Arab Emirates, Iraq, and Kuwait. Offshore remains another distinct attribute of this durable growth cycle, serving as an important source for production growth and capacity additions, and we expect strong activity to continue in Brazil, West Africa, the Eastern Mediterranean, the Middle East, and Southeast Asia.</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the international environment, despite elevated geopolitical tensions in various regions, we do not anticipate a significant impact on the sector's overall activity, absent any escalation. Furthermore, we expect the long-cycle investments across the Middle East, global offshore, and gas resource plays to be largely decoupled from short-term commodity price fluctuations.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2024, SLB expects to experience another year of strong growth driven by the international markets. Benefiting from these market dynamics, we foresee further growth led by Production Systems, strengthened by the additional subsea opportunities from our OneSubsea joint venture. Sustained momentum is expected in Reservoir Performance, accompanied by increased activity in Well Construction. Additionally, we expect continued customer adoption of our Digital business, particularly in our new technology platforms.</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performance and returns-focused strategy, combined with our differentiated market positioning and digital capabilities, will drive profitable growth and further margin expansion, setting a strong foundation for long-term outperformance.</w:t>
      </w:r>
    </w:p>
    <w:p>
      <w:pPr>
        <w:spacing w:after="0" w:line="12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With confidence in the strength and longevity of the cycle and visibility into sustained strong cash flows, in January 2024, our Board of Directors approved a 10% increase to our quarterly dividend. Additionally, we plan to increase share repurchases in 2024, visibly enhancing returns to shareholders for the full year.</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6"/>
          <w:szCs w:val="16"/>
          <w:b w:val="1"/>
          <w:bCs w:val="1"/>
          <w:u w:val="single" w:color="auto"/>
          <w:color w:val="auto"/>
        </w:rPr>
        <w:t>Fourth Quarter 2023 Results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0"/>
        </w:trPr>
        <w:tc>
          <w:tcPr>
            <w:tcW w:w="5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80" w:type="dxa"/>
            <w:vAlign w:val="bottom"/>
            <w:gridSpan w:val="5"/>
          </w:tcPr>
          <w:p>
            <w:pPr>
              <w:jc w:val="right"/>
              <w:ind w:right="780"/>
              <w:spacing w:after="0"/>
              <w:rPr>
                <w:sz w:val="20"/>
                <w:szCs w:val="20"/>
                <w:color w:val="auto"/>
              </w:rPr>
            </w:pPr>
            <w:r>
              <w:rPr>
                <w:rFonts w:ascii="Arial" w:cs="Arial" w:eastAsia="Arial" w:hAnsi="Arial"/>
                <w:sz w:val="16"/>
                <w:szCs w:val="16"/>
                <w:b w:val="1"/>
                <w:bCs w:val="1"/>
                <w:color w:val="auto"/>
              </w:rPr>
              <w:t>Fourth Quarter 2023</w:t>
            </w:r>
          </w:p>
        </w:tc>
        <w:tc>
          <w:tcPr>
            <w:tcW w:w="180" w:type="dxa"/>
            <w:vAlign w:val="bottom"/>
          </w:tcPr>
          <w:p>
            <w:pPr>
              <w:spacing w:after="0"/>
              <w:rPr>
                <w:sz w:val="24"/>
                <w:szCs w:val="24"/>
                <w:color w:val="auto"/>
              </w:rPr>
            </w:pPr>
          </w:p>
        </w:tc>
        <w:tc>
          <w:tcPr>
            <w:tcW w:w="2460" w:type="dxa"/>
            <w:vAlign w:val="bottom"/>
            <w:gridSpan w:val="6"/>
          </w:tcPr>
          <w:p>
            <w:pPr>
              <w:jc w:val="right"/>
              <w:ind w:right="700"/>
              <w:spacing w:after="0"/>
              <w:rPr>
                <w:sz w:val="20"/>
                <w:szCs w:val="20"/>
                <w:color w:val="auto"/>
              </w:rPr>
            </w:pPr>
            <w:r>
              <w:rPr>
                <w:rFonts w:ascii="Arial" w:cs="Arial" w:eastAsia="Arial" w:hAnsi="Arial"/>
                <w:sz w:val="16"/>
                <w:szCs w:val="16"/>
                <w:color w:val="auto"/>
              </w:rPr>
              <w:t>Third Quarter 2023</w:t>
            </w:r>
          </w:p>
        </w:tc>
      </w:tr>
      <w:tr>
        <w:trPr>
          <w:trHeight w:val="209"/>
        </w:trPr>
        <w:tc>
          <w:tcPr>
            <w:tcW w:w="57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Pretax</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Pretax</w:t>
            </w:r>
          </w:p>
        </w:tc>
        <w:tc>
          <w:tcPr>
            <w:tcW w:w="100" w:type="dxa"/>
            <w:vAlign w:val="bottom"/>
          </w:tcPr>
          <w:p>
            <w:pPr>
              <w:spacing w:after="0"/>
              <w:rPr>
                <w:sz w:val="18"/>
                <w:szCs w:val="18"/>
                <w:color w:val="auto"/>
              </w:rPr>
            </w:pPr>
          </w:p>
        </w:tc>
      </w:tr>
      <w:tr>
        <w:trPr>
          <w:trHeight w:val="217"/>
        </w:trPr>
        <w:tc>
          <w:tcPr>
            <w:tcW w:w="5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Income</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Revenue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Income</w:t>
            </w:r>
          </w:p>
        </w:tc>
        <w:tc>
          <w:tcPr>
            <w:tcW w:w="100" w:type="dxa"/>
            <w:vAlign w:val="bottom"/>
          </w:tcPr>
          <w:p>
            <w:pPr>
              <w:spacing w:after="0"/>
              <w:rPr>
                <w:sz w:val="18"/>
                <w:szCs w:val="18"/>
                <w:color w:val="auto"/>
              </w:rPr>
            </w:pPr>
          </w:p>
        </w:tc>
      </w:tr>
      <w:tr>
        <w:trPr>
          <w:trHeight w:val="209"/>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1,049</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356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982</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1,735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371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3,426</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770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759</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2,944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442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(164 )</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(71 )</w:t>
            </w: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(149 )</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(53 )</w:t>
            </w:r>
          </w:p>
        </w:tc>
      </w:tr>
      <w:tr>
        <w:trPr>
          <w:trHeight w:val="209"/>
        </w:trPr>
        <w:tc>
          <w:tcPr>
            <w:tcW w:w="5740" w:type="dxa"/>
            <w:vAlign w:val="bottom"/>
            <w:tcBorders>
              <w:top w:val="single" w:sz="8" w:color="CFF0FC"/>
            </w:tcBorders>
          </w:tcPr>
          <w:p>
            <w:pPr>
              <w:ind w:left="200"/>
              <w:spacing w:after="0"/>
              <w:rPr>
                <w:sz w:val="20"/>
                <w:szCs w:val="20"/>
                <w:color w:val="auto"/>
              </w:rPr>
            </w:pPr>
            <w:r>
              <w:rPr>
                <w:rFonts w:ascii="Arial" w:cs="Arial" w:eastAsia="Arial" w:hAnsi="Arial"/>
                <w:sz w:val="16"/>
                <w:szCs w:val="16"/>
                <w:color w:val="auto"/>
              </w:rPr>
              <w:t>Pretax segment operating income</w:t>
            </w:r>
          </w:p>
        </w:tc>
        <w:tc>
          <w:tcPr>
            <w:tcW w:w="180" w:type="dxa"/>
            <w:vAlign w:val="bottom"/>
            <w:tcBorders>
              <w:top w:val="single" w:sz="8" w:color="CFF0FC"/>
            </w:tcBorders>
          </w:tcPr>
          <w:p>
            <w:pPr>
              <w:spacing w:after="0"/>
              <w:rPr>
                <w:sz w:val="18"/>
                <w:szCs w:val="18"/>
                <w:color w:val="auto"/>
              </w:rPr>
            </w:pPr>
          </w:p>
        </w:tc>
        <w:tc>
          <w:tcPr>
            <w:tcW w:w="100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1,868</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96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1,683</w:t>
            </w:r>
          </w:p>
        </w:tc>
        <w:tc>
          <w:tcPr>
            <w:tcW w:w="100" w:type="dxa"/>
            <w:vAlign w:val="bottom"/>
            <w:tcBorders>
              <w:top w:val="single" w:sz="8" w:color="CFF0FC"/>
            </w:tcBorders>
          </w:tcPr>
          <w:p>
            <w:pPr>
              <w:spacing w:after="0"/>
              <w:rPr>
                <w:sz w:val="18"/>
                <w:szCs w:val="18"/>
                <w:color w:val="auto"/>
              </w:rPr>
            </w:pPr>
          </w:p>
        </w:tc>
      </w:tr>
      <w:tr>
        <w:trPr>
          <w:trHeight w:val="216"/>
        </w:trPr>
        <w:tc>
          <w:tcPr>
            <w:tcW w:w="574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(193 )</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(182 )</w:t>
            </w:r>
          </w:p>
        </w:tc>
      </w:tr>
      <w:tr>
        <w:trPr>
          <w:trHeight w:val="216"/>
        </w:trPr>
        <w:tc>
          <w:tcPr>
            <w:tcW w:w="57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(126 )</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(126 )</w:t>
            </w:r>
          </w:p>
        </w:tc>
      </w:tr>
      <w:tr>
        <w:trPr>
          <w:trHeight w:val="216"/>
        </w:trPr>
        <w:tc>
          <w:tcPr>
            <w:tcW w:w="57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Charges &amp; credits </w:t>
            </w:r>
            <w:r>
              <w:rPr>
                <w:rFonts w:ascii="Arial" w:cs="Arial" w:eastAsia="Arial" w:hAnsi="Arial"/>
                <w:sz w:val="21"/>
                <w:szCs w:val="21"/>
                <w:color w:val="auto"/>
                <w:vertAlign w:val="superscript"/>
              </w:rPr>
              <w:t>(4)</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(146 )</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49"/>
        </w:trPr>
        <w:tc>
          <w:tcPr>
            <w:tcW w:w="57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8,990</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1,433</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8,310</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1,395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-864870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-25400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ind w:left="380" w:hanging="372"/>
        <w:spacing w:after="0" w:line="222" w:lineRule="auto"/>
        <w:tabs>
          <w:tab w:leader="none" w:pos="38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52"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Excludes interest income included in the segments’ income (fourth quarter 2023: $11 million; third quarter 2023: $2 million).</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Excludes interest expense included in the segments’ income (fourth quarter 2023: $4 million; third quarter 2023: $3 million).</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 xml:space="preserve">Charges and credits are described in detail in Note 3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w:t>
      </w:r>
    </w:p>
    <w:p>
      <w:pPr>
        <w:spacing w:after="0" w:line="15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Fourth-quarter revenue of $9.0 billion increased 8% sequentially with the acquired Aker subsea business accounting for approximately 70% of the growth, while the legacy portfolio continued its growth trajectory in the international markets.</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International revenue of $7.3 billion grew 10% sequentially, driven by Europe &amp; Africa and the Middle East &amp; Asia. Europe &amp; Africa increased 16% sequentially driven by the acquired Aker subsea business, which accounted for most of the sequential revenue growth, primarily in Scandinavia. Revenue in the Middle East &amp; Asia increased 11% sequentially driven by higher drilling, intervention, stimulation, and evaluation activity, both on land and offshore. North America revenue of $1.6 billion was flat sequentially as reduced drilling activity in US land and Canada was offset by higher offshore revenue in the US Gulf of Mexico.</w:t>
      </w:r>
    </w:p>
    <w:p>
      <w:pPr>
        <w:spacing w:after="0" w:line="3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Compared to the same quarter last year, fourth-quarter 2023 international revenue outpaced North America, growing 18%, while North America was relatively flat. Excluding the acquired Aker subsea business, international revenue grew 10% year on year, marking the 10th consecutive quarter of double-digit growth.</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Fourth-quarter 2023 pretax segment operating income margin of 21% increased year on year, representing the 12th consecutive quarter of growth.</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Digital &amp; Integration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Digital &amp; Integration revenue of $1.0 billion increased 7% sequentially due to increased digital revenue across all areas led by the Middle East &amp; Asia and Europe &amp; Africa.</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Digital &amp; Integration pretax operating margin of 34% expanded 197 bps sequentially due to improved profitability in digital.</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Reservoir Performance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Reservoir Performance revenue of $1.7 billion grew 3% sequentially primarily due to increased activity internationally, mainly in the Middle East and Africa.</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Reservoir Performance pretax operating margin of 21% expanded 88 bps sequentially and represents the Division’s highest level of pretax operating margin in this cycle. This increase was primarily driven by higher activity, pricing, and improved operating leverage.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Well Construction</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Well Construction revenue of $3.4 billion was flat sequentially with international growth being offset by a decline in North America revenue. International revenue increased 2% driven primarily by strong growth in the Middle East &amp; Asia and Africa. North America revenue decreased 7% on a lower US land rig count.</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Well Construction pretax operating margin of 22% increased 35 bps sequentially primarily driven by improved profitability from the increased activity in the Middle East &amp; Asia and Africa.</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Production Systems</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Production Systems revenue of $2.94 billion increased 24% sequentially. The acquired Aker subsea business accounted for most of the growth. Excluding the effects of this acquisition, revenue grew 4% sequentially due to strong international sales.</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Production Systems pretax operating margin expanded 153 bps sequentially to 15%, its highest level in this cycle. The improvement was driven primarily by higher sales of midstream, artificial lift, and subsea production systems.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Full-Year 2023 Results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0"/>
        </w:trPr>
        <w:tc>
          <w:tcPr>
            <w:tcW w:w="5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9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color w:val="auto"/>
              </w:rPr>
              <w:t>2022</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5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b w:val="1"/>
                <w:bCs w:val="1"/>
                <w:color w:val="auto"/>
              </w:rPr>
              <w:t>Pretax</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259"/>
              <w:spacing w:after="0"/>
              <w:rPr>
                <w:sz w:val="20"/>
                <w:szCs w:val="20"/>
                <w:color w:val="auto"/>
              </w:rPr>
            </w:pPr>
            <w:r>
              <w:rPr>
                <w:rFonts w:ascii="Arial" w:cs="Arial" w:eastAsia="Arial" w:hAnsi="Arial"/>
                <w:sz w:val="16"/>
                <w:szCs w:val="16"/>
                <w:color w:val="auto"/>
              </w:rPr>
              <w:t>Pretax</w:t>
            </w:r>
          </w:p>
        </w:tc>
        <w:tc>
          <w:tcPr>
            <w:tcW w:w="100" w:type="dxa"/>
            <w:vAlign w:val="bottom"/>
          </w:tcPr>
          <w:p>
            <w:pPr>
              <w:spacing w:after="0"/>
              <w:rPr>
                <w:sz w:val="18"/>
                <w:szCs w:val="18"/>
                <w:color w:val="auto"/>
              </w:rPr>
            </w:pPr>
          </w:p>
        </w:tc>
      </w:tr>
      <w:tr>
        <w:trPr>
          <w:trHeight w:val="217"/>
        </w:trPr>
        <w:tc>
          <w:tcPr>
            <w:tcW w:w="5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Income</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Revenue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Income</w:t>
            </w:r>
          </w:p>
        </w:tc>
        <w:tc>
          <w:tcPr>
            <w:tcW w:w="100" w:type="dxa"/>
            <w:vAlign w:val="bottom"/>
          </w:tcPr>
          <w:p>
            <w:pPr>
              <w:spacing w:after="0"/>
              <w:rPr>
                <w:sz w:val="18"/>
                <w:szCs w:val="18"/>
                <w:color w:val="auto"/>
              </w:rPr>
            </w:pPr>
          </w:p>
        </w:tc>
      </w:tr>
      <w:tr>
        <w:trPr>
          <w:trHeight w:val="210"/>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3,871</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1,257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3,725</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1,357</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6,561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1,263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881</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13,478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2,932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11,397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2,202</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9,831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1,245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(606 )</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(174 )</w:t>
            </w: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(446 )</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(177 )</w:t>
            </w:r>
          </w:p>
        </w:tc>
      </w:tr>
      <w:tr>
        <w:trPr>
          <w:trHeight w:val="210"/>
        </w:trPr>
        <w:tc>
          <w:tcPr>
            <w:tcW w:w="5740" w:type="dxa"/>
            <w:vAlign w:val="bottom"/>
            <w:tcBorders>
              <w:top w:val="single" w:sz="8" w:color="CFF0FC"/>
            </w:tcBorders>
          </w:tcPr>
          <w:p>
            <w:pPr>
              <w:ind w:left="200"/>
              <w:spacing w:after="0"/>
              <w:rPr>
                <w:sz w:val="20"/>
                <w:szCs w:val="20"/>
                <w:color w:val="auto"/>
              </w:rPr>
            </w:pPr>
            <w:r>
              <w:rPr>
                <w:rFonts w:ascii="Arial" w:cs="Arial" w:eastAsia="Arial" w:hAnsi="Arial"/>
                <w:sz w:val="16"/>
                <w:szCs w:val="16"/>
                <w:color w:val="auto"/>
              </w:rPr>
              <w:t>Pretax segment operating income</w:t>
            </w:r>
          </w:p>
        </w:tc>
        <w:tc>
          <w:tcPr>
            <w:tcW w:w="180" w:type="dxa"/>
            <w:vAlign w:val="bottom"/>
            <w:tcBorders>
              <w:top w:val="single" w:sz="8" w:color="CFF0FC"/>
            </w:tcBorders>
          </w:tcPr>
          <w:p>
            <w:pPr>
              <w:spacing w:after="0"/>
              <w:rPr>
                <w:sz w:val="18"/>
                <w:szCs w:val="18"/>
                <w:color w:val="auto"/>
              </w:rPr>
            </w:pPr>
          </w:p>
        </w:tc>
        <w:tc>
          <w:tcPr>
            <w:tcW w:w="100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6,523</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96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5,011</w:t>
            </w:r>
          </w:p>
        </w:tc>
        <w:tc>
          <w:tcPr>
            <w:tcW w:w="100" w:type="dxa"/>
            <w:vAlign w:val="bottom"/>
            <w:tcBorders>
              <w:top w:val="single" w:sz="8" w:color="CFF0FC"/>
            </w:tcBorders>
          </w:tcPr>
          <w:p>
            <w:pPr>
              <w:spacing w:after="0"/>
              <w:rPr>
                <w:sz w:val="18"/>
                <w:szCs w:val="18"/>
                <w:color w:val="auto"/>
              </w:rPr>
            </w:pPr>
          </w:p>
        </w:tc>
      </w:tr>
      <w:tr>
        <w:trPr>
          <w:trHeight w:val="216"/>
        </w:trPr>
        <w:tc>
          <w:tcPr>
            <w:tcW w:w="574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(729 )</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(637 )</w:t>
            </w:r>
          </w:p>
        </w:tc>
      </w:tr>
      <w:tr>
        <w:trPr>
          <w:trHeight w:val="216"/>
        </w:trPr>
        <w:tc>
          <w:tcPr>
            <w:tcW w:w="57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(489 )</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(477 )</w:t>
            </w:r>
          </w:p>
        </w:tc>
      </w:tr>
      <w:tr>
        <w:trPr>
          <w:trHeight w:val="216"/>
        </w:trPr>
        <w:tc>
          <w:tcPr>
            <w:tcW w:w="57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Charges &amp; credits </w:t>
            </w:r>
            <w:r>
              <w:rPr>
                <w:rFonts w:ascii="Arial" w:cs="Arial" w:eastAsia="Arial" w:hAnsi="Arial"/>
                <w:sz w:val="21"/>
                <w:szCs w:val="21"/>
                <w:color w:val="auto"/>
                <w:vertAlign w:val="superscript"/>
              </w:rPr>
              <w:t>(4)</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(110 )</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18"/>
                <w:szCs w:val="18"/>
                <w:color w:val="auto"/>
              </w:rPr>
            </w:pPr>
          </w:p>
        </w:tc>
      </w:tr>
      <w:tr>
        <w:trPr>
          <w:trHeight w:val="250"/>
        </w:trPr>
        <w:tc>
          <w:tcPr>
            <w:tcW w:w="57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33,135</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5,282</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28,091</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4,271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-864870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2" w:lineRule="exact"/>
        <w:rPr>
          <w:sz w:val="20"/>
          <w:szCs w:val="20"/>
          <w:color w:val="auto"/>
        </w:rPr>
      </w:pPr>
    </w:p>
    <w:p>
      <w:pPr>
        <w:ind w:left="380" w:hanging="372"/>
        <w:spacing w:after="0" w:line="222" w:lineRule="auto"/>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52"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Excludes interest income included in the segments’ income (2023: $13 million; 2022: $72 million).</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Excludes interest expense included in the segments’ income (2023: $14 million; 2022: $13 million) .</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 xml:space="preserve">Charges and credits are described in detail in Note 3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w:t>
      </w:r>
    </w:p>
    <w:p>
      <w:pPr>
        <w:spacing w:after="0" w:line="156"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Full-year 2023 revenue of $33.1 billion increased 18% year on year led by Well Construction and Production Systems. On a geographic basis, year-on-year revenue growth was broad-based with North America revenue increasing 12% due to strong land and offshore drilling and higher sales of production systems, while international revenue grew 20%. International growth was widespread across all areas, led by the Middle East &amp; Asia, which grew 21% due to higher drilling and intervention activity. Europe &amp; Africa grew 18% primarily from higher sales of production systems in Europe and increased activity in offshore Africa, while Latin America revenue increased 17% due to robust drilling activity and higher sales of production systems.</w:t>
      </w:r>
    </w:p>
    <w:p>
      <w:pPr>
        <w:spacing w:after="0" w:line="15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Full-year 2023 pretax segment operating margin of 20% expanded by 185 bps as compared to 2022 driven by higher activity, improved pricing, and a more favorable activity mix.</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Digital &amp; Integration</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Digital &amp; Integration revenue of $3.9 billion increased 4% year on year, as strong growth in digital sales was largely offset by lower APS revenue and decreased exploration data licensing sales. The APS revenue decline resulted primarily from a temporary production interruption in the projects in Ecuador during the first quarter of 2023 due to a pipeline disruption and lower commodity prices that impacted the project in Canada. The lower exploration data licensing sales were driven by the absence of the $95 million of transfer fees recorded in the second quarter of 2022.</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Digital &amp; Integration pretax operating margin contracted 397 bps to 32% primarily due to the absence of the $95 million of exploration data transfer fees and reduced profitability from APS projects.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Reservoir Performance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Reservoir Performance revenue of $6.6 billion increased 18% year on year due primarily to increased activity internationally.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Reservoir Performance pretax operating margin expanded 338 bps to 19% primarily due to higher activity levels and improved pricing.</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Well Construction</w:t>
      </w:r>
    </w:p>
    <w:p>
      <w:pPr>
        <w:spacing w:after="0" w:line="11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Well Construction revenue of $13.5 billion increased 18% year on year with double-digit growth across all areas. North America grew 17% while international revenue increased 19%. This growth was driven by drilling fluids and measurements—both on higher land and offshore activity—along with improved pricing.</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jc w:val="both"/>
        <w:spacing w:after="0" w:line="286" w:lineRule="auto"/>
        <w:rPr>
          <w:sz w:val="20"/>
          <w:szCs w:val="20"/>
          <w:color w:val="auto"/>
        </w:rPr>
      </w:pPr>
      <w:r>
        <w:rPr>
          <w:rFonts w:ascii="Arial" w:cs="Arial" w:eastAsia="Arial" w:hAnsi="Arial"/>
          <w:sz w:val="16"/>
          <w:szCs w:val="16"/>
          <w:color w:val="auto"/>
        </w:rPr>
        <w:t>Well Construction pretax operating margin expanded 243 bps to 22% with profitability improving across all geographic areas driven by the higher activity and improved pricing.</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 Systems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Production Systems revenue of $9.8 billion increased 25% driven by strong growth across all areas led by Latin America and the Middle East &amp; Asia, as well as the impact of the Aker subsea business, which was acquired on October 2, 2023.</w:t>
      </w:r>
    </w:p>
    <w:p>
      <w:pPr>
        <w:spacing w:after="0" w:line="12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Production Systems pretax operating margin expanded 315 bps to 13% mainly driven by higher subsea production system, artificial lift, and surface production system sales, as well as improved pricing, and the easing of supply chain constraints.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Interest &amp; Other Income, Net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Interest &amp; other income, net </w:t>
      </w:r>
      <w:r>
        <w:rPr>
          <w:rFonts w:ascii="Arial" w:cs="Arial" w:eastAsia="Arial" w:hAnsi="Arial"/>
          <w:sz w:val="16"/>
          <w:szCs w:val="16"/>
          <w:color w:val="auto"/>
        </w:rPr>
        <w:t>consisted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27"/>
        </w:trPr>
        <w:tc>
          <w:tcPr>
            <w:tcW w:w="7660" w:type="dxa"/>
            <w:vAlign w:val="bottom"/>
          </w:tcPr>
          <w:p>
            <w:pPr>
              <w:spacing w:after="0"/>
              <w:rPr>
                <w:sz w:val="24"/>
                <w:szCs w:val="24"/>
                <w:color w:val="auto"/>
              </w:rPr>
            </w:pP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4"/>
                <w:szCs w:val="24"/>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Earnings of equity method investments</w:t>
            </w:r>
          </w:p>
        </w:tc>
        <w:tc>
          <w:tcPr>
            <w:tcW w:w="1160" w:type="dxa"/>
            <w:vAlign w:val="bottom"/>
            <w:shd w:val="clear" w:color="auto" w:fill="CFF0FC"/>
          </w:tcPr>
          <w:p>
            <w:pPr>
              <w:jc w:val="right"/>
              <w:ind w:right="979"/>
              <w:spacing w:after="0"/>
              <w:rPr>
                <w:sz w:val="20"/>
                <w:szCs w:val="20"/>
                <w:color w:val="auto"/>
              </w:rPr>
            </w:pPr>
            <w:r>
              <w:rPr>
                <w:rFonts w:ascii="Arial" w:cs="Arial" w:eastAsia="Arial" w:hAnsi="Arial"/>
                <w:sz w:val="16"/>
                <w:szCs w:val="16"/>
                <w:b w:val="1"/>
                <w:bCs w:val="1"/>
                <w:color w:val="auto"/>
                <w:w w:val="8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206</w:t>
            </w:r>
          </w:p>
        </w:tc>
        <w:tc>
          <w:tcPr>
            <w:tcW w:w="54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1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100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Gain on sale of Liberty shares</w:t>
            </w:r>
          </w:p>
        </w:tc>
        <w:tc>
          <w:tcPr>
            <w:tcW w:w="11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36</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Gain on ADC equity investment</w:t>
            </w:r>
          </w:p>
        </w:tc>
        <w:tc>
          <w:tcPr>
            <w:tcW w:w="1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Gain on sale of real estate</w:t>
            </w:r>
          </w:p>
        </w:tc>
        <w:tc>
          <w:tcPr>
            <w:tcW w:w="11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Gain on repurchase of bonds</w:t>
            </w:r>
          </w:p>
        </w:tc>
        <w:tc>
          <w:tcPr>
            <w:tcW w:w="1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on Blue Chip Swap transactions</w:t>
            </w:r>
          </w:p>
        </w:tc>
        <w:tc>
          <w:tcPr>
            <w:tcW w:w="11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(139 )</w:t>
            </w:r>
          </w:p>
        </w:tc>
      </w:tr>
      <w:tr>
        <w:trPr>
          <w:trHeight w:val="210"/>
        </w:trPr>
        <w:tc>
          <w:tcPr>
            <w:tcW w:w="766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342</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December 31, 2020, SLB contributed its onshore hydraulic fracturing business in the United States and Canada, including its pressure pumping, pumpdown perforating and Permian frac sand business, to Liberty Energy Inc. (“Liberty”) in exchange for an equity interest in Liberty. During 2023, SLB sold all of its remaining approximately 9 million shares of Liberty and recognized a gain of $36 million</w:t>
      </w:r>
      <w:r>
        <w:rPr>
          <w:rFonts w:ascii="Arial" w:cs="Arial" w:eastAsia="Arial" w:hAnsi="Arial"/>
          <w:sz w:val="16"/>
          <w:szCs w:val="16"/>
          <w:i w:val="1"/>
          <w:iCs w:val="1"/>
          <w:color w:val="auto"/>
        </w:rPr>
        <w:t>.</w:t>
      </w:r>
      <w:r>
        <w:rPr>
          <w:rFonts w:ascii="Arial" w:cs="Arial" w:eastAsia="Arial" w:hAnsi="Arial"/>
          <w:sz w:val="16"/>
          <w:szCs w:val="16"/>
          <w:color w:val="auto"/>
        </w:rPr>
        <w:t xml:space="preserve"> During 2022, SLB sold 47.8 million of its shares of Liberty and recognized a gain of $325 million.</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Although SLB's functional currency in Argentina is the US dollar, a portion of its transactions are denominated in pesos. SLB uses Argentina’s official exchange rate to remeasure its Argentine peso-denominated net assets into US dollars. The Central Bank of Argentina maintains certain currency controls that limit SLB’s ability to access US dollars in Argentina and remit cash from its Argentine operations. A legal indirect foreign exchange mechanism exists in the form of capital market transactions known as Blue Chip Swaps, which effectively results in a parallel US dollar exchange rate. This parallel rate, which cannot be used as the basis to remeasure SLB’s net monetary assets in US dollars under US GAAP, was approximately 20% higher than Argentina’s official exchange rate at December 31, 2023 and 93% higher at December 31, 2022.</w:t>
      </w:r>
    </w:p>
    <w:p>
      <w:pPr>
        <w:spacing w:after="0" w:line="15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During the fourth quarter of 2023, Argentina devalued its peso relative to the US dollar by approximately 55%. As a result, SLB recorded a $90 million devaluation charge, of which $61 million is classified in </w:t>
      </w:r>
      <w:r>
        <w:rPr>
          <w:rFonts w:ascii="Arial" w:cs="Arial" w:eastAsia="Arial" w:hAnsi="Arial"/>
          <w:sz w:val="16"/>
          <w:szCs w:val="16"/>
          <w:i w:val="1"/>
          <w:iCs w:val="1"/>
          <w:color w:val="auto"/>
        </w:rPr>
        <w:t>Cost of services</w:t>
      </w:r>
      <w:r>
        <w:rPr>
          <w:rFonts w:ascii="Arial" w:cs="Arial" w:eastAsia="Arial" w:hAnsi="Arial"/>
          <w:sz w:val="16"/>
          <w:szCs w:val="16"/>
          <w:color w:val="auto"/>
        </w:rPr>
        <w:t xml:space="preserve"> in the C</w:t>
      </w:r>
      <w:r>
        <w:rPr>
          <w:rFonts w:ascii="Arial" w:cs="Arial" w:eastAsia="Arial" w:hAnsi="Arial"/>
          <w:sz w:val="16"/>
          <w:szCs w:val="16"/>
          <w:i w:val="1"/>
          <w:iCs w:val="1"/>
          <w:color w:val="auto"/>
        </w:rPr>
        <w:t>onsolidated Statement of Income</w:t>
      </w:r>
      <w:r>
        <w:rPr>
          <w:rFonts w:ascii="Arial" w:cs="Arial" w:eastAsia="Arial" w:hAnsi="Arial"/>
          <w:sz w:val="16"/>
          <w:szCs w:val="16"/>
          <w:color w:val="auto"/>
        </w:rPr>
        <w:t xml:space="preserve">, with the remaining $29 million classified in </w:t>
      </w:r>
      <w:r>
        <w:rPr>
          <w:rFonts w:ascii="Arial" w:cs="Arial" w:eastAsia="Arial" w:hAnsi="Arial"/>
          <w:sz w:val="16"/>
          <w:szCs w:val="16"/>
          <w:i w:val="1"/>
          <w:iCs w:val="1"/>
          <w:color w:val="auto"/>
        </w:rPr>
        <w:t>Cost of sales</w:t>
      </w:r>
      <w:r>
        <w:rPr>
          <w:rFonts w:ascii="Arial" w:cs="Arial" w:eastAsia="Arial" w:hAnsi="Arial"/>
          <w:sz w:val="16"/>
          <w:szCs w:val="16"/>
          <w:color w:val="auto"/>
        </w:rPr>
        <w:t>. SLB’s peso-denominated net assets in Argentina were approximately $75 million at December 31, 2023 ($40 million at December 31, 2022</w:t>
      </w:r>
      <w:r>
        <w:rPr>
          <w:rFonts w:ascii="Arial" w:cs="Arial" w:eastAsia="Arial" w:hAnsi="Arial"/>
          <w:sz w:val="16"/>
          <w:szCs w:val="16"/>
          <w:i w:val="1"/>
          <w:iCs w:val="1"/>
          <w:color w:val="auto"/>
        </w:rPr>
        <w:t xml:space="preserve"> </w:t>
      </w:r>
      <w:r>
        <w:rPr>
          <w:rFonts w:ascii="Arial" w:cs="Arial" w:eastAsia="Arial" w:hAnsi="Arial"/>
          <w:sz w:val="16"/>
          <w:szCs w:val="16"/>
          <w:color w:val="auto"/>
        </w:rPr>
        <w:t>and $270 million at September 30, 2022), primarily consisting of cash. Argentina represented less than 5% of SLB’s consolidated revenue in each of 2023 and 2022.</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SLB accounts for its investment in the Arabian Drilling Company (“ADC”), an onshore and offshore gas and oil rig drilling company in Saudi Arabia, under the equity method. During the fourth quarter of 2022, ADC completed an initial public offering (“IPO”). In connection with the IPO, SLB sold a portion of its interest in a secondary offering that resulted in SLB receiving net proceeds of $223 million. As a result of these transactions, SLB’s ownership interest in ADC decreased from 49% to approximately 34%. SLB recognized a gain of $107 million, representing the gain on the sale of a portion of its interest as well as the effect of the ownership dilution of its equity investment due to the IPO.</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During 2022, SLB sold certain real estate and recognized a gain of $43 million.</w:t>
      </w:r>
    </w:p>
    <w:p>
      <w:pPr>
        <w:spacing w:after="0" w:line="19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During 2022, SLB repurchased $395 million of its 3.75% Senior Notes due 2024 and $409 million of its 4.00% Senior Notes due 2025 for $790 million, resulting in a gain of $11 million after considering the write-off of the related deferred financing fees and other costs.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Interest Expense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of $503 million in 2023 increased $13 million compared to 2022.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auto"/>
        </w:rPr>
        <w:t>Other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Research &amp; engineering </w:t>
      </w:r>
      <w:r>
        <w:rPr>
          <w:rFonts w:ascii="Arial" w:cs="Arial" w:eastAsia="Arial" w:hAnsi="Arial"/>
          <w:sz w:val="16"/>
          <w:szCs w:val="16"/>
          <w:color w:val="auto"/>
        </w:rPr>
        <w:t>and</w:t>
      </w:r>
      <w:r>
        <w:rPr>
          <w:rFonts w:ascii="Arial" w:cs="Arial" w:eastAsia="Arial" w:hAnsi="Arial"/>
          <w:sz w:val="16"/>
          <w:szCs w:val="16"/>
          <w:i w:val="1"/>
          <w:iCs w:val="1"/>
          <w:color w:val="auto"/>
        </w:rPr>
        <w:t xml:space="preserve"> General &amp; administrative </w:t>
      </w:r>
      <w:r>
        <w:rPr>
          <w:rFonts w:ascii="Arial" w:cs="Arial" w:eastAsia="Arial" w:hAnsi="Arial"/>
          <w:sz w:val="16"/>
          <w:szCs w:val="16"/>
          <w:color w:val="auto"/>
        </w:rPr>
        <w:t>expenses, as a percentage of</w:t>
      </w:r>
      <w:r>
        <w:rPr>
          <w:rFonts w:ascii="Arial" w:cs="Arial" w:eastAsia="Arial" w:hAnsi="Arial"/>
          <w:sz w:val="16"/>
          <w:szCs w:val="16"/>
          <w:i w:val="1"/>
          <w:iCs w:val="1"/>
          <w:color w:val="auto"/>
        </w:rPr>
        <w:t xml:space="preserve"> Revenue</w:t>
      </w:r>
      <w:r>
        <w:rPr>
          <w:rFonts w:ascii="Arial" w:cs="Arial" w:eastAsia="Arial" w:hAnsi="Arial"/>
          <w:sz w:val="16"/>
          <w:szCs w:val="16"/>
          <w:color w:val="auto"/>
        </w:rPr>
        <w:t>,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20" w:type="dxa"/>
            <w:vAlign w:val="bottom"/>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8"/>
                <w:szCs w:val="18"/>
                <w:color w:val="auto"/>
              </w:rPr>
            </w:pPr>
          </w:p>
        </w:tc>
      </w:tr>
      <w:tr>
        <w:trPr>
          <w:trHeight w:val="210"/>
        </w:trPr>
        <w:tc>
          <w:tcPr>
            <w:tcW w:w="8820" w:type="dxa"/>
            <w:vAlign w:val="bottom"/>
            <w:gridSpan w:val="2"/>
          </w:tcPr>
          <w:p>
            <w:pPr>
              <w:ind w:left="20"/>
              <w:spacing w:after="0"/>
              <w:rPr>
                <w:sz w:val="20"/>
                <w:szCs w:val="20"/>
                <w:color w:val="auto"/>
              </w:rPr>
            </w:pPr>
            <w:r>
              <w:rPr>
                <w:rFonts w:ascii="Arial" w:cs="Arial" w:eastAsia="Arial" w:hAnsi="Arial"/>
                <w:sz w:val="16"/>
                <w:szCs w:val="16"/>
                <w:i w:val="1"/>
                <w:iCs w:val="1"/>
                <w:color w:val="auto"/>
              </w:rPr>
              <w:t>Research &amp; engineering</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2.1 %</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2.3 %</w:t>
            </w:r>
          </w:p>
        </w:tc>
      </w:tr>
      <w:tr>
        <w:trPr>
          <w:trHeight w:val="223"/>
        </w:trPr>
        <w:tc>
          <w:tcPr>
            <w:tcW w:w="8820" w:type="dxa"/>
            <w:vAlign w:val="bottom"/>
            <w:gridSpan w:val="2"/>
          </w:tcPr>
          <w:p>
            <w:pPr>
              <w:ind w:left="20"/>
              <w:spacing w:after="0"/>
              <w:rPr>
                <w:sz w:val="20"/>
                <w:szCs w:val="20"/>
                <w:color w:val="auto"/>
              </w:rPr>
            </w:pPr>
            <w:r>
              <w:rPr>
                <w:rFonts w:ascii="Arial" w:cs="Arial" w:eastAsia="Arial" w:hAnsi="Arial"/>
                <w:sz w:val="16"/>
                <w:szCs w:val="16"/>
                <w:i w:val="1"/>
                <w:iCs w:val="1"/>
                <w:color w:val="auto"/>
              </w:rPr>
              <w:t>General &amp; administrative</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1.1 %</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Income Taxes</w:t>
      </w:r>
    </w:p>
    <w:p>
      <w:pPr>
        <w:spacing w:after="0" w:line="113"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The SLB effective tax rate is sensitive to the geographic mix of earnings. When the percentage of pretax earnings generated outside of North America increases, the SLB effective tax rate generally decreases. Conversely, when the percentage of pretax earnings generated outside of North America decreases, the SLB effective tax rate generally increases.</w:t>
      </w:r>
    </w:p>
    <w:p>
      <w:pPr>
        <w:spacing w:after="0" w:line="144"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 xml:space="preserve">The effective tax rate was 19% in 2023 as compared to 18% in 2022. The increase in the effective tax rate was primarily due to the charges and credits described in Note 3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These charges and credits reduced the effective tax rate in 2022 by approximately one percentage point.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Charges and Credits</w:t>
      </w:r>
    </w:p>
    <w:p>
      <w:pPr>
        <w:spacing w:after="0" w:line="113"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 xml:space="preserve">SLB recorded charges and credits during 2023 and 2022. These charges and credits, which are summarized below, are more fully described in Note 3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2023 charges and credits: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0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39"/>
        </w:trPr>
        <w:tc>
          <w:tcPr>
            <w:tcW w:w="5740" w:type="dxa"/>
            <w:vAlign w:val="bottom"/>
          </w:tcPr>
          <w:p>
            <w:pPr>
              <w:spacing w:after="0"/>
              <w:rPr>
                <w:sz w:val="24"/>
                <w:szCs w:val="24"/>
                <w:color w:val="auto"/>
              </w:rPr>
            </w:pPr>
          </w:p>
        </w:tc>
        <w:tc>
          <w:tcPr>
            <w:tcW w:w="1440" w:type="dxa"/>
            <w:vAlign w:val="bottom"/>
            <w:gridSpan w:val="3"/>
          </w:tcPr>
          <w:p>
            <w:pPr>
              <w:jc w:val="right"/>
              <w:ind w:right="360"/>
              <w:spacing w:after="0"/>
              <w:rPr>
                <w:sz w:val="20"/>
                <w:szCs w:val="20"/>
                <w:color w:val="auto"/>
              </w:rPr>
            </w:pPr>
            <w:r>
              <w:rPr>
                <w:rFonts w:ascii="Arial" w:cs="Arial" w:eastAsia="Arial" w:hAnsi="Arial"/>
                <w:sz w:val="16"/>
                <w:szCs w:val="16"/>
                <w:color w:val="auto"/>
              </w:rPr>
              <w:t>Pretax Charge</w:t>
            </w:r>
          </w:p>
        </w:tc>
        <w:tc>
          <w:tcPr>
            <w:tcW w:w="140" w:type="dxa"/>
            <w:vAlign w:val="bottom"/>
          </w:tcPr>
          <w:p>
            <w:pPr>
              <w:spacing w:after="0"/>
              <w:rPr>
                <w:sz w:val="24"/>
                <w:szCs w:val="2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6"/>
                <w:szCs w:val="16"/>
                <w:color w:val="auto"/>
                <w:w w:val="98"/>
              </w:rPr>
              <w:t>Tax Benefit</w:t>
            </w:r>
          </w:p>
        </w:tc>
        <w:tc>
          <w:tcPr>
            <w:tcW w:w="1140" w:type="dxa"/>
            <w:vAlign w:val="bottom"/>
            <w:gridSpan w:val="2"/>
          </w:tcPr>
          <w:p>
            <w:pPr>
              <w:ind w:left="20"/>
              <w:spacing w:after="0"/>
              <w:rPr>
                <w:sz w:val="20"/>
                <w:szCs w:val="20"/>
                <w:color w:val="auto"/>
              </w:rPr>
            </w:pPr>
            <w:r>
              <w:rPr>
                <w:rFonts w:ascii="Arial" w:cs="Arial" w:eastAsia="Arial" w:hAnsi="Arial"/>
                <w:sz w:val="16"/>
                <w:szCs w:val="16"/>
                <w:color w:val="auto"/>
              </w:rPr>
              <w:t>Noncontrolling</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6"/>
                <w:szCs w:val="16"/>
                <w:color w:val="auto"/>
              </w:rPr>
              <w:t>(Credit)</w:t>
            </w:r>
          </w:p>
        </w:tc>
        <w:tc>
          <w:tcPr>
            <w:tcW w:w="14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6"/>
                <w:szCs w:val="16"/>
                <w:color w:val="auto"/>
              </w:rPr>
              <w:t>(Expense)</w:t>
            </w:r>
          </w:p>
        </w:tc>
        <w:tc>
          <w:tcPr>
            <w:tcW w:w="18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Interests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6"/>
                <w:szCs w:val="16"/>
                <w:color w:val="auto"/>
              </w:rPr>
              <w:t>Net</w:t>
            </w:r>
          </w:p>
        </w:tc>
      </w:tr>
      <w:tr>
        <w:trPr>
          <w:trHeight w:val="210"/>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First quarter:</w:t>
            </w:r>
          </w:p>
        </w:tc>
        <w:tc>
          <w:tcPr>
            <w:tcW w:w="2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740" w:type="dxa"/>
            <w:vAlign w:val="bottom"/>
          </w:tcPr>
          <w:p>
            <w:pPr>
              <w:ind w:left="200"/>
              <w:spacing w:after="0"/>
              <w:rPr>
                <w:sz w:val="20"/>
                <w:szCs w:val="20"/>
                <w:color w:val="auto"/>
              </w:rPr>
            </w:pPr>
            <w:r>
              <w:rPr>
                <w:rFonts w:ascii="Arial" w:cs="Arial" w:eastAsia="Arial" w:hAnsi="Arial"/>
                <w:sz w:val="16"/>
                <w:szCs w:val="16"/>
                <w:color w:val="auto"/>
              </w:rPr>
              <w:t>Gain on sale of Liberty shares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(36 )</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(8 )</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(28 )</w:t>
            </w:r>
          </w:p>
        </w:tc>
      </w:tr>
      <w:tr>
        <w:trPr>
          <w:trHeight w:val="217"/>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Fourth quarter:</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740" w:type="dxa"/>
            <w:vAlign w:val="bottom"/>
          </w:tcPr>
          <w:p>
            <w:pPr>
              <w:ind w:left="200"/>
              <w:spacing w:after="0"/>
              <w:rPr>
                <w:sz w:val="20"/>
                <w:szCs w:val="20"/>
                <w:color w:val="auto"/>
              </w:rPr>
            </w:pPr>
            <w:r>
              <w:rPr>
                <w:rFonts w:ascii="Arial" w:cs="Arial" w:eastAsia="Arial" w:hAnsi="Arial"/>
                <w:sz w:val="16"/>
                <w:szCs w:val="16"/>
                <w:color w:val="auto"/>
              </w:rPr>
              <w:t>Merger and integration</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r>
      <w:tr>
        <w:trPr>
          <w:trHeight w:val="217"/>
        </w:trPr>
        <w:tc>
          <w:tcPr>
            <w:tcW w:w="5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Currency devaluation loss in Argentina</w:t>
            </w: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FF0FC"/>
          </w:tcPr>
          <w:p>
            <w:pPr>
              <w:spacing w:after="0"/>
              <w:rPr>
                <w:sz w:val="18"/>
                <w:szCs w:val="18"/>
                <w:color w:val="auto"/>
              </w:rPr>
            </w:pPr>
          </w:p>
        </w:tc>
      </w:tr>
      <w:tr>
        <w:trPr>
          <w:trHeight w:val="209"/>
        </w:trPr>
        <w:tc>
          <w:tcPr>
            <w:tcW w:w="57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2022 charges and credits: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39"/>
              <w:spacing w:after="0"/>
              <w:rPr>
                <w:sz w:val="20"/>
                <w:szCs w:val="20"/>
                <w:color w:val="auto"/>
              </w:rPr>
            </w:pPr>
            <w:r>
              <w:rPr>
                <w:rFonts w:ascii="Arial" w:cs="Arial" w:eastAsia="Arial" w:hAnsi="Arial"/>
                <w:sz w:val="14"/>
                <w:szCs w:val="14"/>
                <w:i w:val="1"/>
                <w:iCs w:val="1"/>
                <w:color w:val="auto"/>
              </w:rPr>
              <w:t>(Stated in millions)</w:t>
            </w:r>
          </w:p>
        </w:tc>
      </w:tr>
      <w:tr>
        <w:trPr>
          <w:trHeight w:val="439"/>
        </w:trPr>
        <w:tc>
          <w:tcPr>
            <w:tcW w:w="4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jc w:val="right"/>
              <w:ind w:right="379"/>
              <w:spacing w:after="0"/>
              <w:rPr>
                <w:sz w:val="20"/>
                <w:szCs w:val="20"/>
                <w:color w:val="auto"/>
              </w:rPr>
            </w:pPr>
            <w:r>
              <w:rPr>
                <w:rFonts w:ascii="Arial" w:cs="Arial" w:eastAsia="Arial" w:hAnsi="Arial"/>
                <w:sz w:val="16"/>
                <w:szCs w:val="16"/>
                <w:color w:val="auto"/>
              </w:rPr>
              <w:t>Pretax Charge</w:t>
            </w:r>
          </w:p>
        </w:tc>
        <w:tc>
          <w:tcPr>
            <w:tcW w:w="180" w:type="dxa"/>
            <w:vAlign w:val="bottom"/>
          </w:tcPr>
          <w:p>
            <w:pPr>
              <w:spacing w:after="0"/>
              <w:rPr>
                <w:sz w:val="24"/>
                <w:szCs w:val="24"/>
                <w:color w:val="auto"/>
              </w:rPr>
            </w:pPr>
          </w:p>
        </w:tc>
        <w:tc>
          <w:tcPr>
            <w:tcW w:w="1420" w:type="dxa"/>
            <w:vAlign w:val="bottom"/>
            <w:gridSpan w:val="2"/>
          </w:tcPr>
          <w:p>
            <w:pPr>
              <w:jc w:val="right"/>
              <w:ind w:right="479"/>
              <w:spacing w:after="0"/>
              <w:rPr>
                <w:sz w:val="20"/>
                <w:szCs w:val="20"/>
                <w:color w:val="auto"/>
              </w:rPr>
            </w:pPr>
            <w:r>
              <w:rPr>
                <w:rFonts w:ascii="Arial" w:cs="Arial" w:eastAsia="Arial" w:hAnsi="Arial"/>
                <w:sz w:val="16"/>
                <w:szCs w:val="16"/>
                <w:color w:val="auto"/>
              </w:rPr>
              <w:t>Tax Benefit</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619"/>
              <w:spacing w:after="0"/>
              <w:rPr>
                <w:sz w:val="20"/>
                <w:szCs w:val="20"/>
                <w:color w:val="auto"/>
              </w:rPr>
            </w:pPr>
            <w:r>
              <w:rPr>
                <w:rFonts w:ascii="Arial" w:cs="Arial" w:eastAsia="Arial" w:hAnsi="Arial"/>
                <w:sz w:val="16"/>
                <w:szCs w:val="16"/>
                <w:color w:val="auto"/>
              </w:rPr>
              <w:t>(Credit)</w:t>
            </w:r>
          </w:p>
        </w:tc>
        <w:tc>
          <w:tcPr>
            <w:tcW w:w="180" w:type="dxa"/>
            <w:vAlign w:val="bottom"/>
          </w:tcPr>
          <w:p>
            <w:pPr>
              <w:spacing w:after="0"/>
              <w:rPr>
                <w:sz w:val="18"/>
                <w:szCs w:val="18"/>
                <w:color w:val="auto"/>
              </w:rPr>
            </w:pPr>
          </w:p>
        </w:tc>
        <w:tc>
          <w:tcPr>
            <w:tcW w:w="1420" w:type="dxa"/>
            <w:vAlign w:val="bottom"/>
            <w:gridSpan w:val="2"/>
          </w:tcPr>
          <w:p>
            <w:pPr>
              <w:jc w:val="right"/>
              <w:ind w:right="479"/>
              <w:spacing w:after="0"/>
              <w:rPr>
                <w:sz w:val="20"/>
                <w:szCs w:val="20"/>
                <w:color w:val="auto"/>
              </w:rPr>
            </w:pPr>
            <w:r>
              <w:rPr>
                <w:rFonts w:ascii="Arial" w:cs="Arial" w:eastAsia="Arial" w:hAnsi="Arial"/>
                <w:sz w:val="16"/>
                <w:szCs w:val="16"/>
                <w:color w:val="auto"/>
              </w:rPr>
              <w:t>(Expense)</w:t>
            </w:r>
          </w:p>
        </w:tc>
        <w:tc>
          <w:tcPr>
            <w:tcW w:w="120" w:type="dxa"/>
            <w:vAlign w:val="bottom"/>
          </w:tcPr>
          <w:p>
            <w:pPr>
              <w:spacing w:after="0"/>
              <w:rPr>
                <w:sz w:val="18"/>
                <w:szCs w:val="18"/>
                <w:color w:val="auto"/>
              </w:rPr>
            </w:pPr>
          </w:p>
        </w:tc>
        <w:tc>
          <w:tcPr>
            <w:tcW w:w="1320" w:type="dxa"/>
            <w:vAlign w:val="bottom"/>
            <w:gridSpan w:val="2"/>
          </w:tcPr>
          <w:p>
            <w:pPr>
              <w:jc w:val="right"/>
              <w:ind w:right="579"/>
              <w:spacing w:after="0"/>
              <w:rPr>
                <w:sz w:val="20"/>
                <w:szCs w:val="20"/>
                <w:color w:val="auto"/>
              </w:rPr>
            </w:pPr>
            <w:r>
              <w:rPr>
                <w:rFonts w:ascii="Arial" w:cs="Arial" w:eastAsia="Arial" w:hAnsi="Arial"/>
                <w:sz w:val="16"/>
                <w:szCs w:val="16"/>
                <w:color w:val="auto"/>
              </w:rPr>
              <w:t>Net</w:t>
            </w:r>
          </w:p>
        </w:tc>
      </w:tr>
      <w:tr>
        <w:trPr>
          <w:trHeight w:val="210"/>
        </w:trPr>
        <w:tc>
          <w:tcPr>
            <w:tcW w:w="420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First quarter:</w:t>
            </w:r>
          </w:p>
        </w:tc>
        <w:tc>
          <w:tcPr>
            <w:tcW w:w="23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4200" w:type="dxa"/>
            <w:vAlign w:val="bottom"/>
          </w:tcPr>
          <w:p>
            <w:pPr>
              <w:ind w:left="200"/>
              <w:spacing w:after="0"/>
              <w:rPr>
                <w:sz w:val="20"/>
                <w:szCs w:val="20"/>
                <w:color w:val="auto"/>
              </w:rPr>
            </w:pPr>
            <w:r>
              <w:rPr>
                <w:rFonts w:ascii="Arial" w:cs="Arial" w:eastAsia="Arial" w:hAnsi="Arial"/>
                <w:sz w:val="16"/>
                <w:szCs w:val="16"/>
                <w:color w:val="auto"/>
              </w:rPr>
              <w:t>Gain on sale of Liberty shares</w:t>
            </w:r>
          </w:p>
        </w:tc>
        <w:tc>
          <w:tcPr>
            <w:tcW w:w="2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139"/>
              <w:spacing w:after="0"/>
              <w:rPr>
                <w:sz w:val="20"/>
                <w:szCs w:val="20"/>
                <w:color w:val="auto"/>
              </w:rPr>
            </w:pPr>
            <w:r>
              <w:rPr>
                <w:rFonts w:ascii="Arial" w:cs="Arial" w:eastAsia="Arial" w:hAnsi="Arial"/>
                <w:sz w:val="16"/>
                <w:szCs w:val="16"/>
                <w:color w:val="auto"/>
              </w:rPr>
              <w:t>(26 )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jc w:val="right"/>
              <w:ind w:right="119"/>
              <w:spacing w:after="0"/>
              <w:rPr>
                <w:sz w:val="20"/>
                <w:szCs w:val="20"/>
                <w:color w:val="auto"/>
              </w:rPr>
            </w:pPr>
            <w:r>
              <w:rPr>
                <w:rFonts w:ascii="Arial" w:cs="Arial" w:eastAsia="Arial" w:hAnsi="Arial"/>
                <w:sz w:val="16"/>
                <w:szCs w:val="16"/>
                <w:color w:val="auto"/>
              </w:rPr>
              <w:t>(4 )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(22 )</w:t>
            </w:r>
          </w:p>
        </w:tc>
      </w:tr>
      <w:tr>
        <w:trPr>
          <w:trHeight w:val="217"/>
        </w:trPr>
        <w:tc>
          <w:tcPr>
            <w:tcW w:w="420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Second quarter:</w:t>
            </w:r>
          </w:p>
        </w:tc>
        <w:tc>
          <w:tcPr>
            <w:tcW w:w="2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4200" w:type="dxa"/>
            <w:vAlign w:val="bottom"/>
          </w:tcPr>
          <w:p>
            <w:pPr>
              <w:ind w:left="200"/>
              <w:spacing w:after="0"/>
              <w:rPr>
                <w:sz w:val="20"/>
                <w:szCs w:val="20"/>
                <w:color w:val="auto"/>
              </w:rPr>
            </w:pPr>
            <w:r>
              <w:rPr>
                <w:rFonts w:ascii="Arial" w:cs="Arial" w:eastAsia="Arial" w:hAnsi="Arial"/>
                <w:sz w:val="16"/>
                <w:szCs w:val="16"/>
                <w:color w:val="auto"/>
              </w:rPr>
              <w:t>Gain on sale of Liberty shares</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39"/>
              <w:spacing w:after="0"/>
              <w:rPr>
                <w:sz w:val="20"/>
                <w:szCs w:val="20"/>
                <w:color w:val="auto"/>
              </w:rPr>
            </w:pPr>
            <w:r>
              <w:rPr>
                <w:rFonts w:ascii="Arial" w:cs="Arial" w:eastAsia="Arial" w:hAnsi="Arial"/>
                <w:sz w:val="16"/>
                <w:szCs w:val="16"/>
                <w:color w:val="auto"/>
              </w:rPr>
              <w:t>(215 )</w:t>
            </w:r>
          </w:p>
        </w:tc>
        <w:tc>
          <w:tcPr>
            <w:tcW w:w="180" w:type="dxa"/>
            <w:vAlign w:val="bottom"/>
          </w:tcPr>
          <w:p>
            <w:pPr>
              <w:spacing w:after="0"/>
              <w:rPr>
                <w:sz w:val="18"/>
                <w:szCs w:val="18"/>
                <w:color w:val="auto"/>
              </w:rPr>
            </w:pPr>
          </w:p>
        </w:tc>
        <w:tc>
          <w:tcPr>
            <w:tcW w:w="1420" w:type="dxa"/>
            <w:vAlign w:val="bottom"/>
            <w:gridSpan w:val="2"/>
          </w:tcPr>
          <w:p>
            <w:pPr>
              <w:jc w:val="right"/>
              <w:ind w:right="119"/>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(201 )</w:t>
            </w:r>
          </w:p>
        </w:tc>
      </w:tr>
      <w:tr>
        <w:trPr>
          <w:trHeight w:val="217"/>
        </w:trPr>
        <w:tc>
          <w:tcPr>
            <w:tcW w:w="42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Gain on sale of real estate</w:t>
            </w:r>
          </w:p>
        </w:tc>
        <w:tc>
          <w:tcPr>
            <w:tcW w:w="2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(43 )</w:t>
            </w: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(2 )</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(41 )</w:t>
            </w: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i w:val="1"/>
                <w:iCs w:val="1"/>
                <w:color w:val="auto"/>
              </w:rPr>
              <w:t>Fourth quarter:</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42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Gain on sale of Liberty shares</w:t>
            </w:r>
          </w:p>
        </w:tc>
        <w:tc>
          <w:tcPr>
            <w:tcW w:w="2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(84 )</w:t>
            </w: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(19 )</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(65 )</w:t>
            </w:r>
          </w:p>
        </w:tc>
      </w:tr>
      <w:tr>
        <w:trPr>
          <w:trHeight w:val="215"/>
        </w:trPr>
        <w:tc>
          <w:tcPr>
            <w:tcW w:w="4200" w:type="dxa"/>
            <w:vAlign w:val="bottom"/>
          </w:tcPr>
          <w:p>
            <w:pPr>
              <w:ind w:left="200"/>
              <w:spacing w:after="0"/>
              <w:rPr>
                <w:sz w:val="20"/>
                <w:szCs w:val="20"/>
                <w:color w:val="auto"/>
              </w:rPr>
            </w:pPr>
            <w:r>
              <w:rPr>
                <w:rFonts w:ascii="Arial" w:cs="Arial" w:eastAsia="Arial" w:hAnsi="Arial"/>
                <w:sz w:val="16"/>
                <w:szCs w:val="16"/>
                <w:color w:val="auto"/>
              </w:rPr>
              <w:t>Loss on Blue Chip Swap transactions</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r>
      <w:tr>
        <w:trPr>
          <w:trHeight w:val="217"/>
        </w:trPr>
        <w:tc>
          <w:tcPr>
            <w:tcW w:w="42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Gain on ADC equity investment</w:t>
            </w:r>
          </w:p>
        </w:tc>
        <w:tc>
          <w:tcPr>
            <w:tcW w:w="2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(107 )</w:t>
            </w: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(3 )</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(104 )</w:t>
            </w:r>
          </w:p>
        </w:tc>
      </w:tr>
      <w:tr>
        <w:trPr>
          <w:trHeight w:val="215"/>
        </w:trPr>
        <w:tc>
          <w:tcPr>
            <w:tcW w:w="4200" w:type="dxa"/>
            <w:vAlign w:val="bottom"/>
          </w:tcPr>
          <w:p>
            <w:pPr>
              <w:ind w:left="200"/>
              <w:spacing w:after="0"/>
              <w:rPr>
                <w:sz w:val="20"/>
                <w:szCs w:val="20"/>
                <w:color w:val="auto"/>
              </w:rPr>
            </w:pPr>
            <w:r>
              <w:rPr>
                <w:rFonts w:ascii="Arial" w:cs="Arial" w:eastAsia="Arial" w:hAnsi="Arial"/>
                <w:sz w:val="16"/>
                <w:szCs w:val="16"/>
                <w:color w:val="auto"/>
              </w:rPr>
              <w:t>Gain on repurchase of bonds</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39"/>
              <w:spacing w:after="0"/>
              <w:rPr>
                <w:sz w:val="20"/>
                <w:szCs w:val="20"/>
                <w:color w:val="auto"/>
              </w:rPr>
            </w:pPr>
            <w:r>
              <w:rPr>
                <w:rFonts w:ascii="Arial" w:cs="Arial" w:eastAsia="Arial" w:hAnsi="Arial"/>
                <w:sz w:val="16"/>
                <w:szCs w:val="16"/>
                <w:color w:val="auto"/>
              </w:rPr>
              <w:t>(11 )</w:t>
            </w:r>
          </w:p>
        </w:tc>
        <w:tc>
          <w:tcPr>
            <w:tcW w:w="180" w:type="dxa"/>
            <w:vAlign w:val="bottom"/>
          </w:tcPr>
          <w:p>
            <w:pPr>
              <w:spacing w:after="0"/>
              <w:rPr>
                <w:sz w:val="18"/>
                <w:szCs w:val="18"/>
                <w:color w:val="auto"/>
              </w:rPr>
            </w:pPr>
          </w:p>
        </w:tc>
        <w:tc>
          <w:tcPr>
            <w:tcW w:w="1420" w:type="dxa"/>
            <w:vAlign w:val="bottom"/>
            <w:gridSpan w:val="2"/>
          </w:tcPr>
          <w:p>
            <w:pPr>
              <w:jc w:val="right"/>
              <w:ind w:right="119"/>
              <w:spacing w:after="0"/>
              <w:rPr>
                <w:sz w:val="20"/>
                <w:szCs w:val="20"/>
                <w:color w:val="auto"/>
              </w:rPr>
            </w:pPr>
            <w:r>
              <w:rPr>
                <w:rFonts w:ascii="Arial" w:cs="Arial" w:eastAsia="Arial" w:hAnsi="Arial"/>
                <w:sz w:val="16"/>
                <w:szCs w:val="16"/>
                <w:color w:val="auto"/>
              </w:rPr>
              <w:t>(2 )</w:t>
            </w:r>
          </w:p>
        </w:tc>
        <w:tc>
          <w:tcPr>
            <w:tcW w:w="1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(9 )</w:t>
            </w:r>
          </w:p>
        </w:tc>
      </w:tr>
      <w:tr>
        <w:trPr>
          <w:trHeight w:val="249"/>
        </w:trPr>
        <w:tc>
          <w:tcPr>
            <w:tcW w:w="4200" w:type="dxa"/>
            <w:vAlign w:val="bottom"/>
            <w:tcBorders>
              <w:top w:val="single" w:sz="8" w:color="CFF0FC"/>
              <w:bottom w:val="single" w:sz="8" w:color="CFF0FC"/>
            </w:tcBorders>
            <w:shd w:val="clear" w:color="auto" w:fill="CFF0FC"/>
          </w:tcPr>
          <w:p>
            <w:pPr>
              <w:spacing w:after="0"/>
              <w:rPr>
                <w:sz w:val="21"/>
                <w:szCs w:val="21"/>
                <w:color w:val="auto"/>
              </w:rPr>
            </w:pPr>
          </w:p>
        </w:tc>
        <w:tc>
          <w:tcPr>
            <w:tcW w:w="236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(347</w:t>
            </w:r>
          </w:p>
        </w:tc>
        <w:tc>
          <w:tcPr>
            <w:tcW w:w="280" w:type="dxa"/>
            <w:vAlign w:val="bottom"/>
            <w:tcBorders>
              <w:top w:val="single" w:sz="8" w:color="CFF0FC"/>
              <w:bottom w:val="single" w:sz="8" w:color="CFF0FC"/>
            </w:tcBorders>
            <w:shd w:val="clear" w:color="auto" w:fill="CFF0FC"/>
          </w:tcPr>
          <w:p>
            <w:pPr>
              <w:jc w:val="right"/>
              <w:ind w:right="139"/>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260" w:type="dxa"/>
            <w:vAlign w:val="bottom"/>
            <w:tcBorders>
              <w:top w:val="single" w:sz="8" w:color="CFF0FC"/>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614"/>
        </w:trPr>
        <w:tc>
          <w:tcPr>
            <w:tcW w:w="4200" w:type="dxa"/>
            <w:vAlign w:val="bottom"/>
          </w:tcPr>
          <w:p>
            <w:pPr>
              <w:spacing w:after="0"/>
              <w:rPr>
                <w:sz w:val="24"/>
                <w:szCs w:val="24"/>
                <w:color w:val="auto"/>
              </w:rPr>
            </w:pPr>
          </w:p>
        </w:tc>
        <w:tc>
          <w:tcPr>
            <w:tcW w:w="2360" w:type="dxa"/>
            <w:vAlign w:val="bottom"/>
          </w:tcPr>
          <w:p>
            <w:pPr>
              <w:jc w:val="right"/>
              <w:ind w:right="75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44"/>
        </w:trPr>
        <w:tc>
          <w:tcPr>
            <w:tcW w:w="42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-848360</wp:posOffset>
            </wp:positionV>
            <wp:extent cx="77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-831215</wp:posOffset>
            </wp:positionV>
            <wp:extent cx="77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-993775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-848360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-831215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-993775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557" w:right="29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auto"/>
        </w:rPr>
        <w:t>Liquidity and Capital Resources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Details of the components of liquidity as well as changes in liquidity follow:</w:t>
      </w:r>
    </w:p>
    <w:p>
      <w:pPr>
        <w:spacing w:after="0" w:line="255" w:lineRule="exact"/>
        <w:rPr>
          <w:sz w:val="20"/>
          <w:szCs w:val="20"/>
          <w:color w:val="auto"/>
        </w:rPr>
      </w:pPr>
    </w:p>
    <w:p>
      <w:pPr>
        <w:jc w:val="right"/>
        <w:ind w:right="120"/>
        <w:spacing w:after="0"/>
        <w:rPr>
          <w:sz w:val="20"/>
          <w:szCs w:val="20"/>
          <w:color w:val="auto"/>
        </w:rPr>
      </w:pPr>
      <w:r>
        <w:rPr>
          <w:rFonts w:ascii="Arial" w:cs="Arial" w:eastAsia="Arial" w:hAnsi="Arial"/>
          <w:sz w:val="14"/>
          <w:szCs w:val="14"/>
          <w:i w:val="1"/>
          <w:iCs w:val="1"/>
          <w:color w:val="auto"/>
        </w:rPr>
        <w:t>(Stated in millions)</w:t>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Components of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Short-term investments</w:t>
      </w:r>
    </w:p>
    <w:p>
      <w:pPr>
        <w:spacing w:after="0" w:line="32" w:lineRule="exact"/>
        <w:rPr>
          <w:sz w:val="20"/>
          <w:szCs w:val="20"/>
          <w:color w:val="auto"/>
        </w:rPr>
      </w:pPr>
    </w:p>
    <w:p>
      <w:pPr>
        <w:ind w:left="20" w:right="2656"/>
        <w:spacing w:after="0" w:line="299" w:lineRule="auto"/>
        <w:rPr>
          <w:sz w:val="20"/>
          <w:szCs w:val="20"/>
          <w:color w:val="auto"/>
        </w:rPr>
      </w:pPr>
      <w:r>
        <w:rPr>
          <w:rFonts w:ascii="Arial" w:cs="Arial" w:eastAsia="Arial" w:hAnsi="Arial"/>
          <w:sz w:val="16"/>
          <w:szCs w:val="16"/>
          <w:color w:val="auto"/>
        </w:rPr>
        <w:t>Short-term borrowings and current portion of long-term debt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62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 xml:space="preserve">Net debt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jc w:val="center"/>
        <w:ind w:right="76"/>
        <w:spacing w:after="0"/>
        <w:rPr>
          <w:sz w:val="20"/>
          <w:szCs w:val="20"/>
          <w:color w:val="auto"/>
        </w:rPr>
      </w:pPr>
      <w:r>
        <w:rPr>
          <w:rFonts w:ascii="Arial" w:cs="Arial" w:eastAsia="Arial" w:hAnsi="Arial"/>
          <w:sz w:val="16"/>
          <w:szCs w:val="16"/>
          <w:b w:val="1"/>
          <w:bCs w:val="1"/>
          <w:color w:val="auto"/>
        </w:rPr>
        <w:t>Dec. 31,</w:t>
      </w:r>
    </w:p>
    <w:p>
      <w:pPr>
        <w:spacing w:after="0" w:line="39" w:lineRule="exact"/>
        <w:rPr>
          <w:sz w:val="20"/>
          <w:szCs w:val="20"/>
          <w:color w:val="auto"/>
        </w:rPr>
      </w:pPr>
    </w:p>
    <w:p>
      <w:pPr>
        <w:jc w:val="center"/>
        <w:ind w:right="76"/>
        <w:spacing w:after="0"/>
        <w:rPr>
          <w:sz w:val="20"/>
          <w:szCs w:val="20"/>
          <w:color w:val="auto"/>
        </w:rPr>
      </w:pPr>
      <w:r>
        <w:rPr>
          <w:rFonts w:ascii="Arial" w:cs="Arial" w:eastAsia="Arial" w:hAnsi="Arial"/>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wp:posOffset>
            </wp:positionV>
            <wp:extent cx="10198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19" w:lineRule="exact"/>
        <w:rPr>
          <w:sz w:val="20"/>
          <w:szCs w:val="20"/>
          <w:color w:val="auto"/>
        </w:rPr>
      </w:pPr>
    </w:p>
    <w:p>
      <w:pPr>
        <w:ind w:left="1184" w:hanging="1184"/>
        <w:spacing w:after="0"/>
        <w:tabs>
          <w:tab w:leader="none" w:pos="1184"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2,900</w:t>
      </w:r>
    </w:p>
    <w:p>
      <w:pPr>
        <w:spacing w:after="0" w:line="38" w:lineRule="exact"/>
        <w:rPr>
          <w:rFonts w:ascii="Arial" w:cs="Arial" w:eastAsia="Arial" w:hAnsi="Arial"/>
          <w:sz w:val="16"/>
          <w:szCs w:val="16"/>
          <w:b w:val="1"/>
          <w:bCs w:val="1"/>
          <w:color w:val="auto"/>
        </w:rPr>
      </w:pPr>
    </w:p>
    <w:p>
      <w:pPr>
        <w:ind w:left="1184"/>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1,089</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(1,123 )</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(10,842 )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wp:posOffset>
            </wp:positionV>
            <wp:extent cx="10198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19" w:lineRule="exact"/>
        <w:rPr>
          <w:sz w:val="20"/>
          <w:szCs w:val="20"/>
          <w:color w:val="auto"/>
        </w:rPr>
      </w:pPr>
    </w:p>
    <w:p>
      <w:pPr>
        <w:ind w:left="1124" w:hanging="1124"/>
        <w:spacing w:after="0"/>
        <w:tabs>
          <w:tab w:leader="none" w:pos="1124" w:val="left"/>
        </w:tabs>
        <w:numPr>
          <w:ilvl w:val="0"/>
          <w:numId w:val="18"/>
        </w:numPr>
        <w:rPr>
          <w:rFonts w:ascii="Arial" w:cs="Arial" w:eastAsia="Arial" w:hAnsi="Arial"/>
          <w:sz w:val="15"/>
          <w:szCs w:val="15"/>
          <w:b w:val="1"/>
          <w:bCs w:val="1"/>
          <w:color w:val="auto"/>
        </w:rPr>
      </w:pPr>
      <w:r>
        <w:rPr>
          <w:rFonts w:ascii="Arial" w:cs="Arial" w:eastAsia="Arial" w:hAnsi="Arial"/>
          <w:sz w:val="15"/>
          <w:szCs w:val="15"/>
          <w:b w:val="1"/>
          <w:bCs w:val="1"/>
          <w:color w:val="auto"/>
        </w:rPr>
        <w:t>(7,976 )</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Dec. 31,</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10026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26" w:lineRule="exact"/>
        <w:rPr>
          <w:sz w:val="20"/>
          <w:szCs w:val="20"/>
          <w:color w:val="auto"/>
        </w:rPr>
      </w:pPr>
    </w:p>
    <w:p>
      <w:pPr>
        <w:ind w:left="1160" w:hanging="1154"/>
        <w:spacing w:after="0"/>
        <w:tabs>
          <w:tab w:leader="none" w:pos="11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1,655</w:t>
      </w:r>
    </w:p>
    <w:p>
      <w:pPr>
        <w:spacing w:after="0" w:line="32"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6"/>
          <w:szCs w:val="16"/>
          <w:color w:val="auto"/>
        </w:rPr>
        <w:t>1,239</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(1,632 )</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(10,594 )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10026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26" w:lineRule="exact"/>
        <w:rPr>
          <w:sz w:val="20"/>
          <w:szCs w:val="20"/>
          <w:color w:val="auto"/>
        </w:rPr>
      </w:pPr>
    </w:p>
    <w:p>
      <w:pPr>
        <w:ind w:left="1100" w:hanging="1094"/>
        <w:spacing w:after="0"/>
        <w:tabs>
          <w:tab w:leader="none" w:pos="11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(9,332 )</w:t>
      </w:r>
    </w:p>
    <w:p>
      <w:pPr>
        <w:spacing w:after="0" w:line="272" w:lineRule="exact"/>
        <w:rPr>
          <w:sz w:val="20"/>
          <w:szCs w:val="20"/>
          <w:color w:val="auto"/>
        </w:rPr>
      </w:pPr>
    </w:p>
    <w:p>
      <w:pPr>
        <w:sectPr>
          <w:pgSz w:w="11900" w:h="16838" w:orient="portrait"/>
          <w:cols w:equalWidth="0" w:num="3">
            <w:col w:w="6956" w:space="720"/>
            <w:col w:w="1664" w:space="220"/>
            <w:col w:w="1680"/>
          </w:cols>
          <w:pgMar w:left="320" w:top="449" w:right="3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7660" w:type="dxa"/>
            <w:vAlign w:val="bottom"/>
          </w:tcPr>
          <w:p>
            <w:pPr>
              <w:ind w:left="20"/>
              <w:spacing w:after="0"/>
              <w:rPr>
                <w:sz w:val="20"/>
                <w:szCs w:val="20"/>
                <w:color w:val="auto"/>
              </w:rPr>
            </w:pPr>
            <w:r>
              <w:rPr>
                <w:rFonts w:ascii="Arial" w:cs="Arial" w:eastAsia="Arial" w:hAnsi="Arial"/>
                <w:sz w:val="16"/>
                <w:szCs w:val="16"/>
                <w:b w:val="1"/>
                <w:bCs w:val="1"/>
                <w:color w:val="auto"/>
              </w:rPr>
              <w:t>Changes in Liquidity:</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8"/>
                <w:szCs w:val="18"/>
                <w:color w:val="auto"/>
              </w:rPr>
            </w:pPr>
          </w:p>
        </w:tc>
      </w:tr>
      <w:tr>
        <w:trPr>
          <w:trHeight w:val="210"/>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4,275</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3,492</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Charges and credits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110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(347 )</w:t>
            </w:r>
          </w:p>
        </w:tc>
      </w:tr>
      <w:tr>
        <w:trPr>
          <w:trHeight w:val="216"/>
        </w:trPr>
        <w:tc>
          <w:tcPr>
            <w:tcW w:w="766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(2)</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2,312</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2,147</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293</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taxes</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28</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(39 )</w:t>
            </w: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Earnings of equity method investments, less dividends received</w:t>
            </w:r>
          </w:p>
        </w:tc>
        <w:tc>
          <w:tcPr>
            <w:tcW w:w="3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(132 )</w:t>
            </w: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(96 )</w:t>
            </w: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Increase in working capital</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(215 )</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(1,709 )</w:t>
            </w: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US federal tax refund</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85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(119 )</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(41 )</w:t>
            </w:r>
          </w:p>
        </w:tc>
      </w:tr>
      <w:tr>
        <w:trPr>
          <w:trHeight w:val="210"/>
        </w:trPr>
        <w:tc>
          <w:tcPr>
            <w:tcW w:w="766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Cash flow from operations</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6,637</w:t>
            </w:r>
          </w:p>
        </w:tc>
        <w:tc>
          <w:tcPr>
            <w:tcW w:w="30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3,720</w:t>
            </w:r>
          </w:p>
        </w:tc>
        <w:tc>
          <w:tcPr>
            <w:tcW w:w="100" w:type="dxa"/>
            <w:vAlign w:val="bottom"/>
            <w:tcBorders>
              <w:top w:val="single" w:sz="8" w:color="CFF0FC"/>
            </w:tcBorders>
          </w:tcPr>
          <w:p>
            <w:pPr>
              <w:spacing w:after="0"/>
              <w:rPr>
                <w:sz w:val="18"/>
                <w:szCs w:val="18"/>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Capital expenditures</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(1,939 )</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(1,618 )</w:t>
            </w: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APS investments</w:t>
            </w:r>
          </w:p>
        </w:tc>
        <w:tc>
          <w:tcPr>
            <w:tcW w:w="3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(507 )</w:t>
            </w: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(587 )</w:t>
            </w: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Exploration data capitalized</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(153 )</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(97 )</w:t>
            </w:r>
          </w:p>
        </w:tc>
      </w:tr>
      <w:tr>
        <w:trPr>
          <w:trHeight w:val="210"/>
        </w:trPr>
        <w:tc>
          <w:tcPr>
            <w:tcW w:w="7660" w:type="dxa"/>
            <w:vAlign w:val="bottom"/>
            <w:tcBorders>
              <w:top w:val="single" w:sz="8" w:color="CFF0FC"/>
            </w:tcBorders>
          </w:tcPr>
          <w:p>
            <w:pPr>
              <w:ind w:left="20"/>
              <w:spacing w:after="0" w:line="210" w:lineRule="exact"/>
              <w:rPr>
                <w:sz w:val="20"/>
                <w:szCs w:val="20"/>
                <w:color w:val="auto"/>
              </w:rPr>
            </w:pPr>
            <w:r>
              <w:rPr>
                <w:rFonts w:ascii="Arial" w:cs="Arial" w:eastAsia="Arial" w:hAnsi="Arial"/>
                <w:sz w:val="16"/>
                <w:szCs w:val="16"/>
                <w:b w:val="1"/>
                <w:bCs w:val="1"/>
                <w:color w:val="auto"/>
              </w:rPr>
              <w:t xml:space="preserve">Free cash flow </w:t>
            </w:r>
            <w:r>
              <w:rPr>
                <w:rFonts w:ascii="Arial" w:cs="Arial" w:eastAsia="Arial" w:hAnsi="Arial"/>
                <w:sz w:val="21"/>
                <w:szCs w:val="21"/>
                <w:b w:val="1"/>
                <w:bCs w:val="1"/>
                <w:color w:val="auto"/>
                <w:vertAlign w:val="superscript"/>
              </w:rPr>
              <w:t>(3)</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4,038</w:t>
            </w:r>
          </w:p>
        </w:tc>
        <w:tc>
          <w:tcPr>
            <w:tcW w:w="30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1,418</w:t>
            </w:r>
          </w:p>
        </w:tc>
        <w:tc>
          <w:tcPr>
            <w:tcW w:w="100" w:type="dxa"/>
            <w:vAlign w:val="bottom"/>
            <w:tcBorders>
              <w:top w:val="single" w:sz="8" w:color="CFF0FC"/>
            </w:tcBorders>
          </w:tcPr>
          <w:p>
            <w:pPr>
              <w:spacing w:after="0"/>
              <w:rPr>
                <w:sz w:val="18"/>
                <w:szCs w:val="18"/>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Dividends paid</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(1,317 )</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(848 )</w:t>
            </w: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Stock repurchase program</w:t>
            </w:r>
          </w:p>
        </w:tc>
        <w:tc>
          <w:tcPr>
            <w:tcW w:w="3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(694 )</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employee stock purchase plan</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191</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Proceeds from exercise of stock options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90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Taxes paid on net-settled stock-based compensation awards</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(169 )</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(93 )</w:t>
            </w: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Business acquisitions and investments, net of cash acquired plus debt assumed</w:t>
            </w:r>
          </w:p>
        </w:tc>
        <w:tc>
          <w:tcPr>
            <w:tcW w:w="3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(330 )</w:t>
            </w: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(58 )</w:t>
            </w: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sale of Liberty shares</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137</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732</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Proceeds from sale of ADC shares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sale of real estate</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Purchases of Blue Chip Swap securities</w:t>
            </w:r>
          </w:p>
        </w:tc>
        <w:tc>
          <w:tcPr>
            <w:tcW w:w="3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(185 )</w:t>
            </w: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(259 )</w:t>
            </w: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sales of Blue Chip Swap securities</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97</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(195 )</w:t>
            </w: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(105 )</w:t>
            </w:r>
          </w:p>
        </w:tc>
      </w:tr>
      <w:tr>
        <w:trPr>
          <w:trHeight w:val="210"/>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Change in net debt before impact of changes in foreign exchange rates on net debt</w:t>
            </w:r>
          </w:p>
        </w:tc>
        <w:tc>
          <w:tcPr>
            <w:tcW w:w="36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1,663</w:t>
            </w:r>
          </w:p>
        </w:tc>
        <w:tc>
          <w:tcPr>
            <w:tcW w:w="30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1,463</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Impact of changes in foreign exchange rates on net debt</w:t>
            </w:r>
          </w:p>
        </w:tc>
        <w:tc>
          <w:tcPr>
            <w:tcW w:w="3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(307 )</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8"/>
                <w:szCs w:val="18"/>
                <w:color w:val="auto"/>
              </w:rPr>
            </w:pPr>
          </w:p>
        </w:tc>
      </w:tr>
      <w:tr>
        <w:trPr>
          <w:trHeight w:val="210"/>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Decrease in Net Debt</w:t>
            </w:r>
          </w:p>
        </w:tc>
        <w:tc>
          <w:tcPr>
            <w:tcW w:w="36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1,356</w:t>
            </w:r>
          </w:p>
        </w:tc>
        <w:tc>
          <w:tcPr>
            <w:tcW w:w="30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1,724</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Net Debt, Beginning of period</w:t>
            </w:r>
          </w:p>
        </w:tc>
        <w:tc>
          <w:tcPr>
            <w:tcW w:w="3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(9,332 )</w:t>
            </w: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(11,056 )</w:t>
            </w:r>
          </w:p>
        </w:tc>
      </w:tr>
      <w:tr>
        <w:trPr>
          <w:trHeight w:val="20"/>
        </w:trPr>
        <w:tc>
          <w:tcPr>
            <w:tcW w:w="76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Net Debt, End of period</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(7,976 )</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(9,332 )</w:t>
            </w:r>
          </w:p>
        </w:tc>
      </w:tr>
      <w:tr>
        <w:trPr>
          <w:trHeight w:val="20"/>
        </w:trPr>
        <w:tc>
          <w:tcPr>
            <w:tcW w:w="76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-3102610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-2536825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jc w:val="both"/>
        <w:ind w:left="380" w:hanging="372"/>
        <w:spacing w:after="0" w:line="242" w:lineRule="auto"/>
        <w:tabs>
          <w:tab w:leader="none" w:pos="380" w:val="left"/>
        </w:tabs>
        <w:numPr>
          <w:ilvl w:val="0"/>
          <w:numId w:val="21"/>
        </w:numPr>
        <w:rPr>
          <w:rFonts w:ascii="Arial" w:cs="Arial" w:eastAsia="Arial" w:hAnsi="Arial"/>
          <w:sz w:val="19"/>
          <w:szCs w:val="19"/>
          <w:color w:val="auto"/>
          <w:vertAlign w:val="superscript"/>
        </w:rPr>
      </w:pPr>
      <w:r>
        <w:rPr>
          <w:rFonts w:ascii="Arial" w:cs="Arial" w:eastAsia="Arial" w:hAnsi="Arial"/>
          <w:sz w:val="19"/>
          <w:szCs w:val="19"/>
          <w:color w:val="auto"/>
          <w:vertAlign w:val="superscript"/>
        </w:rPr>
        <w:t>“</w:t>
      </w:r>
      <w:r>
        <w:rPr>
          <w:rFonts w:ascii="Arial" w:cs="Arial" w:eastAsia="Arial" w:hAnsi="Arial"/>
          <w:sz w:val="14"/>
          <w:szCs w:val="14"/>
          <w:color w:val="auto"/>
        </w:rPr>
        <w:t>Net debt” represents gross debt less cash and short-term investments. Management believes that Net debt provides useful information to investors and management regarding the level of SLB’s indebtedness by reflecting cash and investments that could be used to repay debt. Net debt is a non-GAAP financial measure that should be considered in addition to, not as a substitute for or superior to, total debt.</w:t>
      </w:r>
    </w:p>
    <w:p>
      <w:pPr>
        <w:spacing w:after="0" w:line="1" w:lineRule="exact"/>
        <w:rPr>
          <w:rFonts w:ascii="Arial" w:cs="Arial" w:eastAsia="Arial" w:hAnsi="Arial"/>
          <w:sz w:val="19"/>
          <w:szCs w:val="19"/>
          <w:color w:val="auto"/>
          <w:vertAlign w:val="superscript"/>
        </w:rPr>
      </w:pPr>
    </w:p>
    <w:p>
      <w:pPr>
        <w:ind w:left="380" w:hanging="372"/>
        <w:spacing w:after="0" w:line="191" w:lineRule="auto"/>
        <w:tabs>
          <w:tab w:leader="none" w:pos="380"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Includes depreciation of fixed assets and amortization of intangible assets, exploration data costs and APS investments.</w:t>
      </w:r>
    </w:p>
    <w:p>
      <w:pPr>
        <w:jc w:val="both"/>
        <w:ind w:left="380" w:hanging="372"/>
        <w:spacing w:after="0" w:line="229" w:lineRule="auto"/>
        <w:tabs>
          <w:tab w:leader="none" w:pos="380"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Key liquidity events during 2023 and 2022 included:</w:t>
      </w:r>
    </w:p>
    <w:p>
      <w:pPr>
        <w:spacing w:after="0" w:line="113" w:lineRule="exact"/>
        <w:rPr>
          <w:sz w:val="20"/>
          <w:szCs w:val="20"/>
          <w:color w:val="auto"/>
        </w:rPr>
      </w:pPr>
    </w:p>
    <w:p>
      <w:pPr>
        <w:jc w:val="both"/>
        <w:ind w:left="760" w:hanging="378"/>
        <w:spacing w:after="0" w:line="256" w:lineRule="auto"/>
        <w:tabs>
          <w:tab w:leader="none" w:pos="76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Cash flow from operations of $6.6 billion in 2023 increased approximately $2.9 billion as compared to 2022. This increase was primarily due to a $1.4 billion increase in net income adjusted for the previously mentioned charges and credits and depreciation and amortization expense combined with the effect of working capital only consuming $0.2 billion of liquidity in 2023 as compared to $1.7 billion in 2022. This $1.5 billion improvement in working capital was largely attributable to strong collections of accounts receivable and a smaller increase in inventory in 2023 as compared to 2022. Inventory increased in 2022 as a result of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23" w:name="page24"/>
    <w:bookmarkEnd w:id="23"/>
    <w:p>
      <w:pPr>
        <w:ind w:left="760"/>
        <w:spacing w:after="0" w:line="286" w:lineRule="auto"/>
        <w:rPr>
          <w:sz w:val="20"/>
          <w:szCs w:val="20"/>
          <w:color w:val="auto"/>
        </w:rPr>
      </w:pPr>
      <w:r>
        <w:rPr>
          <w:rFonts w:ascii="Arial" w:cs="Arial" w:eastAsia="Arial" w:hAnsi="Arial"/>
          <w:sz w:val="16"/>
          <w:szCs w:val="16"/>
          <w:color w:val="auto"/>
        </w:rPr>
        <w:t>significant activity growth that SLB was expecting in 2023. Additionally, SLB received a US federal tax refund of $85 million during the fourth quarter of 2023 relating to prior years.</w:t>
      </w:r>
    </w:p>
    <w:p>
      <w:pPr>
        <w:spacing w:after="0" w:line="61" w:lineRule="exact"/>
        <w:rPr>
          <w:sz w:val="20"/>
          <w:szCs w:val="20"/>
          <w:color w:val="auto"/>
        </w:rPr>
      </w:pPr>
    </w:p>
    <w:p>
      <w:pPr>
        <w:jc w:val="both"/>
        <w:ind w:left="760" w:hanging="378"/>
        <w:spacing w:after="0" w:line="249" w:lineRule="auto"/>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6"/>
          <w:szCs w:val="16"/>
          <w:color w:val="auto"/>
        </w:rPr>
        <w:t>In January 2023, SLB announced a 43% increase to its quarterly cash dividend from $0.175 per share of outstanding common stock to $0.25 per share, beginning with the dividend payable in April 2023. In April 2022, SLB announced a 40% increase to its quarterly cash dividend from $0.125 per share of outstanding common stock to $0.175 per share, beginning with the dividend payable in July 2022. Dividends paid during 2023 and 2022 were $1.3 billion and $0.8 billion, respectively.</w:t>
      </w:r>
    </w:p>
    <w:p>
      <w:pPr>
        <w:spacing w:after="0" w:line="157" w:lineRule="exact"/>
        <w:rPr>
          <w:rFonts w:ascii="Times New Roman" w:cs="Times New Roman" w:eastAsia="Times New Roman" w:hAnsi="Times New Roman"/>
          <w:sz w:val="18"/>
          <w:szCs w:val="18"/>
          <w:color w:val="auto"/>
        </w:rPr>
      </w:pPr>
    </w:p>
    <w:p>
      <w:pPr>
        <w:ind w:left="760"/>
        <w:spacing w:after="0" w:line="286" w:lineRule="auto"/>
        <w:rPr>
          <w:rFonts w:ascii="Times New Roman" w:cs="Times New Roman" w:eastAsia="Times New Roman" w:hAnsi="Times New Roman"/>
          <w:sz w:val="18"/>
          <w:szCs w:val="18"/>
          <w:color w:val="auto"/>
        </w:rPr>
      </w:pPr>
      <w:r>
        <w:rPr>
          <w:rFonts w:ascii="Arial" w:cs="Arial" w:eastAsia="Arial" w:hAnsi="Arial"/>
          <w:sz w:val="16"/>
          <w:szCs w:val="16"/>
          <w:color w:val="auto"/>
        </w:rPr>
        <w:t>In January 2024, SLB announced a 10% increase to its quarterly cash dividend from $0.25 per share of outstanding common stock to $0.275 per share, beginning with the dividend payable in April 2024.</w:t>
      </w:r>
    </w:p>
    <w:p>
      <w:pPr>
        <w:spacing w:after="0" w:line="61" w:lineRule="exact"/>
        <w:rPr>
          <w:rFonts w:ascii="Times New Roman" w:cs="Times New Roman" w:eastAsia="Times New Roman" w:hAnsi="Times New Roman"/>
          <w:sz w:val="18"/>
          <w:szCs w:val="18"/>
          <w:color w:val="auto"/>
        </w:rPr>
      </w:pPr>
    </w:p>
    <w:p>
      <w:pPr>
        <w:jc w:val="both"/>
        <w:ind w:left="760" w:hanging="378"/>
        <w:spacing w:after="0" w:line="250" w:lineRule="auto"/>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6"/>
          <w:szCs w:val="16"/>
          <w:color w:val="auto"/>
        </w:rPr>
        <w:t>As of December 31, 2023, SLB had cumulatively repurchased $1.7 billion of its common stock under its $10 billion share repurchase program. SLB repurchased approximately 13.3 million shares of its common stock under this program during 2023, for a total purchase price of $694 million. SLB did not repurchase any of its common stock during 2022.</w:t>
      </w:r>
    </w:p>
    <w:p>
      <w:pPr>
        <w:spacing w:after="0" w:line="89" w:lineRule="exact"/>
        <w:rPr>
          <w:rFonts w:ascii="Times New Roman" w:cs="Times New Roman" w:eastAsia="Times New Roman" w:hAnsi="Times New Roman"/>
          <w:sz w:val="18"/>
          <w:szCs w:val="18"/>
          <w:color w:val="auto"/>
        </w:rPr>
      </w:pPr>
    </w:p>
    <w:p>
      <w:pPr>
        <w:ind w:left="760" w:hanging="378"/>
        <w:spacing w:after="0" w:line="256" w:lineRule="auto"/>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6"/>
          <w:szCs w:val="16"/>
          <w:color w:val="auto"/>
        </w:rPr>
        <w:t>Capital investments (consisting of capital expenditures, APS investments, and exploration data capitalized) were $2.6 billion in 2023 and $2.3 billion in 2022. Capital investments during 2024 are expected to be approximately $2.6 billion.</w:t>
      </w:r>
    </w:p>
    <w:p>
      <w:pPr>
        <w:spacing w:after="0" w:line="82" w:lineRule="exact"/>
        <w:rPr>
          <w:rFonts w:ascii="Times New Roman" w:cs="Times New Roman" w:eastAsia="Times New Roman" w:hAnsi="Times New Roman"/>
          <w:sz w:val="18"/>
          <w:szCs w:val="18"/>
          <w:color w:val="auto"/>
        </w:rPr>
      </w:pPr>
    </w:p>
    <w:p>
      <w:pPr>
        <w:jc w:val="both"/>
        <w:ind w:left="760" w:right="20" w:hanging="378"/>
        <w:spacing w:after="0" w:line="245" w:lineRule="auto"/>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6"/>
          <w:szCs w:val="16"/>
          <w:color w:val="auto"/>
        </w:rPr>
        <w:t>During the first quarter of 2023, SLB sold all of its remaining approximately 9 million shares of Liberty and received net proceeds of $137 million. As a result, SLB recognized a gain of $36 million. During 2022, SLB sold 47.8 million of its shares of Liberty and received proceeds of $732 million.</w:t>
      </w:r>
    </w:p>
    <w:p>
      <w:pPr>
        <w:spacing w:after="0" w:line="28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6"/>
          <w:szCs w:val="16"/>
          <w:color w:val="auto"/>
        </w:rPr>
        <w:t>During the second quarter of 2023, SLB issued $500 million of 4.50% Senior Notes due 2028 and $500 million of 4.85% Senior Notes due 2033.</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6"/>
          <w:szCs w:val="16"/>
          <w:color w:val="auto"/>
        </w:rPr>
        <w:t>During the fourth quarter of 2023, SLB repaid its $1.5 billion of 3.65% Senior Notes that were outstanding.</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6"/>
          <w:szCs w:val="16"/>
          <w:color w:val="auto"/>
        </w:rPr>
        <w:t>During the second quarter of 2022, SLB sold certain real estate and received proceeds of $120 million.</w:t>
      </w:r>
    </w:p>
    <w:p>
      <w:pPr>
        <w:spacing w:after="0" w:line="117" w:lineRule="exact"/>
        <w:rPr>
          <w:rFonts w:ascii="Times New Roman" w:cs="Times New Roman" w:eastAsia="Times New Roman" w:hAnsi="Times New Roman"/>
          <w:sz w:val="18"/>
          <w:szCs w:val="18"/>
          <w:color w:val="auto"/>
        </w:rPr>
      </w:pPr>
    </w:p>
    <w:p>
      <w:pPr>
        <w:ind w:left="760" w:hanging="378"/>
        <w:spacing w:after="0" w:line="256" w:lineRule="auto"/>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6"/>
          <w:szCs w:val="16"/>
          <w:color w:val="auto"/>
        </w:rPr>
        <w:t>During the fourth quarter of 2022, SLB repurchased $395 million of its 3.75% Senior Notes due 2024 and $409 million of its 4.00% Senior Notes due 2025 for $790 million.</w:t>
      </w:r>
    </w:p>
    <w:p>
      <w:pPr>
        <w:spacing w:after="0" w:line="8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6"/>
          <w:szCs w:val="16"/>
          <w:color w:val="auto"/>
        </w:rPr>
        <w:t>During the fourth quarter of 2022, SLB repaid $795 million of Senior Notes that matured.</w:t>
      </w:r>
    </w:p>
    <w:p>
      <w:pPr>
        <w:spacing w:after="0" w:line="117" w:lineRule="exact"/>
        <w:rPr>
          <w:rFonts w:ascii="Times New Roman" w:cs="Times New Roman" w:eastAsia="Times New Roman" w:hAnsi="Times New Roman"/>
          <w:sz w:val="18"/>
          <w:szCs w:val="18"/>
          <w:color w:val="auto"/>
        </w:rPr>
      </w:pPr>
    </w:p>
    <w:p>
      <w:pPr>
        <w:ind w:left="760" w:hanging="378"/>
        <w:spacing w:after="0" w:line="256" w:lineRule="auto"/>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6"/>
          <w:szCs w:val="16"/>
          <w:color w:val="auto"/>
        </w:rPr>
        <w:t>During the fourth quarter of 2022, SLB sold a portion of its equity interest in ADC in a secondary offering that resulted in SLB receiving net proceeds of $223 million.</w:t>
      </w:r>
    </w:p>
    <w:p>
      <w:pPr>
        <w:spacing w:after="0" w:line="15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December 31, 2023, SLB had $3.99 billion of cash and short-term investments and committed credit facility agreements with commercial banks aggregating $5.0 billion, all of which was available and unused. SLB believes these amounts, along with cash generated by ongoing operations, will be sufficient to meet future business requirements for the next 12 months and beyond.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The following table reflects the carrying amounts of SLB’s debt at December 31, 2023 by year of maturity:</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i w:val="1"/>
                <w:iCs w:val="1"/>
                <w:color w:val="auto"/>
              </w:rPr>
              <w:t>(Stated in millions)</w:t>
            </w:r>
          </w:p>
        </w:tc>
      </w:tr>
      <w:tr>
        <w:trPr>
          <w:trHeight w:val="438"/>
        </w:trPr>
        <w:tc>
          <w:tcPr>
            <w:tcW w:w="5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141"/>
              <w:spacing w:after="0"/>
              <w:rPr>
                <w:sz w:val="20"/>
                <w:szCs w:val="20"/>
                <w:color w:val="auto"/>
              </w:rPr>
            </w:pPr>
            <w:r>
              <w:rPr>
                <w:rFonts w:ascii="Arial" w:cs="Arial" w:eastAsia="Arial" w:hAnsi="Arial"/>
                <w:sz w:val="16"/>
                <w:szCs w:val="16"/>
                <w:color w:val="auto"/>
              </w:rPr>
              <w:t>After</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7"/>
        </w:trPr>
        <w:tc>
          <w:tcPr>
            <w:tcW w:w="5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2024</w:t>
            </w:r>
          </w:p>
        </w:tc>
        <w:tc>
          <w:tcPr>
            <w:tcW w:w="900" w:type="dxa"/>
            <w:vAlign w:val="bottom"/>
            <w:gridSpan w:val="2"/>
          </w:tcPr>
          <w:p>
            <w:pPr>
              <w:jc w:val="right"/>
              <w:ind w:right="139"/>
              <w:spacing w:after="0"/>
              <w:rPr>
                <w:sz w:val="20"/>
                <w:szCs w:val="20"/>
                <w:color w:val="auto"/>
              </w:rPr>
            </w:pPr>
            <w:r>
              <w:rPr>
                <w:rFonts w:ascii="Arial" w:cs="Arial" w:eastAsia="Arial" w:hAnsi="Arial"/>
                <w:sz w:val="16"/>
                <w:szCs w:val="16"/>
                <w:color w:val="auto"/>
              </w:rPr>
              <w:t>2025</w:t>
            </w:r>
          </w:p>
        </w:tc>
        <w:tc>
          <w:tcPr>
            <w:tcW w:w="880" w:type="dxa"/>
            <w:vAlign w:val="bottom"/>
            <w:gridSpan w:val="2"/>
          </w:tcPr>
          <w:p>
            <w:pPr>
              <w:jc w:val="right"/>
              <w:ind w:right="119"/>
              <w:spacing w:after="0"/>
              <w:rPr>
                <w:sz w:val="20"/>
                <w:szCs w:val="20"/>
                <w:color w:val="auto"/>
              </w:rPr>
            </w:pPr>
            <w:r>
              <w:rPr>
                <w:rFonts w:ascii="Arial" w:cs="Arial" w:eastAsia="Arial" w:hAnsi="Arial"/>
                <w:sz w:val="16"/>
                <w:szCs w:val="16"/>
                <w:color w:val="auto"/>
              </w:rPr>
              <w:t>2026</w:t>
            </w:r>
          </w:p>
        </w:tc>
        <w:tc>
          <w:tcPr>
            <w:tcW w:w="900" w:type="dxa"/>
            <w:vAlign w:val="bottom"/>
            <w:gridSpan w:val="2"/>
          </w:tcPr>
          <w:p>
            <w:pPr>
              <w:jc w:val="right"/>
              <w:ind w:right="119"/>
              <w:spacing w:after="0"/>
              <w:rPr>
                <w:sz w:val="20"/>
                <w:szCs w:val="20"/>
                <w:color w:val="auto"/>
              </w:rPr>
            </w:pPr>
            <w:r>
              <w:rPr>
                <w:rFonts w:ascii="Arial" w:cs="Arial" w:eastAsia="Arial" w:hAnsi="Arial"/>
                <w:sz w:val="16"/>
                <w:szCs w:val="16"/>
                <w:color w:val="auto"/>
              </w:rPr>
              <w:t>2027</w:t>
            </w:r>
          </w:p>
        </w:tc>
        <w:tc>
          <w:tcPr>
            <w:tcW w:w="880" w:type="dxa"/>
            <w:vAlign w:val="bottom"/>
            <w:gridSpan w:val="2"/>
          </w:tcPr>
          <w:p>
            <w:pPr>
              <w:jc w:val="right"/>
              <w:ind w:right="119"/>
              <w:spacing w:after="0"/>
              <w:rPr>
                <w:sz w:val="20"/>
                <w:szCs w:val="20"/>
                <w:color w:val="auto"/>
              </w:rPr>
            </w:pPr>
            <w:r>
              <w:rPr>
                <w:rFonts w:ascii="Arial" w:cs="Arial" w:eastAsia="Arial" w:hAnsi="Arial"/>
                <w:sz w:val="16"/>
                <w:szCs w:val="16"/>
                <w:color w:val="auto"/>
              </w:rPr>
              <w:t>2028</w:t>
            </w:r>
          </w:p>
        </w:tc>
        <w:tc>
          <w:tcPr>
            <w:tcW w:w="880" w:type="dxa"/>
            <w:vAlign w:val="bottom"/>
            <w:gridSpan w:val="2"/>
          </w:tcPr>
          <w:p>
            <w:pPr>
              <w:jc w:val="right"/>
              <w:ind w:right="119"/>
              <w:spacing w:after="0"/>
              <w:rPr>
                <w:sz w:val="20"/>
                <w:szCs w:val="20"/>
                <w:color w:val="auto"/>
              </w:rPr>
            </w:pPr>
            <w:r>
              <w:rPr>
                <w:rFonts w:ascii="Arial" w:cs="Arial" w:eastAsia="Arial" w:hAnsi="Arial"/>
                <w:sz w:val="16"/>
                <w:szCs w:val="16"/>
                <w:color w:val="auto"/>
              </w:rPr>
              <w:t>2029</w:t>
            </w:r>
          </w:p>
        </w:tc>
        <w:tc>
          <w:tcPr>
            <w:tcW w:w="860" w:type="dxa"/>
            <w:vAlign w:val="bottom"/>
            <w:gridSpan w:val="2"/>
          </w:tcPr>
          <w:p>
            <w:pPr>
              <w:jc w:val="right"/>
              <w:ind w:right="119"/>
              <w:spacing w:after="0"/>
              <w:rPr>
                <w:sz w:val="20"/>
                <w:szCs w:val="20"/>
                <w:color w:val="auto"/>
              </w:rPr>
            </w:pPr>
            <w:r>
              <w:rPr>
                <w:rFonts w:ascii="Arial" w:cs="Arial" w:eastAsia="Arial" w:hAnsi="Arial"/>
                <w:sz w:val="16"/>
                <w:szCs w:val="16"/>
                <w:color w:val="auto"/>
              </w:rPr>
              <w:t>2030</w:t>
            </w:r>
          </w:p>
        </w:tc>
        <w:tc>
          <w:tcPr>
            <w:tcW w:w="880" w:type="dxa"/>
            <w:vAlign w:val="bottom"/>
            <w:gridSpan w:val="2"/>
          </w:tcPr>
          <w:p>
            <w:pPr>
              <w:jc w:val="right"/>
              <w:ind w:right="119"/>
              <w:spacing w:after="0"/>
              <w:rPr>
                <w:sz w:val="20"/>
                <w:szCs w:val="20"/>
                <w:color w:val="auto"/>
              </w:rPr>
            </w:pPr>
            <w:r>
              <w:rPr>
                <w:rFonts w:ascii="Arial" w:cs="Arial" w:eastAsia="Arial" w:hAnsi="Arial"/>
                <w:sz w:val="16"/>
                <w:szCs w:val="16"/>
                <w:color w:val="auto"/>
              </w:rPr>
              <w:t>2031</w:t>
            </w:r>
          </w:p>
        </w:tc>
        <w:tc>
          <w:tcPr>
            <w:tcW w:w="860" w:type="dxa"/>
            <w:vAlign w:val="bottom"/>
            <w:gridSpan w:val="2"/>
          </w:tcPr>
          <w:p>
            <w:pPr>
              <w:jc w:val="right"/>
              <w:ind w:right="121"/>
              <w:spacing w:after="0"/>
              <w:rPr>
                <w:sz w:val="20"/>
                <w:szCs w:val="20"/>
                <w:color w:val="auto"/>
              </w:rPr>
            </w:pPr>
            <w:r>
              <w:rPr>
                <w:rFonts w:ascii="Arial" w:cs="Arial" w:eastAsia="Arial" w:hAnsi="Arial"/>
                <w:sz w:val="16"/>
                <w:szCs w:val="16"/>
                <w:color w:val="auto"/>
              </w:rPr>
              <w:t>2032</w:t>
            </w:r>
          </w:p>
        </w:tc>
        <w:tc>
          <w:tcPr>
            <w:tcW w:w="100" w:type="dxa"/>
            <w:vAlign w:val="bottom"/>
          </w:tcPr>
          <w:p>
            <w:pPr>
              <w:spacing w:after="0"/>
              <w:rPr>
                <w:sz w:val="18"/>
                <w:szCs w:val="18"/>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Total</w:t>
            </w:r>
          </w:p>
        </w:tc>
      </w:tr>
      <w:tr>
        <w:trPr>
          <w:trHeight w:val="211"/>
        </w:trPr>
        <w:tc>
          <w:tcPr>
            <w:tcW w:w="2540" w:type="dxa"/>
            <w:vAlign w:val="bottom"/>
            <w:gridSpan w:val="2"/>
            <w:shd w:val="clear" w:color="auto" w:fill="CFF0FC"/>
          </w:tcPr>
          <w:p>
            <w:pPr>
              <w:ind w:left="20"/>
              <w:spacing w:after="0"/>
              <w:rPr>
                <w:sz w:val="20"/>
                <w:szCs w:val="20"/>
                <w:color w:val="auto"/>
              </w:rPr>
            </w:pPr>
            <w:r>
              <w:rPr>
                <w:rFonts w:ascii="Arial" w:cs="Arial" w:eastAsia="Arial" w:hAnsi="Arial"/>
                <w:sz w:val="16"/>
                <w:szCs w:val="16"/>
                <w:b w:val="1"/>
                <w:bCs w:val="1"/>
                <w:color w:val="auto"/>
              </w:rPr>
              <w:t>Fixed rate debt</w:t>
            </w: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r>
      <w:tr>
        <w:trPr>
          <w:trHeight w:val="228"/>
        </w:trPr>
        <w:tc>
          <w:tcPr>
            <w:tcW w:w="500" w:type="dxa"/>
            <w:vAlign w:val="bottom"/>
          </w:tcPr>
          <w:p>
            <w:pPr>
              <w:ind w:left="20"/>
              <w:spacing w:after="0"/>
              <w:rPr>
                <w:sz w:val="20"/>
                <w:szCs w:val="20"/>
                <w:color w:val="auto"/>
              </w:rPr>
            </w:pPr>
            <w:r>
              <w:rPr>
                <w:rFonts w:ascii="Arial" w:cs="Arial" w:eastAsia="Arial" w:hAnsi="Arial"/>
                <w:sz w:val="16"/>
                <w:szCs w:val="16"/>
                <w:color w:val="auto"/>
              </w:rPr>
              <w:t>0.00%</w:t>
            </w:r>
          </w:p>
        </w:tc>
        <w:tc>
          <w:tcPr>
            <w:tcW w:w="2040" w:type="dxa"/>
            <w:vAlign w:val="bottom"/>
          </w:tcPr>
          <w:p>
            <w:pPr>
              <w:ind w:left="20"/>
              <w:spacing w:after="0"/>
              <w:rPr>
                <w:sz w:val="20"/>
                <w:szCs w:val="20"/>
                <w:color w:val="auto"/>
              </w:rPr>
            </w:pPr>
            <w:r>
              <w:rPr>
                <w:rFonts w:ascii="Arial" w:cs="Arial" w:eastAsia="Arial" w:hAnsi="Arial"/>
                <w:sz w:val="16"/>
                <w:szCs w:val="16"/>
                <w:color w:val="auto"/>
              </w:rPr>
              <w:t>Notes</w:t>
            </w:r>
          </w:p>
        </w:tc>
        <w:tc>
          <w:tcPr>
            <w:tcW w:w="760" w:type="dxa"/>
            <w:vAlign w:val="bottom"/>
          </w:tcPr>
          <w:p>
            <w:pPr>
              <w:jc w:val="right"/>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553</w:t>
            </w:r>
          </w:p>
        </w:tc>
      </w:tr>
      <w:tr>
        <w:trPr>
          <w:trHeight w:val="231"/>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3.75%</w:t>
            </w:r>
          </w:p>
        </w:tc>
        <w:tc>
          <w:tcPr>
            <w:tcW w:w="2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w:t>
            </w: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355</w:t>
            </w:r>
          </w:p>
        </w:tc>
      </w:tr>
      <w:tr>
        <w:trPr>
          <w:trHeight w:val="228"/>
        </w:trPr>
        <w:tc>
          <w:tcPr>
            <w:tcW w:w="500" w:type="dxa"/>
            <w:vAlign w:val="bottom"/>
          </w:tcPr>
          <w:p>
            <w:pPr>
              <w:ind w:left="20"/>
              <w:spacing w:after="0"/>
              <w:rPr>
                <w:sz w:val="20"/>
                <w:szCs w:val="20"/>
                <w:color w:val="auto"/>
              </w:rPr>
            </w:pPr>
            <w:r>
              <w:rPr>
                <w:rFonts w:ascii="Arial" w:cs="Arial" w:eastAsia="Arial" w:hAnsi="Arial"/>
                <w:sz w:val="16"/>
                <w:szCs w:val="16"/>
                <w:color w:val="auto"/>
              </w:rPr>
              <w:t>3.70%</w:t>
            </w:r>
          </w:p>
        </w:tc>
        <w:tc>
          <w:tcPr>
            <w:tcW w:w="2040" w:type="dxa"/>
            <w:vAlign w:val="bottom"/>
          </w:tcPr>
          <w:p>
            <w:pPr>
              <w:ind w:left="20"/>
              <w:spacing w:after="0"/>
              <w:rPr>
                <w:sz w:val="20"/>
                <w:szCs w:val="20"/>
                <w:color w:val="auto"/>
              </w:rPr>
            </w:pPr>
            <w:r>
              <w:rPr>
                <w:rFonts w:ascii="Arial" w:cs="Arial" w:eastAsia="Arial" w:hAnsi="Arial"/>
                <w:sz w:val="16"/>
                <w:szCs w:val="16"/>
                <w:color w:val="auto"/>
              </w:rPr>
              <w:t>Notes</w:t>
            </w:r>
          </w:p>
        </w:tc>
        <w:tc>
          <w:tcPr>
            <w:tcW w:w="76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54</w:t>
            </w:r>
          </w:p>
        </w:tc>
      </w:tr>
      <w:tr>
        <w:trPr>
          <w:trHeight w:val="230"/>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4.00%</w:t>
            </w:r>
          </w:p>
        </w:tc>
        <w:tc>
          <w:tcPr>
            <w:tcW w:w="2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w:t>
            </w:r>
          </w:p>
        </w:tc>
        <w:tc>
          <w:tcPr>
            <w:tcW w:w="7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$523</w:t>
            </w: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523</w:t>
            </w:r>
          </w:p>
        </w:tc>
      </w:tr>
      <w:tr>
        <w:trPr>
          <w:trHeight w:val="228"/>
        </w:trPr>
        <w:tc>
          <w:tcPr>
            <w:tcW w:w="500" w:type="dxa"/>
            <w:vAlign w:val="bottom"/>
          </w:tcPr>
          <w:p>
            <w:pPr>
              <w:ind w:left="20"/>
              <w:spacing w:after="0"/>
              <w:rPr>
                <w:sz w:val="20"/>
                <w:szCs w:val="20"/>
                <w:color w:val="auto"/>
              </w:rPr>
            </w:pPr>
            <w:r>
              <w:rPr>
                <w:rFonts w:ascii="Arial" w:cs="Arial" w:eastAsia="Arial" w:hAnsi="Arial"/>
                <w:sz w:val="16"/>
                <w:szCs w:val="16"/>
                <w:color w:val="auto"/>
              </w:rPr>
              <w:t>1.40%</w:t>
            </w:r>
          </w:p>
        </w:tc>
        <w:tc>
          <w:tcPr>
            <w:tcW w:w="204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7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499</w:t>
            </w:r>
          </w:p>
        </w:tc>
      </w:tr>
      <w:tr>
        <w:trPr>
          <w:trHeight w:val="231"/>
        </w:trPr>
        <w:tc>
          <w:tcPr>
            <w:tcW w:w="25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1.375% Guaranteed Notes</w:t>
            </w:r>
          </w:p>
        </w:tc>
        <w:tc>
          <w:tcPr>
            <w:tcW w:w="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$1,104</w:t>
            </w: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1,104</w:t>
            </w:r>
          </w:p>
        </w:tc>
      </w:tr>
      <w:tr>
        <w:trPr>
          <w:trHeight w:val="229"/>
        </w:trPr>
        <w:tc>
          <w:tcPr>
            <w:tcW w:w="500" w:type="dxa"/>
            <w:vAlign w:val="bottom"/>
          </w:tcPr>
          <w:p>
            <w:pPr>
              <w:ind w:left="20"/>
              <w:spacing w:after="0"/>
              <w:rPr>
                <w:sz w:val="20"/>
                <w:szCs w:val="20"/>
                <w:color w:val="auto"/>
              </w:rPr>
            </w:pPr>
            <w:r>
              <w:rPr>
                <w:rFonts w:ascii="Arial" w:cs="Arial" w:eastAsia="Arial" w:hAnsi="Arial"/>
                <w:sz w:val="16"/>
                <w:szCs w:val="16"/>
                <w:color w:val="auto"/>
              </w:rPr>
              <w:t>1.00%</w:t>
            </w:r>
          </w:p>
        </w:tc>
        <w:tc>
          <w:tcPr>
            <w:tcW w:w="2040" w:type="dxa"/>
            <w:vAlign w:val="bottom"/>
          </w:tcPr>
          <w:p>
            <w:pPr>
              <w:ind w:left="20"/>
              <w:spacing w:after="0"/>
              <w:rPr>
                <w:sz w:val="20"/>
                <w:szCs w:val="20"/>
                <w:color w:val="auto"/>
              </w:rPr>
            </w:pPr>
            <w:r>
              <w:rPr>
                <w:rFonts w:ascii="Arial" w:cs="Arial" w:eastAsia="Arial" w:hAnsi="Arial"/>
                <w:sz w:val="16"/>
                <w:szCs w:val="16"/>
                <w:color w:val="auto"/>
              </w:rPr>
              <w:t>Guaranteed Notes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662</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662</w:t>
            </w:r>
          </w:p>
        </w:tc>
      </w:tr>
      <w:tr>
        <w:trPr>
          <w:trHeight w:val="230"/>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0.25%</w:t>
            </w:r>
          </w:p>
        </w:tc>
        <w:tc>
          <w:tcPr>
            <w:tcW w:w="2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Notes</w:t>
            </w:r>
          </w:p>
        </w:tc>
        <w:tc>
          <w:tcPr>
            <w:tcW w:w="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$994</w:t>
            </w: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994</w:t>
            </w:r>
          </w:p>
        </w:tc>
      </w:tr>
      <w:tr>
        <w:trPr>
          <w:trHeight w:val="215"/>
        </w:trPr>
        <w:tc>
          <w:tcPr>
            <w:tcW w:w="500" w:type="dxa"/>
            <w:vAlign w:val="bottom"/>
          </w:tcPr>
          <w:p>
            <w:pPr>
              <w:ind w:left="20"/>
              <w:spacing w:after="0"/>
              <w:rPr>
                <w:sz w:val="20"/>
                <w:szCs w:val="20"/>
                <w:color w:val="auto"/>
              </w:rPr>
            </w:pPr>
            <w:r>
              <w:rPr>
                <w:rFonts w:ascii="Arial" w:cs="Arial" w:eastAsia="Arial" w:hAnsi="Arial"/>
                <w:sz w:val="16"/>
                <w:szCs w:val="16"/>
                <w:color w:val="auto"/>
              </w:rPr>
              <w:t>4.50%</w:t>
            </w:r>
          </w:p>
        </w:tc>
        <w:tc>
          <w:tcPr>
            <w:tcW w:w="204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497</w:t>
            </w:r>
          </w:p>
        </w:tc>
      </w:tr>
      <w:tr>
        <w:trPr>
          <w:trHeight w:val="230"/>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3.90%</w:t>
            </w:r>
          </w:p>
        </w:tc>
        <w:tc>
          <w:tcPr>
            <w:tcW w:w="2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w:t>
            </w:r>
          </w:p>
        </w:tc>
        <w:tc>
          <w:tcPr>
            <w:tcW w:w="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1,471</w:t>
            </w: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1,471</w:t>
            </w:r>
          </w:p>
        </w:tc>
      </w:tr>
      <w:tr>
        <w:trPr>
          <w:trHeight w:val="229"/>
        </w:trPr>
        <w:tc>
          <w:tcPr>
            <w:tcW w:w="500" w:type="dxa"/>
            <w:vAlign w:val="bottom"/>
          </w:tcPr>
          <w:p>
            <w:pPr>
              <w:ind w:left="20"/>
              <w:spacing w:after="0"/>
              <w:rPr>
                <w:sz w:val="20"/>
                <w:szCs w:val="20"/>
                <w:color w:val="auto"/>
              </w:rPr>
            </w:pPr>
            <w:r>
              <w:rPr>
                <w:rFonts w:ascii="Arial" w:cs="Arial" w:eastAsia="Arial" w:hAnsi="Arial"/>
                <w:sz w:val="16"/>
                <w:szCs w:val="16"/>
                <w:color w:val="auto"/>
              </w:rPr>
              <w:t>4.30%</w:t>
            </w:r>
          </w:p>
        </w:tc>
        <w:tc>
          <w:tcPr>
            <w:tcW w:w="204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$847</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847</w:t>
            </w:r>
          </w:p>
        </w:tc>
      </w:tr>
      <w:tr>
        <w:trPr>
          <w:trHeight w:val="230"/>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2.65%</w:t>
            </w:r>
          </w:p>
        </w:tc>
        <w:tc>
          <w:tcPr>
            <w:tcW w:w="2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w:t>
            </w:r>
          </w:p>
        </w:tc>
        <w:tc>
          <w:tcPr>
            <w:tcW w:w="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$1,250</w:t>
            </w: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1,250</w:t>
            </w:r>
          </w:p>
        </w:tc>
      </w:tr>
      <w:tr>
        <w:trPr>
          <w:trHeight w:val="228"/>
        </w:trPr>
        <w:tc>
          <w:tcPr>
            <w:tcW w:w="500" w:type="dxa"/>
            <w:vAlign w:val="bottom"/>
          </w:tcPr>
          <w:p>
            <w:pPr>
              <w:ind w:left="20"/>
              <w:spacing w:after="0"/>
              <w:rPr>
                <w:sz w:val="20"/>
                <w:szCs w:val="20"/>
                <w:color w:val="auto"/>
              </w:rPr>
            </w:pPr>
            <w:r>
              <w:rPr>
                <w:rFonts w:ascii="Arial" w:cs="Arial" w:eastAsia="Arial" w:hAnsi="Arial"/>
                <w:sz w:val="16"/>
                <w:szCs w:val="16"/>
                <w:color w:val="auto"/>
              </w:rPr>
              <w:t>0.50%</w:t>
            </w:r>
          </w:p>
        </w:tc>
        <w:tc>
          <w:tcPr>
            <w:tcW w:w="2040" w:type="dxa"/>
            <w:vAlign w:val="bottom"/>
          </w:tcPr>
          <w:p>
            <w:pPr>
              <w:ind w:left="20"/>
              <w:spacing w:after="0"/>
              <w:rPr>
                <w:sz w:val="20"/>
                <w:szCs w:val="20"/>
                <w:color w:val="auto"/>
              </w:rPr>
            </w:pPr>
            <w:r>
              <w:rPr>
                <w:rFonts w:ascii="Arial" w:cs="Arial" w:eastAsia="Arial" w:hAnsi="Arial"/>
                <w:sz w:val="16"/>
                <w:szCs w:val="16"/>
                <w:color w:val="auto"/>
              </w:rPr>
              <w:t>Notes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$992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992</w:t>
            </w:r>
          </w:p>
        </w:tc>
      </w:tr>
      <w:tr>
        <w:trPr>
          <w:trHeight w:val="217"/>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2.00%</w:t>
            </w:r>
          </w:p>
        </w:tc>
        <w:tc>
          <w:tcPr>
            <w:tcW w:w="2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Guaranteed Notes</w:t>
            </w: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$1,098</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1,098</w:t>
            </w:r>
          </w:p>
        </w:tc>
      </w:tr>
      <w:tr>
        <w:trPr>
          <w:trHeight w:val="228"/>
        </w:trPr>
        <w:tc>
          <w:tcPr>
            <w:tcW w:w="500" w:type="dxa"/>
            <w:vAlign w:val="bottom"/>
          </w:tcPr>
          <w:p>
            <w:pPr>
              <w:ind w:left="20"/>
              <w:spacing w:after="0"/>
              <w:rPr>
                <w:sz w:val="20"/>
                <w:szCs w:val="20"/>
                <w:color w:val="auto"/>
              </w:rPr>
            </w:pPr>
            <w:r>
              <w:rPr>
                <w:rFonts w:ascii="Arial" w:cs="Arial" w:eastAsia="Arial" w:hAnsi="Arial"/>
                <w:sz w:val="16"/>
                <w:szCs w:val="16"/>
                <w:color w:val="auto"/>
              </w:rPr>
              <w:t>4.85%</w:t>
            </w:r>
          </w:p>
        </w:tc>
        <w:tc>
          <w:tcPr>
            <w:tcW w:w="204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496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496</w:t>
            </w:r>
          </w:p>
        </w:tc>
      </w:tr>
      <w:tr>
        <w:trPr>
          <w:trHeight w:val="217"/>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7.00%</w:t>
            </w:r>
          </w:p>
        </w:tc>
        <w:tc>
          <w:tcPr>
            <w:tcW w:w="2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Notes</w:t>
            </w: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199</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199</w:t>
            </w:r>
          </w:p>
        </w:tc>
      </w:tr>
      <w:tr>
        <w:trPr>
          <w:trHeight w:val="215"/>
        </w:trPr>
        <w:tc>
          <w:tcPr>
            <w:tcW w:w="500" w:type="dxa"/>
            <w:vAlign w:val="bottom"/>
          </w:tcPr>
          <w:p>
            <w:pPr>
              <w:ind w:left="20"/>
              <w:spacing w:after="0"/>
              <w:rPr>
                <w:sz w:val="20"/>
                <w:szCs w:val="20"/>
                <w:color w:val="auto"/>
              </w:rPr>
            </w:pPr>
            <w:r>
              <w:rPr>
                <w:rFonts w:ascii="Arial" w:cs="Arial" w:eastAsia="Arial" w:hAnsi="Arial"/>
                <w:sz w:val="16"/>
                <w:szCs w:val="16"/>
                <w:color w:val="auto"/>
              </w:rPr>
              <w:t>5.95%</w:t>
            </w:r>
          </w:p>
        </w:tc>
        <w:tc>
          <w:tcPr>
            <w:tcW w:w="2040" w:type="dxa"/>
            <w:vAlign w:val="bottom"/>
          </w:tcPr>
          <w:p>
            <w:pPr>
              <w:ind w:left="20"/>
              <w:spacing w:after="0"/>
              <w:rPr>
                <w:sz w:val="20"/>
                <w:szCs w:val="20"/>
                <w:color w:val="auto"/>
              </w:rPr>
            </w:pPr>
            <w:r>
              <w:rPr>
                <w:rFonts w:ascii="Arial" w:cs="Arial" w:eastAsia="Arial" w:hAnsi="Arial"/>
                <w:sz w:val="16"/>
                <w:szCs w:val="16"/>
                <w:color w:val="auto"/>
              </w:rPr>
              <w:t>Notes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112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112</w:t>
            </w:r>
          </w:p>
        </w:tc>
      </w:tr>
      <w:tr>
        <w:trPr>
          <w:trHeight w:val="216"/>
        </w:trPr>
        <w:tc>
          <w:tcPr>
            <w:tcW w:w="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5.13%</w:t>
            </w:r>
          </w:p>
        </w:tc>
        <w:tc>
          <w:tcPr>
            <w:tcW w:w="2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Notes</w:t>
            </w:r>
          </w:p>
        </w:tc>
        <w:tc>
          <w:tcPr>
            <w:tcW w:w="7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w:t>
            </w:r>
          </w:p>
        </w:tc>
      </w:tr>
      <w:tr>
        <w:trPr>
          <w:trHeight w:val="209"/>
        </w:trPr>
        <w:tc>
          <w:tcPr>
            <w:tcW w:w="2540" w:type="dxa"/>
            <w:vAlign w:val="bottom"/>
            <w:gridSpan w:val="2"/>
          </w:tcPr>
          <w:p>
            <w:pPr>
              <w:ind w:left="20"/>
              <w:spacing w:after="0"/>
              <w:rPr>
                <w:sz w:val="20"/>
                <w:szCs w:val="20"/>
                <w:color w:val="auto"/>
              </w:rPr>
            </w:pPr>
            <w:r>
              <w:rPr>
                <w:rFonts w:ascii="Arial" w:cs="Arial" w:eastAsia="Arial" w:hAnsi="Arial"/>
                <w:sz w:val="16"/>
                <w:szCs w:val="16"/>
                <w:color w:val="auto"/>
              </w:rPr>
              <w:t>Total fixed rate debt</w:t>
            </w:r>
          </w:p>
        </w:tc>
        <w:tc>
          <w:tcPr>
            <w:tcW w:w="760" w:type="dxa"/>
            <w:vAlign w:val="bottom"/>
          </w:tcPr>
          <w:p>
            <w:pPr>
              <w:jc w:val="right"/>
              <w:spacing w:after="0"/>
              <w:rPr>
                <w:sz w:val="20"/>
                <w:szCs w:val="20"/>
                <w:color w:val="auto"/>
              </w:rPr>
            </w:pPr>
            <w:r>
              <w:rPr>
                <w:rFonts w:ascii="Arial" w:cs="Arial" w:eastAsia="Arial" w:hAnsi="Arial"/>
                <w:sz w:val="16"/>
                <w:szCs w:val="16"/>
                <w:color w:val="auto"/>
              </w:rPr>
              <w:t>$962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$1,022</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$1,766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$994</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$1,968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$847</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$1,250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$992</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$2,003</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$11,804</w:t>
            </w:r>
          </w:p>
        </w:tc>
      </w:tr>
      <w:tr>
        <w:trPr>
          <w:trHeight w:val="217"/>
        </w:trPr>
        <w:tc>
          <w:tcPr>
            <w:tcW w:w="25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b w:val="1"/>
                <w:bCs w:val="1"/>
                <w:color w:val="auto"/>
              </w:rPr>
              <w:t>Variable rate debt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w:t>
            </w:r>
          </w:p>
        </w:tc>
      </w:tr>
      <w:tr>
        <w:trPr>
          <w:trHeight w:val="210"/>
        </w:trPr>
        <w:tc>
          <w:tcPr>
            <w:tcW w:w="5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0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$1,123</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$1,022</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$1,766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$994</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$1,968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$847</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$1,250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$992</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$2,003</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$11,965</w:t>
            </w:r>
          </w:p>
        </w:tc>
      </w:tr>
      <w:tr>
        <w:trPr>
          <w:trHeight w:val="20"/>
        </w:trPr>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-453390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-453390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-453390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-453390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-453390</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-453390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-453390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-453390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-453390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-170815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-170815</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-170815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-170815</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-170815</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-170815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-170815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-170815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Interest payments on fixed rate debt obligations by year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i w:val="1"/>
                <w:iCs w:val="1"/>
                <w:color w:val="auto"/>
              </w:rPr>
              <w:t>(Stated in millions)</w:t>
            </w:r>
          </w:p>
        </w:tc>
      </w:tr>
      <w:tr>
        <w:trPr>
          <w:trHeight w:val="224"/>
        </w:trPr>
        <w:tc>
          <w:tcPr>
            <w:tcW w:w="7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2024</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w:t>
            </w:r>
          </w:p>
        </w:tc>
        <w:tc>
          <w:tcPr>
            <w:tcW w:w="80" w:type="dxa"/>
            <w:vAlign w:val="bottom"/>
            <w:shd w:val="clear" w:color="auto" w:fill="CFF0FC"/>
          </w:tcPr>
          <w:p>
            <w:pPr>
              <w:spacing w:after="0"/>
              <w:rPr>
                <w:sz w:val="18"/>
                <w:szCs w:val="18"/>
                <w:color w:val="auto"/>
              </w:rPr>
            </w:pPr>
          </w:p>
        </w:tc>
      </w:tr>
      <w:tr>
        <w:trPr>
          <w:trHeight w:val="215"/>
        </w:trPr>
        <w:tc>
          <w:tcPr>
            <w:tcW w:w="7360" w:type="dxa"/>
            <w:vAlign w:val="bottom"/>
          </w:tcPr>
          <w:p>
            <w:pPr>
              <w:ind w:left="20"/>
              <w:spacing w:after="0"/>
              <w:rPr>
                <w:sz w:val="20"/>
                <w:szCs w:val="20"/>
                <w:color w:val="auto"/>
              </w:rPr>
            </w:pPr>
            <w:r>
              <w:rPr>
                <w:rFonts w:ascii="Arial" w:cs="Arial" w:eastAsia="Arial" w:hAnsi="Arial"/>
                <w:sz w:val="16"/>
                <w:szCs w:val="16"/>
                <w:color w:val="auto"/>
              </w:rPr>
              <w:t>2025</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348</w:t>
            </w:r>
          </w:p>
        </w:tc>
        <w:tc>
          <w:tcPr>
            <w:tcW w:w="80" w:type="dxa"/>
            <w:vAlign w:val="bottom"/>
          </w:tcPr>
          <w:p>
            <w:pPr>
              <w:spacing w:after="0"/>
              <w:rPr>
                <w:sz w:val="18"/>
                <w:szCs w:val="18"/>
                <w:color w:val="auto"/>
              </w:rPr>
            </w:pPr>
          </w:p>
        </w:tc>
      </w:tr>
      <w:tr>
        <w:trPr>
          <w:trHeight w:val="217"/>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2026</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w:t>
            </w:r>
          </w:p>
        </w:tc>
        <w:tc>
          <w:tcPr>
            <w:tcW w:w="80" w:type="dxa"/>
            <w:vAlign w:val="bottom"/>
            <w:shd w:val="clear" w:color="auto" w:fill="CFF0FC"/>
          </w:tcPr>
          <w:p>
            <w:pPr>
              <w:spacing w:after="0"/>
              <w:rPr>
                <w:sz w:val="18"/>
                <w:szCs w:val="18"/>
                <w:color w:val="auto"/>
              </w:rPr>
            </w:pPr>
          </w:p>
        </w:tc>
      </w:tr>
      <w:tr>
        <w:trPr>
          <w:trHeight w:val="215"/>
        </w:trPr>
        <w:tc>
          <w:tcPr>
            <w:tcW w:w="7360" w:type="dxa"/>
            <w:vAlign w:val="bottom"/>
          </w:tcPr>
          <w:p>
            <w:pPr>
              <w:ind w:left="20"/>
              <w:spacing w:after="0"/>
              <w:rPr>
                <w:sz w:val="20"/>
                <w:szCs w:val="20"/>
                <w:color w:val="auto"/>
              </w:rPr>
            </w:pPr>
            <w:r>
              <w:rPr>
                <w:rFonts w:ascii="Arial" w:cs="Arial" w:eastAsia="Arial" w:hAnsi="Arial"/>
                <w:sz w:val="16"/>
                <w:szCs w:val="16"/>
                <w:color w:val="auto"/>
              </w:rPr>
              <w:t>2027</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282</w:t>
            </w:r>
          </w:p>
        </w:tc>
        <w:tc>
          <w:tcPr>
            <w:tcW w:w="80" w:type="dxa"/>
            <w:vAlign w:val="bottom"/>
          </w:tcPr>
          <w:p>
            <w:pPr>
              <w:spacing w:after="0"/>
              <w:rPr>
                <w:sz w:val="18"/>
                <w:szCs w:val="18"/>
                <w:color w:val="auto"/>
              </w:rPr>
            </w:pPr>
          </w:p>
        </w:tc>
      </w:tr>
      <w:tr>
        <w:trPr>
          <w:trHeight w:val="217"/>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2028</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w:t>
            </w:r>
          </w:p>
        </w:tc>
        <w:tc>
          <w:tcPr>
            <w:tcW w:w="80" w:type="dxa"/>
            <w:vAlign w:val="bottom"/>
            <w:shd w:val="clear" w:color="auto" w:fill="CFF0FC"/>
          </w:tcPr>
          <w:p>
            <w:pPr>
              <w:spacing w:after="0"/>
              <w:rPr>
                <w:sz w:val="18"/>
                <w:szCs w:val="18"/>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w:t>
            </w:r>
          </w:p>
        </w:tc>
        <w:tc>
          <w:tcPr>
            <w:tcW w:w="80" w:type="dxa"/>
            <w:vAlign w:val="bottom"/>
          </w:tcPr>
          <w:p>
            <w:pPr>
              <w:spacing w:after="0"/>
              <w:rPr>
                <w:sz w:val="18"/>
                <w:szCs w:val="18"/>
                <w:color w:val="auto"/>
              </w:rPr>
            </w:pPr>
          </w:p>
        </w:tc>
      </w:tr>
      <w:tr>
        <w:trPr>
          <w:trHeight w:val="249"/>
        </w:trPr>
        <w:tc>
          <w:tcPr>
            <w:tcW w:w="73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2,152</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-24765</wp:posOffset>
            </wp:positionV>
            <wp:extent cx="514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14, </w:t>
      </w:r>
      <w:r>
        <w:rPr>
          <w:rFonts w:ascii="Arial" w:cs="Arial" w:eastAsia="Arial" w:hAnsi="Arial"/>
          <w:sz w:val="16"/>
          <w:szCs w:val="16"/>
          <w:i w:val="1"/>
          <w:iCs w:val="1"/>
          <w:color w:val="auto"/>
        </w:rPr>
        <w:t>Leases</w:t>
      </w:r>
      <w:r>
        <w:rPr>
          <w:rFonts w:ascii="Arial" w:cs="Arial" w:eastAsia="Arial" w:hAnsi="Arial"/>
          <w:sz w:val="16"/>
          <w:szCs w:val="16"/>
          <w:color w:val="auto"/>
        </w:rPr>
        <w:t xml:space="preserve"> of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for details regarding SLB’s lease obligations.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SLB has outstanding letters of credit/guarantees that relate to business performance bonds, customs/excise tax commitments, facility lease/rental obligations, etc. These were entered into in the ordinary course of business and are customary practices in the various countries where SLB operates.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Critical Accounting Estimates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preparation of financial statements and related disclosures in conformity with accounting principles generally accepted in the United States requires SLB to make estimates and assumptions that affect the reported amounts of assets and liabilities, the disclosure of contingent liabilities and the reported amounts of revenue and expenses. The following accounting policies involve “critical accounting estimates” because they are particularly dependent on estimates and assumptions made by SLB about matters that are inherently uncertain.</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 bases its estimates on historical experience and on various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Allowance for Doubtful Accounts</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 maintains an allowance for doubtful accounts in order to record accounts receivable at their net realizable value. Judgment is involved in recording and making adjustments to this reserve. Allowances have been recorded for receivables believed to be uncollectible, including amounts for the resolution of potential credit and other collection issues such as disputed invoices. Adjustments to the allowance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5" w:name="page26"/>
    <w:bookmarkEnd w:id="25"/>
    <w:p>
      <w:pPr>
        <w:jc w:val="both"/>
        <w:spacing w:after="0" w:line="286" w:lineRule="auto"/>
        <w:rPr>
          <w:sz w:val="20"/>
          <w:szCs w:val="20"/>
          <w:color w:val="auto"/>
        </w:rPr>
      </w:pPr>
      <w:r>
        <w:rPr>
          <w:rFonts w:ascii="Arial" w:cs="Arial" w:eastAsia="Arial" w:hAnsi="Arial"/>
          <w:sz w:val="16"/>
          <w:szCs w:val="16"/>
          <w:color w:val="auto"/>
        </w:rPr>
        <w:t>may be required in future periods depending on how such potential issues are resolved, or if the financial condition of SLB’s customers were to deteriorate resulting in an impairment of their ability to make payments.</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As a large multinational company with a long history of operating in a cyclical industry, SLB has extensive experience in working with its customers during difficult times to manage its accounts receivable. During weak economic environments or when there is an extended period of weakness in oil and gas prices, SLB typically experiences delays in the payment of its receivables. However, except for a $469 million accounts receivable write-off during 2017 as a result of the political and economic conditions in Venezuela, SLB has not historically had material write-offs due to uncollectible accounts receivable. SLB has a global footprint in more than 100 countries. As of December 31, 2023, three of those countries individually accounted for greater than 5% of SLB’s net accounts receivable balance, of which only two (the United States and Mexico) accounted for greater than 10% of such receivables.</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December 31, 2023, Mexico and the United States represented 13% and 11% respectively, of SLB’s net accounts receivable balance. SLB’s receivables from its primary customer in Mexico are not in dispute and SLB has not historically had any material write-offs due to uncollectible accounts receivable relating to this customer.</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 Intangible Assets and Long-Lived Assets</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 records the excess of purchase price over the fair value of the tangible and identifiable intangible assets acquired and liabilities assumed as goodwill. The goodwill relating to each of SLB’s reporting units is tested for impairment annually as well as when an event, or change in circumstances, indicates an impairment may have occurred.</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Under generally accepted accounting principles, SLB has the option to first assess qualitative factors to determine whether the existence of events or circumstances leads to a determination that it is more likely than not that the fair value of one or more of its reporting units is greater than its carrying amount. If, after assessing the totality of events or circumstances, SLB determines it is more likely than not that the fair value of a reporting unit is greater than its carrying amount, there is no need to perform any further testing. However, if SLB concludes otherwise, then it is required to perform a quantitative impairment test by calculating the fair value of the reporting unit and comparing the fair value with the carrying amount of the reporting unit. If the fair value of the reporting unit is less than its carrying value, an impairment loss is recorded based on that difference.</w:t>
      </w:r>
    </w:p>
    <w:p>
      <w:pPr>
        <w:spacing w:after="0" w:line="15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SLB has the option to bypass the qualitative assessment for any reporting unit in any period and proceed directly to performing the quantitative goodwill impairment test.</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 elected to perform the qualitative assessment described above for purposes of its annual goodwill impairment test in 2023. Based on this assessment, SLB concluded it was more likely than not that the fair value of each of its reporting units was significantly greater than its carrying amount. Accordingly, no further testing was required.</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Long-lived assets, including fixed assets, intangible assets, and investments in APS projects, are reviewed for impairment whenever events or changes in circumstances indicate that the carrying value may not be recoverable. In reviewing for impairment, the carrying value of such assets is compared to the estimated undiscounted future cash flows expected from the use of the assets and their eventual disposition. If such cash flows are not sufficient to support the asset’s recorded value, an impairment charge is recognized to reduce the carrying value of the long-lived asset to its estimated fair value. The determination of future cash flows as well as the estimated fair value of long-lived assets involves significant estimates on the part of management. If there is a material change in economic conditions or other circumstances influencing the estimate of future cash flows or fair value, SLB could be required to recognize impairment charges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SLB conducts business in more than 100 tax jurisdictions, a number of which have tax laws that are not fully defined and are evolving. SLB’s tax filings are subject to regular audits by the tax authorities. These audits may result in assessments for additional taxes that are resolved with the authorities or, potentially, through the courts. SLB recognizes the impact of a tax position in its financial statements if that position is more likely than not of being sustained on audit, based on the technical merits of the position. Tax liabilities are recorded based on estimates of additional taxes that will be due upon the conclusion of these audits. Estimates of these tax liabilities are judgmental and are made based upon prior experience, and are updated in light of changes in facts and circumstances. However, due to the uncertain and complex application of tax regulations, the ultimate resolution of audits may result in liabilities that could be materially different from these estimates. In such an event, SLB will record additional tax expense or tax benefit in the period in which such resolution occurs.</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 for Certain Long-term Construction-type Contracts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SLB recognizes revenue for certain long-term construction-type contracts over time. These contracts involve significant design and engineering efforts in order to satisfy custom designs for customer-specific applications. Under this method, revenue is recognized as work progresses on each contract. Progress is measured by the ratio of actual costs incurred to date on the project in relation to total estimated project costs. Approximately 6% of SLB’s revenue in 2023, 5% in 2022 and 6% in 2021, was recognized under this method.</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estimate of total project costs has a significant impact on both the amount of revenue recognized as well as the related profit on a project. Revenue and profits on contracts can also be significantly affected by change orders and claims. Profits are recognized based on the estimated project profit multiplied by the percentage complete. Due to the nature of these projects, adjustments to estimates of contract revenue and total contract costs are often required as work progresses. Any expected losses on a project are recorded in full in the period in which they become probable.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i w:val="1"/>
          <w:iCs w:val="1"/>
          <w:color w:val="auto"/>
        </w:rPr>
        <w:t>Pension and Postretirement Benefits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SLB’s pension and postretirement benefit obligations are described in detail in Note 17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The obligations and related costs are calculated using actuarial concepts, which include critical assumptions related to the discount rate and the expected rate of return on plan assets. These assumptions are important elements of expense and/or liability measurement and are updated on an annual basis, or upon the occurrence of significant events.</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discount rate that SLB uses reflects the prevailing market rate of a portfolio of high-quality debt instruments with maturities matching the expected timing of payment of the related benefit obligations. The following summarizes the discount rates utilized by SLB for its various pension and postretirement benefit plans:</w:t>
      </w:r>
    </w:p>
    <w:p>
      <w:pPr>
        <w:spacing w:after="0" w:line="77" w:lineRule="exact"/>
        <w:rPr>
          <w:sz w:val="20"/>
          <w:szCs w:val="20"/>
          <w:color w:val="auto"/>
        </w:rPr>
      </w:pPr>
    </w:p>
    <w:p>
      <w:pPr>
        <w:ind w:left="760" w:hanging="378"/>
        <w:spacing w:after="0" w:line="247" w:lineRule="auto"/>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6"/>
          <w:szCs w:val="16"/>
          <w:color w:val="auto"/>
        </w:rPr>
        <w:t>The discount rate utilized to determine the liability for SLB’s United States pension plans and postretirement medical plan was 5.25% at December 31, 2023 and 5.50% at December 31, 2022.</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6"/>
          <w:szCs w:val="16"/>
          <w:color w:val="auto"/>
        </w:rPr>
        <w:t>The weighted-average discount rate utilized to determine the liability for SLB’s international pension plans was 5.14% at December 31, 2023 and 5.41% at December 31, 2022.</w:t>
      </w: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6"/>
          <w:szCs w:val="16"/>
          <w:color w:val="auto"/>
        </w:rPr>
        <w:t>The discount rate utilized to determine expense for SLB’s United States pension plans and postretirement medical plan was 5.50% in 2023 and 3.00% in 2022.</w:t>
      </w:r>
    </w:p>
    <w:p>
      <w:pPr>
        <w:ind w:left="760" w:hanging="378"/>
        <w:spacing w:after="0" w:line="234" w:lineRule="auto"/>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6"/>
          <w:szCs w:val="16"/>
          <w:color w:val="auto"/>
        </w:rPr>
        <w:t>The weighted-average discount rate utilized to determine expense for SLB’s international pension plans was 5.41% in 2023 and 2.83% in 2022.</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expected rate of return for SLB’s retirement benefit plans represents the long-term average rate of return expected to be earned on plan assets based on expectations regarding future rates of return for the portfolio considering the asset allocation and related historical rate of return. The average expected rate of return on plan assets for the United States pension plans was 6.00% in 2023 and 4.40% in 2022. The weighted average expected rate of return on plan assets for the international pension plans was 6.00% in 2023 and 5.05% in 2022. A higher expected rate of return decreases pension expense.</w:t>
      </w:r>
    </w:p>
    <w:p>
      <w:pPr>
        <w:spacing w:after="0" w:line="15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following illustrates the sensitivity to changes in certain assumptions, holding all other assumptions constant, for SLB’s United States and international pension plans: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ind w:left="280"/>
              <w:spacing w:after="0"/>
              <w:rPr>
                <w:sz w:val="20"/>
                <w:szCs w:val="20"/>
                <w:color w:val="auto"/>
              </w:rPr>
            </w:pPr>
            <w:r>
              <w:rPr>
                <w:rFonts w:ascii="Arial" w:cs="Arial" w:eastAsia="Arial" w:hAnsi="Arial"/>
                <w:sz w:val="16"/>
                <w:szCs w:val="16"/>
                <w:color w:val="auto"/>
              </w:rPr>
              <w:t>(Stated in millions)</w:t>
            </w:r>
          </w:p>
        </w:tc>
      </w:tr>
      <w:tr>
        <w:trPr>
          <w:trHeight w:val="432"/>
        </w:trPr>
        <w:tc>
          <w:tcPr>
            <w:tcW w:w="7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color w:val="auto"/>
              </w:rPr>
              <w:t>Effect on</w:t>
            </w:r>
          </w:p>
        </w:tc>
      </w:tr>
      <w:tr>
        <w:trPr>
          <w:trHeight w:val="216"/>
        </w:trPr>
        <w:tc>
          <w:tcPr>
            <w:tcW w:w="7660" w:type="dxa"/>
            <w:vAlign w:val="bottom"/>
          </w:tcPr>
          <w:p>
            <w:pPr>
              <w:spacing w:after="0"/>
              <w:rPr>
                <w:sz w:val="18"/>
                <w:szCs w:val="18"/>
                <w:color w:val="auto"/>
              </w:rPr>
            </w:pPr>
          </w:p>
        </w:tc>
        <w:tc>
          <w:tcPr>
            <w:tcW w:w="1700" w:type="dxa"/>
            <w:vAlign w:val="bottom"/>
          </w:tcPr>
          <w:p>
            <w:pPr>
              <w:jc w:val="right"/>
              <w:ind w:right="239"/>
              <w:spacing w:after="0"/>
              <w:rPr>
                <w:sz w:val="20"/>
                <w:szCs w:val="20"/>
                <w:color w:val="auto"/>
              </w:rPr>
            </w:pPr>
            <w:r>
              <w:rPr>
                <w:rFonts w:ascii="Arial" w:cs="Arial" w:eastAsia="Arial" w:hAnsi="Arial"/>
                <w:sz w:val="16"/>
                <w:szCs w:val="16"/>
                <w:color w:val="auto"/>
              </w:rPr>
              <w:t>Effect on 2023</w:t>
            </w:r>
          </w:p>
        </w:tc>
        <w:tc>
          <w:tcPr>
            <w:tcW w:w="14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color w:val="auto"/>
              </w:rPr>
              <w:t>Dec. 31, 2023</w:t>
            </w:r>
          </w:p>
        </w:tc>
      </w:tr>
      <w:tr>
        <w:trPr>
          <w:trHeight w:val="218"/>
        </w:trPr>
        <w:tc>
          <w:tcPr>
            <w:tcW w:w="7660" w:type="dxa"/>
            <w:vAlign w:val="bottom"/>
          </w:tcPr>
          <w:p>
            <w:pPr>
              <w:ind w:left="20"/>
              <w:spacing w:after="0"/>
              <w:rPr>
                <w:sz w:val="20"/>
                <w:szCs w:val="20"/>
                <w:color w:val="auto"/>
              </w:rPr>
            </w:pPr>
            <w:r>
              <w:rPr>
                <w:rFonts w:ascii="Arial" w:cs="Arial" w:eastAsia="Arial" w:hAnsi="Arial"/>
                <w:sz w:val="16"/>
                <w:szCs w:val="16"/>
                <w:color w:val="auto"/>
              </w:rPr>
              <w:t>Change in Assumption</w:t>
            </w:r>
          </w:p>
        </w:tc>
        <w:tc>
          <w:tcPr>
            <w:tcW w:w="1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Pretax Expense</w:t>
            </w:r>
          </w:p>
        </w:tc>
        <w:tc>
          <w:tcPr>
            <w:tcW w:w="140" w:type="dxa"/>
            <w:vAlign w:val="bottom"/>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Obligation</w:t>
            </w:r>
          </w:p>
        </w:tc>
        <w:tc>
          <w:tcPr>
            <w:tcW w:w="100" w:type="dxa"/>
            <w:vAlign w:val="bottom"/>
          </w:tcPr>
          <w:p>
            <w:pPr>
              <w:spacing w:after="0"/>
              <w:rPr>
                <w:sz w:val="18"/>
                <w:szCs w:val="18"/>
                <w:color w:val="auto"/>
              </w:rPr>
            </w:pPr>
          </w:p>
        </w:tc>
      </w:tr>
      <w:tr>
        <w:trPr>
          <w:trHeight w:val="210"/>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25 basis point decrease in discount rate</w:t>
            </w: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+$356</w:t>
            </w:r>
          </w:p>
        </w:tc>
        <w:tc>
          <w:tcPr>
            <w:tcW w:w="100" w:type="dxa"/>
            <w:vAlign w:val="bottom"/>
            <w:shd w:val="clear" w:color="auto" w:fill="CFF0FC"/>
          </w:tcPr>
          <w:p>
            <w:pPr>
              <w:spacing w:after="0"/>
              <w:rPr>
                <w:sz w:val="18"/>
                <w:szCs w:val="18"/>
                <w:color w:val="auto"/>
              </w:rPr>
            </w:pPr>
          </w:p>
        </w:tc>
      </w:tr>
      <w:tr>
        <w:trPr>
          <w:trHeight w:val="215"/>
        </w:trPr>
        <w:tc>
          <w:tcPr>
            <w:tcW w:w="7660" w:type="dxa"/>
            <w:vAlign w:val="bottom"/>
          </w:tcPr>
          <w:p>
            <w:pPr>
              <w:ind w:left="20"/>
              <w:spacing w:after="0"/>
              <w:rPr>
                <w:sz w:val="20"/>
                <w:szCs w:val="20"/>
                <w:color w:val="auto"/>
              </w:rPr>
            </w:pPr>
            <w:r>
              <w:rPr>
                <w:rFonts w:ascii="Arial" w:cs="Arial" w:eastAsia="Arial" w:hAnsi="Arial"/>
                <w:sz w:val="16"/>
                <w:szCs w:val="16"/>
                <w:color w:val="auto"/>
              </w:rPr>
              <w:t>25 basis point increase in discount rate</w:t>
            </w:r>
          </w:p>
        </w:tc>
        <w:tc>
          <w:tcPr>
            <w:tcW w:w="1700" w:type="dxa"/>
            <w:vAlign w:val="bottom"/>
          </w:tcPr>
          <w:p>
            <w:pPr>
              <w:jc w:val="right"/>
              <w:spacing w:after="0"/>
              <w:rPr>
                <w:sz w:val="20"/>
                <w:szCs w:val="20"/>
                <w:color w:val="auto"/>
              </w:rPr>
            </w:pPr>
            <w:r>
              <w:rPr>
                <w:rFonts w:ascii="Arial" w:cs="Arial" w:eastAsia="Arial" w:hAnsi="Arial"/>
                <w:sz w:val="16"/>
                <w:szCs w:val="16"/>
                <w:color w:val="auto"/>
              </w:rPr>
              <w:t>+$15</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8"/>
                <w:szCs w:val="18"/>
                <w:color w:val="auto"/>
              </w:rPr>
            </w:pPr>
          </w:p>
        </w:tc>
      </w:tr>
      <w:tr>
        <w:trPr>
          <w:trHeight w:val="217"/>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25 basis point decrease in expected return on plan assets</w:t>
            </w: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5"/>
        </w:trPr>
        <w:tc>
          <w:tcPr>
            <w:tcW w:w="7660" w:type="dxa"/>
            <w:vAlign w:val="bottom"/>
          </w:tcPr>
          <w:p>
            <w:pPr>
              <w:ind w:left="20"/>
              <w:spacing w:after="0"/>
              <w:rPr>
                <w:sz w:val="20"/>
                <w:szCs w:val="20"/>
                <w:color w:val="auto"/>
              </w:rPr>
            </w:pPr>
            <w:r>
              <w:rPr>
                <w:rFonts w:ascii="Arial" w:cs="Arial" w:eastAsia="Arial" w:hAnsi="Arial"/>
                <w:sz w:val="16"/>
                <w:szCs w:val="16"/>
                <w:color w:val="auto"/>
              </w:rPr>
              <w:t>25 basis point increase in expected return on plan assets</w:t>
            </w:r>
          </w:p>
        </w:tc>
        <w:tc>
          <w:tcPr>
            <w:tcW w:w="1700" w:type="dxa"/>
            <w:vAlign w:val="bottom"/>
          </w:tcPr>
          <w:p>
            <w:pPr>
              <w:jc w:val="right"/>
              <w:spacing w:after="0"/>
              <w:rPr>
                <w:sz w:val="20"/>
                <w:szCs w:val="20"/>
                <w:color w:val="auto"/>
              </w:rPr>
            </w:pPr>
            <w:r>
              <w:rPr>
                <w:rFonts w:ascii="Arial" w:cs="Arial" w:eastAsia="Arial" w:hAnsi="Arial"/>
                <w:sz w:val="16"/>
                <w:szCs w:val="16"/>
                <w:color w:val="auto"/>
              </w:rPr>
              <w:t>-$35</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bl>
    <w:p>
      <w:pPr>
        <w:spacing w:after="0" w:line="17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following illustrates the sensitivity to changes in certain assumptions, holding all other assumptions constant, for SLB’s United States postretirement medical plans: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i w:val="1"/>
                <w:iCs w:val="1"/>
                <w:color w:val="auto"/>
              </w:rPr>
              <w:t>(Stated in millions)</w:t>
            </w:r>
          </w:p>
        </w:tc>
      </w:tr>
      <w:tr>
        <w:trPr>
          <w:trHeight w:val="438"/>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Effect on</w:t>
            </w: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700" w:type="dxa"/>
            <w:vAlign w:val="bottom"/>
          </w:tcPr>
          <w:p>
            <w:pPr>
              <w:jc w:val="right"/>
              <w:ind w:right="239"/>
              <w:spacing w:after="0"/>
              <w:rPr>
                <w:sz w:val="20"/>
                <w:szCs w:val="20"/>
                <w:color w:val="auto"/>
              </w:rPr>
            </w:pPr>
            <w:r>
              <w:rPr>
                <w:rFonts w:ascii="Arial" w:cs="Arial" w:eastAsia="Arial" w:hAnsi="Arial"/>
                <w:sz w:val="16"/>
                <w:szCs w:val="16"/>
                <w:color w:val="auto"/>
              </w:rPr>
              <w:t>Effect on 2023</w:t>
            </w:r>
          </w:p>
        </w:tc>
        <w:tc>
          <w:tcPr>
            <w:tcW w:w="2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Dec. 31, 2023</w:t>
            </w:r>
          </w:p>
        </w:tc>
      </w:tr>
      <w:tr>
        <w:trPr>
          <w:trHeight w:val="191"/>
        </w:trPr>
        <w:tc>
          <w:tcPr>
            <w:tcW w:w="7660" w:type="dxa"/>
            <w:vAlign w:val="bottom"/>
            <w:gridSpan w:val="3"/>
          </w:tcPr>
          <w:p>
            <w:pPr>
              <w:ind w:left="20"/>
              <w:spacing w:after="0"/>
              <w:rPr>
                <w:sz w:val="20"/>
                <w:szCs w:val="20"/>
                <w:color w:val="auto"/>
              </w:rPr>
            </w:pPr>
            <w:r>
              <w:rPr>
                <w:rFonts w:ascii="Arial" w:cs="Arial" w:eastAsia="Arial" w:hAnsi="Arial"/>
                <w:sz w:val="16"/>
                <w:szCs w:val="16"/>
                <w:b w:val="1"/>
                <w:bCs w:val="1"/>
                <w:color w:val="auto"/>
              </w:rPr>
              <w:t>Change in Assumption</w:t>
            </w:r>
          </w:p>
        </w:tc>
        <w:tc>
          <w:tcPr>
            <w:tcW w:w="1700" w:type="dxa"/>
            <w:vAlign w:val="bottom"/>
          </w:tcPr>
          <w:p>
            <w:pPr>
              <w:jc w:val="right"/>
              <w:ind w:right="199"/>
              <w:spacing w:after="0"/>
              <w:rPr>
                <w:sz w:val="20"/>
                <w:szCs w:val="20"/>
                <w:color w:val="auto"/>
              </w:rPr>
            </w:pPr>
            <w:r>
              <w:rPr>
                <w:rFonts w:ascii="Arial" w:cs="Arial" w:eastAsia="Arial" w:hAnsi="Arial"/>
                <w:sz w:val="16"/>
                <w:szCs w:val="16"/>
                <w:color w:val="auto"/>
              </w:rPr>
              <w:t>Pretax Expense</w:t>
            </w:r>
          </w:p>
        </w:tc>
        <w:tc>
          <w:tcPr>
            <w:tcW w:w="20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9"/>
              </w:rPr>
              <w:t>Obligation</w:t>
            </w:r>
          </w:p>
        </w:tc>
      </w:tr>
      <w:tr>
        <w:trPr>
          <w:trHeight w:val="20"/>
        </w:trPr>
        <w:tc>
          <w:tcPr>
            <w:tcW w:w="20" w:type="dxa"/>
            <w:vAlign w:val="bottom"/>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96"/>
        </w:trPr>
        <w:tc>
          <w:tcPr>
            <w:tcW w:w="7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25 basis point decrease in discount rate</w:t>
            </w: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w:t>
            </w:r>
          </w:p>
        </w:tc>
      </w:tr>
      <w:tr>
        <w:trPr>
          <w:trHeight w:val="215"/>
        </w:trPr>
        <w:tc>
          <w:tcPr>
            <w:tcW w:w="7660" w:type="dxa"/>
            <w:vAlign w:val="bottom"/>
            <w:gridSpan w:val="3"/>
          </w:tcPr>
          <w:p>
            <w:pPr>
              <w:ind w:left="20"/>
              <w:spacing w:after="0"/>
              <w:rPr>
                <w:sz w:val="20"/>
                <w:szCs w:val="20"/>
                <w:color w:val="auto"/>
              </w:rPr>
            </w:pPr>
            <w:r>
              <w:rPr>
                <w:rFonts w:ascii="Arial" w:cs="Arial" w:eastAsia="Arial" w:hAnsi="Arial"/>
                <w:sz w:val="16"/>
                <w:szCs w:val="16"/>
                <w:color w:val="auto"/>
              </w:rPr>
              <w:t>25 basis point increase in discount rate</w:t>
            </w:r>
          </w:p>
        </w:tc>
        <w:tc>
          <w:tcPr>
            <w:tcW w:w="1700" w:type="dxa"/>
            <w:vAlign w:val="bottom"/>
          </w:tcPr>
          <w:p>
            <w:pPr>
              <w:jc w:val="right"/>
              <w:spacing w:after="0"/>
              <w:rPr>
                <w:sz w:val="20"/>
                <w:szCs w:val="20"/>
                <w:color w:val="auto"/>
              </w:rPr>
            </w:pPr>
            <w:r>
              <w:rPr>
                <w:rFonts w:ascii="Arial" w:cs="Arial" w:eastAsia="Arial" w:hAnsi="Arial"/>
                <w:sz w:val="16"/>
                <w:szCs w:val="16"/>
                <w:color w:val="auto"/>
              </w:rPr>
              <w:t>+$2</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-$22</w:t>
            </w: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auto"/>
        </w:rPr>
        <w:t>Item 7A. Quantitative and Qualitative Disclosures About Market Risk.</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SLB is subject to market risks primarily associated with changes in foreign currency exchange rates.</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SLB’s functional currency is primarily the US dollar. Approximately 72% of SLB’s revenue in 2023 was denominated in US dollars. However, outside the United States, a significant portion of SLB’s expenses is incurred in foreign currencies. Therefore, when the US dollar weakens in relation to the foreign currencies of the countries in which SLB conducts business, the US dollar-reported expenses will increase.</w:t>
      </w:r>
    </w:p>
    <w:p>
      <w:pPr>
        <w:spacing w:after="0" w:line="14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SLB is exposed to risks on future cash flows relating to its fixed rate debt denominated in currencies other than the functional currency. SLB uses cross-currency interest rate swaps to provide a hedge against these cash flow risks and effectively convert the debt to US-dollar denominated fixed rate debt.</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 maintains a foreign currency risk management strategy that uses derivative instruments to manage the impact of changes in foreign exchange rates on its earnings. SLB enters into foreign currency forward contracts to provide a hedge against currency fluctuations on certain monetary assets and liabilities, and certain expenses denominated in currencies other than the functional currency.</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 10% appreciation in the US dollar from the December 31, 2023 market rates would decrease the unrealized value of SLB’s forward contracts by $103 million. Conversely, a 10% depreciation in the US dollar from the December 31, 2023 market rates would increase the unrealized value of SLB’s forward contracts by $113 million. In either scenario, the gain or loss on the forward contract would be offset by the gain or loss on the underlying transaction, and therefore, would have no impact on future earnings.</w:t>
      </w:r>
    </w:p>
    <w:p>
      <w:pPr>
        <w:spacing w:after="0" w:line="15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At December 31, 2023, contracts were outstanding for the US dollar equivalent of $10.6 billion in various foreign currencies, of which $5.3 billion related to hedges of debt balances denominated in currencies other than the functional currency.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11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This Form 10-K, as well as other statements we make, contains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SLB’s financial and performance targets and other forecasts or expectations regarding, or dependent on, its business outlook; growth for SLB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SLB and the oil and gas industry; the business strategies of SLB, including digital and “fit for basin,” as well as the strategies of SLB’s customers; SLB’s capital allocation plans, including dividend plans and share repurchase programs; SLB’s APS projects, joint ventures, and other alliances; the impact of the ongoing conflict in Ukraine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SLB’s customers and changes in the level of oil and natural gas exploration and development; the results of operations and financial condition of SLB’s customers and suppliers; SLB’s inability to achieve its financial and performance targets and other forecasts and expectations; SLB’s inability to achieve net-zero carbon emissions goals or interim emissions reduction goals; general economic, geopolitical and business conditions in key regions of the world; the ongoing conflict in Ukraine; foreign currency risk; inflation; changes in monetary policy by governments; pricing pressure; weather and seasonal factors; unfavorable effects of health pandemics; availability and cost of raw materials; operational modifications, delays or cancellations; challenges in SLB’s supply chain; production declines; the extent of future charges; SLB’s inability to recognize efficiencies and other intended benefits from its business strategies and initiatives, such as digital or new energy, as well as its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Form 10-K and other filings that we make with the SEC. 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Form 10-K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Form 10-K are made as of January 24, 2024, and SLB disclaims any intention or obligation to update publicly or revise such statements, whether as a result of new information, future events or otherwise.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auto"/>
        </w:rPr>
        <w:t>Item 8. Financial Statements and Supplementary Data.</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SCHLUMBERGER LIMITED AND SUBSIDIARIES</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STATEMENT OF INCOME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320" w:type="dxa"/>
            <w:vAlign w:val="bottom"/>
            <w:gridSpan w:val="7"/>
          </w:tcPr>
          <w:p>
            <w:pPr>
              <w:ind w:left="280"/>
              <w:spacing w:after="0"/>
              <w:rPr>
                <w:sz w:val="20"/>
                <w:szCs w:val="20"/>
                <w:color w:val="auto"/>
              </w:rPr>
            </w:pPr>
            <w:r>
              <w:rPr>
                <w:rFonts w:ascii="Arial" w:cs="Arial" w:eastAsia="Arial" w:hAnsi="Arial"/>
                <w:sz w:val="14"/>
                <w:szCs w:val="14"/>
                <w:i w:val="1"/>
                <w:iCs w:val="1"/>
                <w:color w:val="auto"/>
              </w:rPr>
              <w:t>(Stated in millions, except per share amounts</w:t>
            </w:r>
            <w:r>
              <w:rPr>
                <w:rFonts w:ascii="Arial" w:cs="Arial" w:eastAsia="Arial" w:hAnsi="Arial"/>
                <w:sz w:val="14"/>
                <w:szCs w:val="14"/>
                <w:color w:val="auto"/>
              </w:rPr>
              <w:t>)</w:t>
            </w:r>
          </w:p>
        </w:tc>
      </w:tr>
      <w:tr>
        <w:trPr>
          <w:trHeight w:val="440"/>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2022</w:t>
            </w:r>
          </w:p>
        </w:tc>
        <w:tc>
          <w:tcPr>
            <w:tcW w:w="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4"/>
                <w:szCs w:val="24"/>
                <w:color w:val="auto"/>
              </w:rPr>
            </w:pPr>
          </w:p>
        </w:tc>
      </w:tr>
      <w:tr>
        <w:trPr>
          <w:trHeight w:val="209"/>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Revenue</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200"/>
              <w:spacing w:after="0"/>
              <w:rPr>
                <w:sz w:val="20"/>
                <w:szCs w:val="20"/>
                <w:color w:val="auto"/>
              </w:rPr>
            </w:pPr>
            <w:r>
              <w:rPr>
                <w:rFonts w:ascii="Arial" w:cs="Arial" w:eastAsia="Arial" w:hAnsi="Arial"/>
                <w:sz w:val="16"/>
                <w:szCs w:val="16"/>
                <w:color w:val="auto"/>
              </w:rPr>
              <w:t>Services</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22,439</w:t>
            </w: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19,552</w:t>
            </w: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15,602</w:t>
            </w:r>
          </w:p>
        </w:tc>
        <w:tc>
          <w:tcPr>
            <w:tcW w:w="100" w:type="dxa"/>
            <w:vAlign w:val="bottom"/>
          </w:tcPr>
          <w:p>
            <w:pPr>
              <w:spacing w:after="0"/>
              <w:rPr>
                <w:sz w:val="18"/>
                <w:szCs w:val="18"/>
                <w:color w:val="auto"/>
              </w:rPr>
            </w:pPr>
          </w:p>
        </w:tc>
      </w:tr>
      <w:tr>
        <w:trPr>
          <w:trHeight w:val="216"/>
        </w:trPr>
        <w:tc>
          <w:tcPr>
            <w:tcW w:w="6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Product sales</w:t>
            </w: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10,696</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8,539</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60" w:type="dxa"/>
            <w:vAlign w:val="bottom"/>
          </w:tcPr>
          <w:p>
            <w:pPr>
              <w:ind w:left="20"/>
              <w:spacing w:after="0"/>
              <w:rPr>
                <w:sz w:val="20"/>
                <w:szCs w:val="20"/>
                <w:color w:val="auto"/>
              </w:rPr>
            </w:pPr>
            <w:r>
              <w:rPr>
                <w:rFonts w:ascii="Arial" w:cs="Arial" w:eastAsia="Arial" w:hAnsi="Arial"/>
                <w:sz w:val="16"/>
                <w:szCs w:val="16"/>
                <w:i w:val="1"/>
                <w:iCs w:val="1"/>
                <w:color w:val="auto"/>
              </w:rPr>
              <w:t>Total Revenue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33,135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28,091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22,929</w:t>
            </w: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Interest &amp; other income, net</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342</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FF0FC"/>
          </w:tcPr>
          <w:p>
            <w:pPr>
              <w:spacing w:after="0"/>
              <w:rPr>
                <w:sz w:val="18"/>
                <w:szCs w:val="18"/>
                <w:color w:val="auto"/>
              </w:rPr>
            </w:pPr>
          </w:p>
        </w:tc>
      </w:tr>
      <w:tr>
        <w:trPr>
          <w:trHeight w:val="215"/>
        </w:trPr>
        <w:tc>
          <w:tcPr>
            <w:tcW w:w="6560" w:type="dxa"/>
            <w:vAlign w:val="bottom"/>
          </w:tcPr>
          <w:p>
            <w:pPr>
              <w:ind w:left="20"/>
              <w:spacing w:after="0"/>
              <w:rPr>
                <w:sz w:val="20"/>
                <w:szCs w:val="20"/>
                <w:color w:val="auto"/>
              </w:rPr>
            </w:pPr>
            <w:r>
              <w:rPr>
                <w:rFonts w:ascii="Arial" w:cs="Arial" w:eastAsia="Arial" w:hAnsi="Arial"/>
                <w:sz w:val="16"/>
                <w:szCs w:val="16"/>
                <w:i w:val="1"/>
                <w:iCs w:val="1"/>
                <w:color w:val="auto"/>
              </w:rPr>
              <w:t>Expenses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6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Cost of services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17,231</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15,233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13,129</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200"/>
              <w:spacing w:after="0"/>
              <w:rPr>
                <w:sz w:val="20"/>
                <w:szCs w:val="20"/>
                <w:color w:val="auto"/>
              </w:rPr>
            </w:pPr>
            <w:r>
              <w:rPr>
                <w:rFonts w:ascii="Arial" w:cs="Arial" w:eastAsia="Arial" w:hAnsi="Arial"/>
                <w:sz w:val="16"/>
                <w:szCs w:val="16"/>
                <w:color w:val="auto"/>
              </w:rPr>
              <w:t>Cost of sales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9,341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7,697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6,142</w:t>
            </w: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Research &amp; engineering</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711</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200"/>
              <w:spacing w:after="0"/>
              <w:rPr>
                <w:sz w:val="20"/>
                <w:szCs w:val="20"/>
                <w:color w:val="auto"/>
              </w:rPr>
            </w:pPr>
            <w:r>
              <w:rPr>
                <w:rFonts w:ascii="Arial" w:cs="Arial" w:eastAsia="Arial" w:hAnsi="Arial"/>
                <w:sz w:val="16"/>
                <w:szCs w:val="16"/>
                <w:color w:val="auto"/>
              </w:rPr>
              <w:t>General &amp; administrative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364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Merger &amp; integration</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45</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200"/>
              <w:spacing w:after="0"/>
              <w:rPr>
                <w:sz w:val="20"/>
                <w:szCs w:val="20"/>
                <w:color w:val="auto"/>
              </w:rPr>
            </w:pPr>
            <w:r>
              <w:rPr>
                <w:rFonts w:ascii="Arial" w:cs="Arial" w:eastAsia="Arial" w:hAnsi="Arial"/>
                <w:sz w:val="16"/>
                <w:szCs w:val="16"/>
                <w:color w:val="auto"/>
              </w:rPr>
              <w:t>Interest</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503</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w:t>
            </w:r>
          </w:p>
        </w:tc>
        <w:tc>
          <w:tcPr>
            <w:tcW w:w="100" w:type="dxa"/>
            <w:vAlign w:val="bottom"/>
          </w:tcPr>
          <w:p>
            <w:pPr>
              <w:spacing w:after="0"/>
              <w:rPr>
                <w:sz w:val="18"/>
                <w:szCs w:val="18"/>
                <w:color w:val="auto"/>
              </w:rPr>
            </w:pPr>
          </w:p>
        </w:tc>
      </w:tr>
      <w:tr>
        <w:trPr>
          <w:trHeight w:val="209"/>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Income before taxes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5,282</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2,374</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200"/>
              <w:spacing w:after="0"/>
              <w:rPr>
                <w:sz w:val="20"/>
                <w:szCs w:val="20"/>
                <w:color w:val="auto"/>
              </w:rPr>
            </w:pPr>
            <w:r>
              <w:rPr>
                <w:rFonts w:ascii="Arial" w:cs="Arial" w:eastAsia="Arial" w:hAnsi="Arial"/>
                <w:sz w:val="16"/>
                <w:szCs w:val="16"/>
                <w:color w:val="auto"/>
              </w:rPr>
              <w:t>Tax expense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1,007</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8"/>
                <w:szCs w:val="18"/>
                <w:color w:val="auto"/>
              </w:rPr>
            </w:pPr>
          </w:p>
        </w:tc>
      </w:tr>
      <w:tr>
        <w:trPr>
          <w:trHeight w:val="209"/>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Net income</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4,275</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1,928</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200"/>
              <w:spacing w:after="0"/>
              <w:rPr>
                <w:sz w:val="20"/>
                <w:szCs w:val="20"/>
                <w:color w:val="auto"/>
              </w:rPr>
            </w:pPr>
            <w:r>
              <w:rPr>
                <w:rFonts w:ascii="Arial" w:cs="Arial" w:eastAsia="Arial" w:hAnsi="Arial"/>
                <w:sz w:val="16"/>
                <w:szCs w:val="16"/>
                <w:color w:val="auto"/>
              </w:rPr>
              <w:t>Net income attributable to noncontrolling interests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r>
      <w:tr>
        <w:trPr>
          <w:trHeight w:val="249"/>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Net income attributable to SLB</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4,203</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3,441</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1,881</w:t>
            </w:r>
          </w:p>
        </w:tc>
        <w:tc>
          <w:tcPr>
            <w:tcW w:w="100" w:type="dxa"/>
            <w:vAlign w:val="bottom"/>
            <w:shd w:val="clear" w:color="auto" w:fill="CFF0FC"/>
          </w:tcPr>
          <w:p>
            <w:pPr>
              <w:spacing w:after="0"/>
              <w:rPr>
                <w:sz w:val="21"/>
                <w:szCs w:val="21"/>
                <w:color w:val="auto"/>
              </w:rPr>
            </w:pPr>
          </w:p>
        </w:tc>
      </w:tr>
      <w:tr>
        <w:trPr>
          <w:trHeight w:val="197"/>
        </w:trPr>
        <w:tc>
          <w:tcPr>
            <w:tcW w:w="65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6"/>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Basic earnings per share of SLB</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2.95</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FF0FC"/>
          </w:tcPr>
          <w:p>
            <w:pPr>
              <w:spacing w:after="0"/>
              <w:rPr>
                <w:sz w:val="22"/>
                <w:szCs w:val="22"/>
                <w:color w:val="auto"/>
              </w:rPr>
            </w:pPr>
          </w:p>
        </w:tc>
      </w:tr>
      <w:tr>
        <w:trPr>
          <w:trHeight w:val="197"/>
        </w:trPr>
        <w:tc>
          <w:tcPr>
            <w:tcW w:w="65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6"/>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Diluted earnings per share of SLB</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2.91</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FF0FC"/>
          </w:tcPr>
          <w:p>
            <w:pPr>
              <w:spacing w:after="0"/>
              <w:rPr>
                <w:sz w:val="22"/>
                <w:szCs w:val="22"/>
                <w:color w:val="auto"/>
              </w:rPr>
            </w:pPr>
          </w:p>
        </w:tc>
      </w:tr>
      <w:tr>
        <w:trPr>
          <w:trHeight w:val="196"/>
        </w:trPr>
        <w:tc>
          <w:tcPr>
            <w:tcW w:w="65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Average shares outstanding:</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200"/>
              <w:spacing w:after="0"/>
              <w:rPr>
                <w:sz w:val="20"/>
                <w:szCs w:val="20"/>
                <w:color w:val="auto"/>
              </w:rPr>
            </w:pPr>
            <w:r>
              <w:rPr>
                <w:rFonts w:ascii="Arial" w:cs="Arial" w:eastAsia="Arial" w:hAnsi="Arial"/>
                <w:sz w:val="16"/>
                <w:szCs w:val="16"/>
                <w:color w:val="auto"/>
              </w:rPr>
              <w:t>Basic</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1,425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1,416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1,400</w:t>
            </w: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Assuming dilution</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1,443</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1,437</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1,427</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-3128010</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-3128010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-3128010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-1174115</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-1156970</wp:posOffset>
            </wp:positionV>
            <wp:extent cx="774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-1174115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-1156970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-1174115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-873760</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-856615</wp:posOffset>
            </wp:positionV>
            <wp:extent cx="774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-873760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-856615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-574040</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-556895</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-574040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-556895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-574040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the Notes to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jc w:val="center"/>
        <w:ind w:right="40"/>
        <w:spacing w:after="0"/>
        <w:rPr>
          <w:sz w:val="20"/>
          <w:szCs w:val="20"/>
          <w:color w:val="auto"/>
        </w:rPr>
      </w:pPr>
      <w:r>
        <w:rPr>
          <w:rFonts w:ascii="Arial" w:cs="Arial" w:eastAsia="Arial" w:hAnsi="Arial"/>
          <w:sz w:val="16"/>
          <w:szCs w:val="16"/>
          <w:b w:val="1"/>
          <w:bCs w:val="1"/>
          <w:color w:val="auto"/>
        </w:rPr>
        <w:t>SCHLUMBERGER LIMITED AND SUBSIDIARIES</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STATEMENT OF COMPREHENSIVE INCOME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0"/>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2022</w:t>
            </w: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4"/>
                <w:szCs w:val="24"/>
                <w:color w:val="auto"/>
              </w:rPr>
            </w:pPr>
          </w:p>
        </w:tc>
      </w:tr>
      <w:tr>
        <w:trPr>
          <w:trHeight w:val="210"/>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Net income</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4,275</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1,928</w:t>
            </w:r>
          </w:p>
        </w:tc>
        <w:tc>
          <w:tcPr>
            <w:tcW w:w="100" w:type="dxa"/>
            <w:vAlign w:val="bottom"/>
            <w:shd w:val="clear" w:color="auto" w:fill="CFF0FC"/>
          </w:tcPr>
          <w:p>
            <w:pPr>
              <w:spacing w:after="0"/>
              <w:rPr>
                <w:sz w:val="18"/>
                <w:szCs w:val="18"/>
                <w:color w:val="auto"/>
              </w:rPr>
            </w:pPr>
          </w:p>
        </w:tc>
      </w:tr>
      <w:tr>
        <w:trPr>
          <w:trHeight w:val="215"/>
        </w:trPr>
        <w:tc>
          <w:tcPr>
            <w:tcW w:w="6560" w:type="dxa"/>
            <w:vAlign w:val="bottom"/>
          </w:tcPr>
          <w:p>
            <w:pPr>
              <w:ind w:left="20"/>
              <w:spacing w:after="0"/>
              <w:rPr>
                <w:sz w:val="20"/>
                <w:szCs w:val="20"/>
                <w:color w:val="auto"/>
              </w:rPr>
            </w:pPr>
            <w:r>
              <w:rPr>
                <w:rFonts w:ascii="Arial" w:cs="Arial" w:eastAsia="Arial" w:hAnsi="Arial"/>
                <w:sz w:val="16"/>
                <w:szCs w:val="16"/>
                <w:i w:val="1"/>
                <w:iCs w:val="1"/>
                <w:color w:val="auto"/>
              </w:rPr>
              <w:t>Currency translation adjustments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6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change arising during the period</w:t>
            </w: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(113 )</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(26 )</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FF0FC"/>
          </w:tcPr>
          <w:p>
            <w:pPr>
              <w:spacing w:after="0"/>
              <w:rPr>
                <w:sz w:val="18"/>
                <w:szCs w:val="18"/>
                <w:color w:val="auto"/>
              </w:rPr>
            </w:pPr>
          </w:p>
        </w:tc>
      </w:tr>
      <w:tr>
        <w:trPr>
          <w:trHeight w:val="215"/>
        </w:trPr>
        <w:tc>
          <w:tcPr>
            <w:tcW w:w="6560" w:type="dxa"/>
            <w:vAlign w:val="bottom"/>
          </w:tcPr>
          <w:p>
            <w:pPr>
              <w:ind w:left="20"/>
              <w:spacing w:after="0"/>
              <w:rPr>
                <w:sz w:val="20"/>
                <w:szCs w:val="20"/>
                <w:color w:val="auto"/>
              </w:rPr>
            </w:pPr>
            <w:r>
              <w:rPr>
                <w:rFonts w:ascii="Arial" w:cs="Arial" w:eastAsia="Arial" w:hAnsi="Arial"/>
                <w:sz w:val="16"/>
                <w:szCs w:val="16"/>
                <w:i w:val="1"/>
                <w:iCs w:val="1"/>
                <w:color w:val="auto"/>
              </w:rPr>
              <w:t>Cash flow hedges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6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gain (loss) on cash flow hedges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177</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(148 )</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(12 )</w:t>
            </w:r>
          </w:p>
        </w:tc>
      </w:tr>
      <w:tr>
        <w:trPr>
          <w:trHeight w:val="216"/>
        </w:trPr>
        <w:tc>
          <w:tcPr>
            <w:tcW w:w="6560" w:type="dxa"/>
            <w:vAlign w:val="bottom"/>
          </w:tcPr>
          <w:p>
            <w:pPr>
              <w:ind w:left="200"/>
              <w:spacing w:after="0"/>
              <w:rPr>
                <w:sz w:val="20"/>
                <w:szCs w:val="20"/>
                <w:color w:val="auto"/>
              </w:rPr>
            </w:pPr>
            <w:r>
              <w:rPr>
                <w:rFonts w:ascii="Arial" w:cs="Arial" w:eastAsia="Arial" w:hAnsi="Arial"/>
                <w:sz w:val="16"/>
                <w:szCs w:val="16"/>
                <w:color w:val="auto"/>
              </w:rPr>
              <w:t>Reclassification to net income of net realized (gain) loss</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(19 )</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(3 )</w:t>
            </w:r>
          </w:p>
        </w:tc>
      </w:tr>
      <w:tr>
        <w:trPr>
          <w:trHeight w:val="216"/>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Pension and other postretirement benefit plans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200"/>
              <w:spacing w:after="0"/>
              <w:rPr>
                <w:sz w:val="20"/>
                <w:szCs w:val="20"/>
                <w:color w:val="auto"/>
              </w:rPr>
            </w:pPr>
            <w:r>
              <w:rPr>
                <w:rFonts w:ascii="Arial" w:cs="Arial" w:eastAsia="Arial" w:hAnsi="Arial"/>
                <w:sz w:val="16"/>
                <w:szCs w:val="16"/>
                <w:color w:val="auto"/>
              </w:rPr>
              <w:t>Actuarial gain (loss) arising during the period</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(437 )</w:t>
            </w: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(305 )</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1,075</w:t>
            </w: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to net income of net actuarial loss</w:t>
            </w: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(12 )</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200"/>
              <w:spacing w:after="0"/>
              <w:rPr>
                <w:sz w:val="20"/>
                <w:szCs w:val="20"/>
                <w:color w:val="auto"/>
              </w:rPr>
            </w:pPr>
            <w:r>
              <w:rPr>
                <w:rFonts w:ascii="Arial" w:cs="Arial" w:eastAsia="Arial" w:hAnsi="Arial"/>
                <w:sz w:val="16"/>
                <w:szCs w:val="16"/>
                <w:color w:val="auto"/>
              </w:rPr>
              <w:t>Amortization to net income of net prior service credit</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(23 )</w:t>
            </w: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(23 )</w:t>
            </w:r>
          </w:p>
        </w:tc>
        <w:tc>
          <w:tcPr>
            <w:tcW w:w="1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(23 )</w:t>
            </w:r>
          </w:p>
        </w:tc>
      </w:tr>
      <w:tr>
        <w:trPr>
          <w:trHeight w:val="216"/>
        </w:trPr>
        <w:tc>
          <w:tcPr>
            <w:tcW w:w="6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taxes on pension and other postretirement benefit plans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58</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(74 )</w:t>
            </w:r>
          </w:p>
        </w:tc>
      </w:tr>
      <w:tr>
        <w:trPr>
          <w:trHeight w:val="216"/>
        </w:trPr>
        <w:tc>
          <w:tcPr>
            <w:tcW w:w="6560" w:type="dxa"/>
            <w:vAlign w:val="bottom"/>
          </w:tcPr>
          <w:p>
            <w:pPr>
              <w:ind w:left="20"/>
              <w:spacing w:after="0"/>
              <w:rPr>
                <w:sz w:val="20"/>
                <w:szCs w:val="20"/>
                <w:color w:val="auto"/>
              </w:rPr>
            </w:pPr>
            <w:r>
              <w:rPr>
                <w:rFonts w:ascii="Arial" w:cs="Arial" w:eastAsia="Arial" w:hAnsi="Arial"/>
                <w:sz w:val="16"/>
                <w:szCs w:val="16"/>
                <w:i w:val="1"/>
                <w:iCs w:val="1"/>
                <w:color w:val="auto"/>
              </w:rPr>
              <w:t>Other</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(30 )</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(3 )</w:t>
            </w:r>
          </w:p>
        </w:tc>
      </w:tr>
      <w:tr>
        <w:trPr>
          <w:trHeight w:val="209"/>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Comprehensive income</w:t>
            </w: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3,876</w:t>
            </w:r>
          </w:p>
        </w:tc>
        <w:tc>
          <w:tcPr>
            <w:tcW w:w="2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3,207</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3,242</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200"/>
              <w:spacing w:after="0"/>
              <w:rPr>
                <w:sz w:val="20"/>
                <w:szCs w:val="20"/>
                <w:color w:val="auto"/>
              </w:rPr>
            </w:pPr>
            <w:r>
              <w:rPr>
                <w:rFonts w:ascii="Arial" w:cs="Arial" w:eastAsia="Arial" w:hAnsi="Arial"/>
                <w:sz w:val="16"/>
                <w:szCs w:val="16"/>
                <w:color w:val="auto"/>
              </w:rPr>
              <w:t>Comprehensive income attributable to noncontrolling interests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r>
      <w:tr>
        <w:trPr>
          <w:trHeight w:val="250"/>
        </w:trPr>
        <w:tc>
          <w:tcPr>
            <w:tcW w:w="6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i w:val="1"/>
                <w:iCs w:val="1"/>
                <w:color w:val="auto"/>
              </w:rPr>
              <w:t>Comprehensive income attributable to SLB</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3,804</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3,156</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3,195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-24765</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the Notes to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jc w:val="center"/>
        <w:ind w:right="40"/>
        <w:spacing w:after="0"/>
        <w:rPr>
          <w:sz w:val="20"/>
          <w:szCs w:val="20"/>
          <w:color w:val="auto"/>
        </w:rPr>
      </w:pPr>
      <w:r>
        <w:rPr>
          <w:rFonts w:ascii="Arial" w:cs="Arial" w:eastAsia="Arial" w:hAnsi="Arial"/>
          <w:sz w:val="16"/>
          <w:szCs w:val="16"/>
          <w:b w:val="1"/>
          <w:bCs w:val="1"/>
          <w:color w:val="auto"/>
        </w:rPr>
        <w:t>SCHLUMBERGER LIMITED AND SUBSIDIARIES</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BALANCE SHEET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0"/>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December 31,</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4"/>
                <w:szCs w:val="24"/>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i w:val="1"/>
                <w:iCs w:val="1"/>
                <w:color w:val="auto"/>
              </w:rPr>
              <w:t>ASSETS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i w:val="1"/>
                <w:iCs w:val="1"/>
                <w:color w:val="auto"/>
              </w:rPr>
              <w:t>Current Assets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w:t>
            </w:r>
          </w:p>
        </w:tc>
        <w:tc>
          <w:tcPr>
            <w:tcW w:w="360" w:type="dxa"/>
            <w:vAlign w:val="bottom"/>
            <w:shd w:val="clear" w:color="auto" w:fill="CFF0FC"/>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2,900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6"/>
                <w:szCs w:val="16"/>
                <w:color w:val="auto"/>
              </w:rPr>
              <w:t>Short-term investments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1,089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1,239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Receivables less allowance for doubtful accounts (2023 - $337; 2022 - $340)</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7,812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6,766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4,387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3,999</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 current assets</w:t>
            </w: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1,530</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17,718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15,003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Investments in Affiliated Companies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1,624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i w:val="1"/>
                <w:iCs w:val="1"/>
                <w:color w:val="auto"/>
              </w:rPr>
              <w:t>Fixed Assets less accumulated depreciation</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7,240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6,607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Goodwill</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14,084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12,982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i w:val="1"/>
                <w:iCs w:val="1"/>
                <w:color w:val="auto"/>
              </w:rPr>
              <w:t>Intangible Assets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3,239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2,992</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i w:val="1"/>
                <w:iCs w:val="1"/>
                <w:color w:val="auto"/>
              </w:rPr>
              <w:t>Other Assets</w:t>
            </w: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4,052</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47,957</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43,135</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i w:val="1"/>
                <w:iCs w:val="1"/>
                <w:color w:val="auto"/>
              </w:rPr>
              <w:t>LIABILITIES AND EQUITY</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i w:val="1"/>
                <w:iCs w:val="1"/>
                <w:color w:val="auto"/>
              </w:rPr>
              <w:t>Current Liabilities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10,904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9,121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6"/>
                <w:szCs w:val="16"/>
                <w:color w:val="auto"/>
              </w:rPr>
              <w:t>Estimated liability for taxes on income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994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Short-term borrowings and current portion of long-term debt</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1,123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6"/>
                <w:szCs w:val="16"/>
                <w:color w:val="auto"/>
              </w:rPr>
              <w:t>Dividends payable</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374</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13,395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12,018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i w:val="1"/>
                <w:iCs w:val="1"/>
                <w:color w:val="auto"/>
              </w:rPr>
              <w:t>Long-term Debt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10,842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10,594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Postretirement Benefits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i w:val="1"/>
                <w:iCs w:val="1"/>
                <w:color w:val="auto"/>
              </w:rPr>
              <w:t>Deferred Taxes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i w:val="1"/>
                <w:iCs w:val="1"/>
                <w:color w:val="auto"/>
              </w:rPr>
              <w:t>Other Liabilities</w:t>
            </w: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2,046</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26,598</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25,146</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Equity</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11,624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11,837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Treasury stock</w:t>
            </w: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(678 )</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(1,016 )</w:t>
            </w:r>
          </w:p>
        </w:tc>
      </w:tr>
      <w:tr>
        <w:trPr>
          <w:trHeight w:val="216"/>
        </w:trPr>
        <w:tc>
          <w:tcPr>
            <w:tcW w:w="772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13,497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10,719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loss</w:t>
            </w: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(4,254 )</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(3,855 )</w:t>
            </w:r>
          </w:p>
        </w:tc>
      </w:tr>
      <w:tr>
        <w:trPr>
          <w:trHeight w:val="210"/>
        </w:trPr>
        <w:tc>
          <w:tcPr>
            <w:tcW w:w="7720" w:type="dxa"/>
            <w:vAlign w:val="bottom"/>
            <w:tcBorders>
              <w:top w:val="single" w:sz="8" w:color="CFF0FC"/>
            </w:tcBorders>
          </w:tcPr>
          <w:p>
            <w:pPr>
              <w:ind w:left="200"/>
              <w:spacing w:after="0"/>
              <w:rPr>
                <w:sz w:val="20"/>
                <w:szCs w:val="20"/>
                <w:color w:val="auto"/>
              </w:rPr>
            </w:pPr>
            <w:r>
              <w:rPr>
                <w:rFonts w:ascii="Arial" w:cs="Arial" w:eastAsia="Arial" w:hAnsi="Arial"/>
                <w:sz w:val="16"/>
                <w:szCs w:val="16"/>
                <w:color w:val="auto"/>
              </w:rPr>
              <w:t>SLB stockholders' equity</w:t>
            </w: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20,189</w:t>
            </w: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17,685</w:t>
            </w: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Noncontrolling interests</w:t>
            </w: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1,170</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21,359</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17,989</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47,957</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43,135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-3959860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-3959860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-3128645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-3128645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-1439545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-599440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the Notes to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ind w:left="3760"/>
        <w:spacing w:after="0"/>
        <w:rPr>
          <w:sz w:val="20"/>
          <w:szCs w:val="20"/>
          <w:color w:val="auto"/>
        </w:rPr>
      </w:pPr>
      <w:r>
        <w:rPr>
          <w:rFonts w:ascii="Arial" w:cs="Arial" w:eastAsia="Arial" w:hAnsi="Arial"/>
          <w:sz w:val="16"/>
          <w:szCs w:val="16"/>
          <w:b w:val="1"/>
          <w:bCs w:val="1"/>
          <w:color w:val="auto"/>
        </w:rPr>
        <w:t>SCHLUMBERGER LIMITED AND SUBSIDIARIES</w:t>
      </w:r>
    </w:p>
    <w:p>
      <w:pPr>
        <w:spacing w:after="0" w:line="113"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CONSOLIDATED STATEMENT OF CASH FLOWS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6900" w:type="dxa"/>
            <w:vAlign w:val="bottom"/>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2022</w:t>
            </w:r>
          </w:p>
        </w:tc>
        <w:tc>
          <w:tcPr>
            <w:tcW w:w="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24"/>
                <w:szCs w:val="24"/>
                <w:color w:val="auto"/>
              </w:rPr>
            </w:pPr>
          </w:p>
        </w:tc>
      </w:tr>
      <w:tr>
        <w:trPr>
          <w:trHeight w:val="183"/>
        </w:trPr>
        <w:tc>
          <w:tcPr>
            <w:tcW w:w="69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flows from operating activities:</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90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4,275</w:t>
            </w:r>
          </w:p>
        </w:tc>
        <w:tc>
          <w:tcPr>
            <w:tcW w:w="26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3,492</w:t>
            </w:r>
          </w:p>
        </w:tc>
        <w:tc>
          <w:tcPr>
            <w:tcW w:w="260" w:type="dxa"/>
            <w:vAlign w:val="bottom"/>
          </w:tcPr>
          <w:p>
            <w:pPr>
              <w:spacing w:after="0"/>
              <w:rPr>
                <w:sz w:val="16"/>
                <w:szCs w:val="16"/>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1,928</w:t>
            </w:r>
          </w:p>
        </w:tc>
        <w:tc>
          <w:tcPr>
            <w:tcW w:w="100" w:type="dxa"/>
            <w:vAlign w:val="bottom"/>
          </w:tcPr>
          <w:p>
            <w:pPr>
              <w:spacing w:after="0"/>
              <w:rPr>
                <w:sz w:val="16"/>
                <w:szCs w:val="16"/>
                <w:color w:val="auto"/>
              </w:rPr>
            </w:pPr>
          </w:p>
        </w:tc>
      </w:tr>
      <w:tr>
        <w:trPr>
          <w:trHeight w:val="189"/>
        </w:trPr>
        <w:tc>
          <w:tcPr>
            <w:tcW w:w="69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Adjustments to reconcile net income to cash provided by operating activities:</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900" w:type="dxa"/>
            <w:vAlign w:val="bottom"/>
          </w:tcPr>
          <w:p>
            <w:pPr>
              <w:ind w:left="480"/>
              <w:spacing w:after="0"/>
              <w:rPr>
                <w:sz w:val="20"/>
                <w:szCs w:val="20"/>
                <w:color w:val="auto"/>
              </w:rPr>
            </w:pPr>
            <w:r>
              <w:rPr>
                <w:rFonts w:ascii="Arial" w:cs="Arial" w:eastAsia="Arial" w:hAnsi="Arial"/>
                <w:sz w:val="14"/>
                <w:szCs w:val="14"/>
                <w:color w:val="auto"/>
              </w:rPr>
              <w:t>Charges and credits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110</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(347 )</w:t>
            </w:r>
          </w:p>
        </w:tc>
        <w:tc>
          <w:tcPr>
            <w:tcW w:w="28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(65 )</w:t>
            </w:r>
          </w:p>
        </w:tc>
      </w:tr>
      <w:tr>
        <w:trPr>
          <w:trHeight w:val="189"/>
        </w:trPr>
        <w:tc>
          <w:tcPr>
            <w:tcW w:w="6900" w:type="dxa"/>
            <w:vAlign w:val="bottom"/>
            <w:shd w:val="clear" w:color="auto" w:fill="CFF0FC"/>
          </w:tcPr>
          <w:p>
            <w:pPr>
              <w:ind w:left="480"/>
              <w:spacing w:after="0" w:line="189" w:lineRule="exact"/>
              <w:rPr>
                <w:sz w:val="20"/>
                <w:szCs w:val="20"/>
                <w:color w:val="auto"/>
              </w:rPr>
            </w:pPr>
            <w:r>
              <w:rPr>
                <w:rFonts w:ascii="Arial" w:cs="Arial" w:eastAsia="Arial" w:hAnsi="Arial"/>
                <w:sz w:val="14"/>
                <w:szCs w:val="14"/>
                <w:color w:val="auto"/>
              </w:rPr>
              <w:t xml:space="preserve">Depreciation and amortization </w:t>
            </w:r>
            <w:r>
              <w:rPr>
                <w:rFonts w:ascii="Arial" w:cs="Arial" w:eastAsia="Arial" w:hAnsi="Arial"/>
                <w:sz w:val="19"/>
                <w:szCs w:val="19"/>
                <w:color w:val="auto"/>
                <w:vertAlign w:val="superscript"/>
              </w:rPr>
              <w:t>(1)</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2,312</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2,147</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w:t>
            </w:r>
          </w:p>
        </w:tc>
        <w:tc>
          <w:tcPr>
            <w:tcW w:w="100" w:type="dxa"/>
            <w:vAlign w:val="bottom"/>
            <w:shd w:val="clear" w:color="auto" w:fill="CFF0FC"/>
          </w:tcPr>
          <w:p>
            <w:pPr>
              <w:spacing w:after="0"/>
              <w:rPr>
                <w:sz w:val="16"/>
                <w:szCs w:val="16"/>
                <w:color w:val="auto"/>
              </w:rPr>
            </w:pPr>
          </w:p>
        </w:tc>
      </w:tr>
      <w:tr>
        <w:trPr>
          <w:trHeight w:val="189"/>
        </w:trPr>
        <w:tc>
          <w:tcPr>
            <w:tcW w:w="6900" w:type="dxa"/>
            <w:vAlign w:val="bottom"/>
          </w:tcPr>
          <w:p>
            <w:pPr>
              <w:ind w:left="480"/>
              <w:spacing w:after="0"/>
              <w:rPr>
                <w:sz w:val="20"/>
                <w:szCs w:val="20"/>
                <w:color w:val="auto"/>
              </w:rPr>
            </w:pPr>
            <w:r>
              <w:rPr>
                <w:rFonts w:ascii="Arial" w:cs="Arial" w:eastAsia="Arial" w:hAnsi="Arial"/>
                <w:sz w:val="14"/>
                <w:szCs w:val="14"/>
                <w:color w:val="auto"/>
              </w:rPr>
              <w:t>Deferred taxes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(39 )</w:t>
            </w:r>
          </w:p>
        </w:tc>
        <w:tc>
          <w:tcPr>
            <w:tcW w:w="28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(31 )</w:t>
            </w:r>
          </w:p>
        </w:tc>
      </w:tr>
      <w:tr>
        <w:trPr>
          <w:trHeight w:val="189"/>
        </w:trPr>
        <w:tc>
          <w:tcPr>
            <w:tcW w:w="6900" w:type="dxa"/>
            <w:vAlign w:val="bottom"/>
            <w:shd w:val="clear" w:color="auto" w:fill="CFF0FC"/>
          </w:tcPr>
          <w:p>
            <w:pPr>
              <w:ind w:left="480"/>
              <w:spacing w:after="0"/>
              <w:rPr>
                <w:sz w:val="20"/>
                <w:szCs w:val="20"/>
                <w:color w:val="auto"/>
              </w:rPr>
            </w:pPr>
            <w:r>
              <w:rPr>
                <w:rFonts w:ascii="Arial" w:cs="Arial" w:eastAsia="Arial" w:hAnsi="Arial"/>
                <w:sz w:val="14"/>
                <w:szCs w:val="14"/>
                <w:color w:val="auto"/>
              </w:rPr>
              <w:t>Stock-based compensation expense</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293</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313</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CFF0FC"/>
          </w:tcPr>
          <w:p>
            <w:pPr>
              <w:spacing w:after="0"/>
              <w:rPr>
                <w:sz w:val="16"/>
                <w:szCs w:val="16"/>
                <w:color w:val="auto"/>
              </w:rPr>
            </w:pPr>
          </w:p>
        </w:tc>
      </w:tr>
      <w:tr>
        <w:trPr>
          <w:trHeight w:val="189"/>
        </w:trPr>
        <w:tc>
          <w:tcPr>
            <w:tcW w:w="6900" w:type="dxa"/>
            <w:vAlign w:val="bottom"/>
          </w:tcPr>
          <w:p>
            <w:pPr>
              <w:ind w:left="480"/>
              <w:spacing w:after="0"/>
              <w:rPr>
                <w:sz w:val="20"/>
                <w:szCs w:val="20"/>
                <w:color w:val="auto"/>
              </w:rPr>
            </w:pPr>
            <w:r>
              <w:rPr>
                <w:rFonts w:ascii="Arial" w:cs="Arial" w:eastAsia="Arial" w:hAnsi="Arial"/>
                <w:sz w:val="14"/>
                <w:szCs w:val="14"/>
                <w:color w:val="auto"/>
              </w:rPr>
              <w:t>Earnings of equity method investments, less dividends received</w:t>
            </w:r>
          </w:p>
        </w:tc>
        <w:tc>
          <w:tcPr>
            <w:tcW w:w="28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(132 )</w:t>
            </w:r>
          </w:p>
        </w:tc>
        <w:tc>
          <w:tcPr>
            <w:tcW w:w="28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(96 )</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r>
      <w:tr>
        <w:trPr>
          <w:trHeight w:val="189"/>
        </w:trPr>
        <w:tc>
          <w:tcPr>
            <w:tcW w:w="6900" w:type="dxa"/>
            <w:vAlign w:val="bottom"/>
            <w:shd w:val="clear" w:color="auto" w:fill="CFF0FC"/>
          </w:tcPr>
          <w:p>
            <w:pPr>
              <w:ind w:left="200"/>
              <w:spacing w:after="0" w:line="189" w:lineRule="exact"/>
              <w:rPr>
                <w:sz w:val="20"/>
                <w:szCs w:val="20"/>
                <w:color w:val="auto"/>
              </w:rPr>
            </w:pPr>
            <w:r>
              <w:rPr>
                <w:rFonts w:ascii="Arial" w:cs="Arial" w:eastAsia="Arial" w:hAnsi="Arial"/>
                <w:sz w:val="14"/>
                <w:szCs w:val="14"/>
                <w:color w:val="auto"/>
              </w:rPr>
              <w:t xml:space="preserve">Change in assets and liabilities: </w:t>
            </w:r>
            <w:r>
              <w:rPr>
                <w:rFonts w:ascii="Arial" w:cs="Arial" w:eastAsia="Arial" w:hAnsi="Arial"/>
                <w:sz w:val="19"/>
                <w:szCs w:val="19"/>
                <w:color w:val="auto"/>
                <w:vertAlign w:val="superscript"/>
              </w:rPr>
              <w:t>(2)</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900" w:type="dxa"/>
            <w:vAlign w:val="bottom"/>
          </w:tcPr>
          <w:p>
            <w:pPr>
              <w:ind w:left="480"/>
              <w:spacing w:after="0"/>
              <w:rPr>
                <w:sz w:val="20"/>
                <w:szCs w:val="20"/>
                <w:color w:val="auto"/>
              </w:rPr>
            </w:pPr>
            <w:r>
              <w:rPr>
                <w:rFonts w:ascii="Arial" w:cs="Arial" w:eastAsia="Arial" w:hAnsi="Arial"/>
                <w:sz w:val="14"/>
                <w:szCs w:val="14"/>
                <w:color w:val="auto"/>
              </w:rPr>
              <w:t>Increase in receivables</w:t>
            </w:r>
          </w:p>
        </w:tc>
        <w:tc>
          <w:tcPr>
            <w:tcW w:w="28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(659 )</w:t>
            </w:r>
          </w:p>
        </w:tc>
        <w:tc>
          <w:tcPr>
            <w:tcW w:w="28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(1,728 )</w:t>
            </w:r>
          </w:p>
        </w:tc>
        <w:tc>
          <w:tcPr>
            <w:tcW w:w="28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(36 )</w:t>
            </w:r>
          </w:p>
        </w:tc>
      </w:tr>
      <w:tr>
        <w:trPr>
          <w:trHeight w:val="189"/>
        </w:trPr>
        <w:tc>
          <w:tcPr>
            <w:tcW w:w="6900" w:type="dxa"/>
            <w:vAlign w:val="bottom"/>
            <w:shd w:val="clear" w:color="auto" w:fill="CFF0FC"/>
          </w:tcPr>
          <w:p>
            <w:pPr>
              <w:ind w:left="480"/>
              <w:spacing w:after="0"/>
              <w:rPr>
                <w:sz w:val="20"/>
                <w:szCs w:val="20"/>
                <w:color w:val="auto"/>
              </w:rPr>
            </w:pPr>
            <w:r>
              <w:rPr>
                <w:rFonts w:ascii="Arial" w:cs="Arial" w:eastAsia="Arial" w:hAnsi="Arial"/>
                <w:sz w:val="14"/>
                <w:szCs w:val="14"/>
                <w:color w:val="auto"/>
              </w:rPr>
              <w:t>(Increase) decrease in inventories</w:t>
            </w:r>
          </w:p>
        </w:tc>
        <w:tc>
          <w:tcPr>
            <w:tcW w:w="28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b w:val="1"/>
                <w:bCs w:val="1"/>
                <w:color w:val="auto"/>
              </w:rPr>
              <w:t>(254 )</w:t>
            </w:r>
          </w:p>
        </w:tc>
        <w:tc>
          <w:tcPr>
            <w:tcW w:w="28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(737 )</w:t>
            </w: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FF0FC"/>
          </w:tcPr>
          <w:p>
            <w:pPr>
              <w:spacing w:after="0"/>
              <w:rPr>
                <w:sz w:val="16"/>
                <w:szCs w:val="16"/>
                <w:color w:val="auto"/>
              </w:rPr>
            </w:pPr>
          </w:p>
        </w:tc>
      </w:tr>
      <w:tr>
        <w:trPr>
          <w:trHeight w:val="189"/>
        </w:trPr>
        <w:tc>
          <w:tcPr>
            <w:tcW w:w="6900" w:type="dxa"/>
            <w:vAlign w:val="bottom"/>
          </w:tcPr>
          <w:p>
            <w:pPr>
              <w:ind w:left="480"/>
              <w:spacing w:after="0"/>
              <w:rPr>
                <w:sz w:val="20"/>
                <w:szCs w:val="20"/>
                <w:color w:val="auto"/>
              </w:rPr>
            </w:pPr>
            <w:r>
              <w:rPr>
                <w:rFonts w:ascii="Arial" w:cs="Arial" w:eastAsia="Arial" w:hAnsi="Arial"/>
                <w:sz w:val="14"/>
                <w:szCs w:val="14"/>
                <w:color w:val="auto"/>
              </w:rPr>
              <w:t>Decrease (increase) in other current assets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121</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(44 )</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16"/>
                <w:szCs w:val="16"/>
                <w:color w:val="auto"/>
              </w:rPr>
            </w:pPr>
          </w:p>
        </w:tc>
      </w:tr>
      <w:tr>
        <w:trPr>
          <w:trHeight w:val="189"/>
        </w:trPr>
        <w:tc>
          <w:tcPr>
            <w:tcW w:w="6900" w:type="dxa"/>
            <w:vAlign w:val="bottom"/>
            <w:shd w:val="clear" w:color="auto" w:fill="CFF0FC"/>
          </w:tcPr>
          <w:p>
            <w:pPr>
              <w:ind w:left="480"/>
              <w:spacing w:after="0"/>
              <w:rPr>
                <w:sz w:val="20"/>
                <w:szCs w:val="20"/>
                <w:color w:val="auto"/>
              </w:rPr>
            </w:pPr>
            <w:r>
              <w:rPr>
                <w:rFonts w:ascii="Arial" w:cs="Arial" w:eastAsia="Arial" w:hAnsi="Arial"/>
                <w:sz w:val="14"/>
                <w:szCs w:val="14"/>
                <w:color w:val="auto"/>
              </w:rPr>
              <w:t>Increase in other assets</w:t>
            </w:r>
          </w:p>
        </w:tc>
        <w:tc>
          <w:tcPr>
            <w:tcW w:w="28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b w:val="1"/>
                <w:bCs w:val="1"/>
                <w:color w:val="auto"/>
              </w:rPr>
              <w:t>(10 )</w:t>
            </w:r>
          </w:p>
        </w:tc>
        <w:tc>
          <w:tcPr>
            <w:tcW w:w="28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(45 )</w:t>
            </w:r>
          </w:p>
        </w:tc>
        <w:tc>
          <w:tcPr>
            <w:tcW w:w="2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(2 )</w:t>
            </w:r>
          </w:p>
        </w:tc>
      </w:tr>
      <w:tr>
        <w:trPr>
          <w:trHeight w:val="189"/>
        </w:trPr>
        <w:tc>
          <w:tcPr>
            <w:tcW w:w="6900" w:type="dxa"/>
            <w:vAlign w:val="bottom"/>
          </w:tcPr>
          <w:p>
            <w:pPr>
              <w:ind w:left="480"/>
              <w:spacing w:after="0"/>
              <w:rPr>
                <w:sz w:val="20"/>
                <w:szCs w:val="20"/>
                <w:color w:val="auto"/>
              </w:rPr>
            </w:pPr>
            <w:r>
              <w:rPr>
                <w:rFonts w:ascii="Arial" w:cs="Arial" w:eastAsia="Arial" w:hAnsi="Arial"/>
                <w:sz w:val="14"/>
                <w:szCs w:val="14"/>
                <w:color w:val="auto"/>
              </w:rPr>
              <w:t>Increase in accounts payable and accrued liabilities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724</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704</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6"/>
                <w:szCs w:val="16"/>
                <w:color w:val="auto"/>
              </w:rPr>
            </w:pPr>
          </w:p>
        </w:tc>
      </w:tr>
      <w:tr>
        <w:trPr>
          <w:trHeight w:val="189"/>
        </w:trPr>
        <w:tc>
          <w:tcPr>
            <w:tcW w:w="6900" w:type="dxa"/>
            <w:vAlign w:val="bottom"/>
            <w:shd w:val="clear" w:color="auto" w:fill="CFF0FC"/>
          </w:tcPr>
          <w:p>
            <w:pPr>
              <w:ind w:left="480"/>
              <w:spacing w:after="0"/>
              <w:rPr>
                <w:sz w:val="20"/>
                <w:szCs w:val="20"/>
                <w:color w:val="auto"/>
              </w:rPr>
            </w:pPr>
            <w:r>
              <w:rPr>
                <w:rFonts w:ascii="Arial" w:cs="Arial" w:eastAsia="Arial" w:hAnsi="Arial"/>
                <w:sz w:val="14"/>
                <w:szCs w:val="14"/>
                <w:color w:val="auto"/>
              </w:rPr>
              <w:t>(Decrease) increase in estimated liability for taxes on income</w:t>
            </w:r>
          </w:p>
        </w:tc>
        <w:tc>
          <w:tcPr>
            <w:tcW w:w="28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b w:val="1"/>
                <w:bCs w:val="1"/>
                <w:color w:val="auto"/>
              </w:rPr>
              <w:t>(62 )</w:t>
            </w: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(154 )</w:t>
            </w:r>
          </w:p>
        </w:tc>
      </w:tr>
      <w:tr>
        <w:trPr>
          <w:trHeight w:val="189"/>
        </w:trPr>
        <w:tc>
          <w:tcPr>
            <w:tcW w:w="6900" w:type="dxa"/>
            <w:vAlign w:val="bottom"/>
          </w:tcPr>
          <w:p>
            <w:pPr>
              <w:ind w:left="480"/>
              <w:spacing w:after="0"/>
              <w:rPr>
                <w:sz w:val="20"/>
                <w:szCs w:val="20"/>
                <w:color w:val="auto"/>
              </w:rPr>
            </w:pPr>
            <w:r>
              <w:rPr>
                <w:rFonts w:ascii="Arial" w:cs="Arial" w:eastAsia="Arial" w:hAnsi="Arial"/>
                <w:sz w:val="14"/>
                <w:szCs w:val="14"/>
                <w:color w:val="auto"/>
              </w:rPr>
              <w:t>(Decrease) increase in other liabilities</w:t>
            </w:r>
          </w:p>
        </w:tc>
        <w:tc>
          <w:tcPr>
            <w:tcW w:w="28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(76 )</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(26 )</w:t>
            </w:r>
          </w:p>
        </w:tc>
      </w:tr>
      <w:tr>
        <w:trPr>
          <w:trHeight w:val="189"/>
        </w:trPr>
        <w:tc>
          <w:tcPr>
            <w:tcW w:w="6900" w:type="dxa"/>
            <w:vAlign w:val="bottom"/>
            <w:shd w:val="clear" w:color="auto" w:fill="CFF0FC"/>
          </w:tcPr>
          <w:p>
            <w:pPr>
              <w:ind w:left="480"/>
              <w:spacing w:after="0"/>
              <w:rPr>
                <w:sz w:val="20"/>
                <w:szCs w:val="20"/>
                <w:color w:val="auto"/>
              </w:rPr>
            </w:pPr>
            <w:r>
              <w:rPr>
                <w:rFonts w:ascii="Arial" w:cs="Arial" w:eastAsia="Arial" w:hAnsi="Arial"/>
                <w:sz w:val="14"/>
                <w:szCs w:val="14"/>
                <w:color w:val="auto"/>
              </w:rPr>
              <w:t>Other</w:t>
            </w:r>
          </w:p>
        </w:tc>
        <w:tc>
          <w:tcPr>
            <w:tcW w:w="28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b w:val="1"/>
                <w:bCs w:val="1"/>
                <w:color w:val="auto"/>
              </w:rPr>
              <w:t>(33 )</w:t>
            </w:r>
          </w:p>
        </w:tc>
        <w:tc>
          <w:tcPr>
            <w:tcW w:w="28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(19 )</w:t>
            </w:r>
          </w:p>
        </w:tc>
        <w:tc>
          <w:tcPr>
            <w:tcW w:w="2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(39 )</w:t>
            </w:r>
          </w:p>
        </w:tc>
      </w:tr>
      <w:tr>
        <w:trPr>
          <w:trHeight w:val="183"/>
        </w:trPr>
        <w:tc>
          <w:tcPr>
            <w:tcW w:w="690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6,637</w:t>
            </w:r>
          </w:p>
        </w:tc>
        <w:tc>
          <w:tcPr>
            <w:tcW w:w="260" w:type="dxa"/>
            <w:vAlign w:val="bottom"/>
            <w:tcBorders>
              <w:top w:val="single" w:sz="8" w:color="CFF0FC"/>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3,720</w:t>
            </w:r>
          </w:p>
        </w:tc>
        <w:tc>
          <w:tcPr>
            <w:tcW w:w="260" w:type="dxa"/>
            <w:vAlign w:val="bottom"/>
            <w:tcBorders>
              <w:top w:val="single" w:sz="8" w:color="CFF0FC"/>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4,651</w:t>
            </w:r>
          </w:p>
        </w:tc>
        <w:tc>
          <w:tcPr>
            <w:tcW w:w="100" w:type="dxa"/>
            <w:vAlign w:val="bottom"/>
            <w:tcBorders>
              <w:top w:val="single" w:sz="8" w:color="CFF0FC"/>
            </w:tcBorders>
          </w:tcPr>
          <w:p>
            <w:pPr>
              <w:spacing w:after="0"/>
              <w:rPr>
                <w:sz w:val="15"/>
                <w:szCs w:val="15"/>
                <w:color w:val="auto"/>
              </w:rPr>
            </w:pPr>
          </w:p>
        </w:tc>
      </w:tr>
      <w:tr>
        <w:trPr>
          <w:trHeight w:val="183"/>
        </w:trPr>
        <w:tc>
          <w:tcPr>
            <w:tcW w:w="69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flows from investing activities:</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900" w:type="dxa"/>
            <w:vAlign w:val="bottom"/>
          </w:tcPr>
          <w:p>
            <w:pPr>
              <w:ind w:left="300"/>
              <w:spacing w:after="0"/>
              <w:rPr>
                <w:sz w:val="20"/>
                <w:szCs w:val="20"/>
                <w:color w:val="auto"/>
              </w:rPr>
            </w:pPr>
            <w:r>
              <w:rPr>
                <w:rFonts w:ascii="Arial" w:cs="Arial" w:eastAsia="Arial" w:hAnsi="Arial"/>
                <w:sz w:val="14"/>
                <w:szCs w:val="14"/>
                <w:color w:val="auto"/>
              </w:rPr>
              <w:t>Capital expenditures</w:t>
            </w:r>
          </w:p>
        </w:tc>
        <w:tc>
          <w:tcPr>
            <w:tcW w:w="28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(1,939 )</w:t>
            </w:r>
          </w:p>
        </w:tc>
        <w:tc>
          <w:tcPr>
            <w:tcW w:w="28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(1,618 )</w:t>
            </w:r>
          </w:p>
        </w:tc>
        <w:tc>
          <w:tcPr>
            <w:tcW w:w="28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(1,141 )</w:t>
            </w:r>
          </w:p>
        </w:tc>
      </w:tr>
      <w:tr>
        <w:trPr>
          <w:trHeight w:val="189"/>
        </w:trPr>
        <w:tc>
          <w:tcPr>
            <w:tcW w:w="69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APS investments</w:t>
            </w:r>
          </w:p>
        </w:tc>
        <w:tc>
          <w:tcPr>
            <w:tcW w:w="28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b w:val="1"/>
                <w:bCs w:val="1"/>
                <w:color w:val="auto"/>
              </w:rPr>
              <w:t>(507 )</w:t>
            </w:r>
          </w:p>
        </w:tc>
        <w:tc>
          <w:tcPr>
            <w:tcW w:w="28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(587 )</w:t>
            </w:r>
          </w:p>
        </w:tc>
        <w:tc>
          <w:tcPr>
            <w:tcW w:w="2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(474 )</w:t>
            </w:r>
          </w:p>
        </w:tc>
      </w:tr>
      <w:tr>
        <w:trPr>
          <w:trHeight w:val="189"/>
        </w:trPr>
        <w:tc>
          <w:tcPr>
            <w:tcW w:w="6900" w:type="dxa"/>
            <w:vAlign w:val="bottom"/>
          </w:tcPr>
          <w:p>
            <w:pPr>
              <w:ind w:left="300"/>
              <w:spacing w:after="0"/>
              <w:rPr>
                <w:sz w:val="20"/>
                <w:szCs w:val="20"/>
                <w:color w:val="auto"/>
              </w:rPr>
            </w:pPr>
            <w:r>
              <w:rPr>
                <w:rFonts w:ascii="Arial" w:cs="Arial" w:eastAsia="Arial" w:hAnsi="Arial"/>
                <w:sz w:val="14"/>
                <w:szCs w:val="14"/>
                <w:color w:val="auto"/>
              </w:rPr>
              <w:t>Exploration data capitalized</w:t>
            </w:r>
          </w:p>
        </w:tc>
        <w:tc>
          <w:tcPr>
            <w:tcW w:w="28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(153 )</w:t>
            </w:r>
          </w:p>
        </w:tc>
        <w:tc>
          <w:tcPr>
            <w:tcW w:w="28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(97 )</w:t>
            </w:r>
          </w:p>
        </w:tc>
        <w:tc>
          <w:tcPr>
            <w:tcW w:w="28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(39 )</w:t>
            </w:r>
          </w:p>
        </w:tc>
      </w:tr>
      <w:tr>
        <w:trPr>
          <w:trHeight w:val="189"/>
        </w:trPr>
        <w:tc>
          <w:tcPr>
            <w:tcW w:w="69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Proceeds from sale of Liberty shares</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137</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732</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FF0FC"/>
          </w:tcPr>
          <w:p>
            <w:pPr>
              <w:spacing w:after="0"/>
              <w:rPr>
                <w:sz w:val="16"/>
                <w:szCs w:val="16"/>
                <w:color w:val="auto"/>
              </w:rPr>
            </w:pPr>
          </w:p>
        </w:tc>
      </w:tr>
      <w:tr>
        <w:trPr>
          <w:trHeight w:val="189"/>
        </w:trPr>
        <w:tc>
          <w:tcPr>
            <w:tcW w:w="6900" w:type="dxa"/>
            <w:vAlign w:val="bottom"/>
          </w:tcPr>
          <w:p>
            <w:pPr>
              <w:ind w:left="300"/>
              <w:spacing w:after="0"/>
              <w:rPr>
                <w:sz w:val="20"/>
                <w:szCs w:val="20"/>
                <w:color w:val="auto"/>
              </w:rPr>
            </w:pPr>
            <w:r>
              <w:rPr>
                <w:rFonts w:ascii="Arial" w:cs="Arial" w:eastAsia="Arial" w:hAnsi="Arial"/>
                <w:sz w:val="14"/>
                <w:szCs w:val="14"/>
                <w:color w:val="auto"/>
              </w:rPr>
              <w:t>Proceeds from sale of ADC shares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223</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r>
      <w:tr>
        <w:trPr>
          <w:trHeight w:val="189"/>
        </w:trPr>
        <w:tc>
          <w:tcPr>
            <w:tcW w:w="69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Proceeds from sale of real estate</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r>
      <w:tr>
        <w:trPr>
          <w:trHeight w:val="189"/>
        </w:trPr>
        <w:tc>
          <w:tcPr>
            <w:tcW w:w="6900" w:type="dxa"/>
            <w:vAlign w:val="bottom"/>
          </w:tcPr>
          <w:p>
            <w:pPr>
              <w:ind w:left="300"/>
              <w:spacing w:after="0"/>
              <w:rPr>
                <w:sz w:val="20"/>
                <w:szCs w:val="20"/>
                <w:color w:val="auto"/>
              </w:rPr>
            </w:pPr>
            <w:r>
              <w:rPr>
                <w:rFonts w:ascii="Arial" w:cs="Arial" w:eastAsia="Arial" w:hAnsi="Arial"/>
                <w:sz w:val="14"/>
                <w:szCs w:val="14"/>
                <w:color w:val="auto"/>
              </w:rPr>
              <w:t>Business acquisitions and investments, net of cash acquired</w:t>
            </w:r>
          </w:p>
        </w:tc>
        <w:tc>
          <w:tcPr>
            <w:tcW w:w="28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(242 )</w:t>
            </w:r>
          </w:p>
        </w:tc>
        <w:tc>
          <w:tcPr>
            <w:tcW w:w="28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(58 )</w:t>
            </w:r>
          </w:p>
        </w:tc>
        <w:tc>
          <w:tcPr>
            <w:tcW w:w="28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(103 )</w:t>
            </w:r>
          </w:p>
        </w:tc>
      </w:tr>
      <w:tr>
        <w:trPr>
          <w:trHeight w:val="189"/>
        </w:trPr>
        <w:tc>
          <w:tcPr>
            <w:tcW w:w="69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Sale of short-term investments, net</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117</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787</w:t>
            </w:r>
          </w:p>
        </w:tc>
        <w:tc>
          <w:tcPr>
            <w:tcW w:w="100" w:type="dxa"/>
            <w:vAlign w:val="bottom"/>
            <w:shd w:val="clear" w:color="auto" w:fill="CFF0FC"/>
          </w:tcPr>
          <w:p>
            <w:pPr>
              <w:spacing w:after="0"/>
              <w:rPr>
                <w:sz w:val="16"/>
                <w:szCs w:val="16"/>
                <w:color w:val="auto"/>
              </w:rPr>
            </w:pPr>
          </w:p>
        </w:tc>
      </w:tr>
      <w:tr>
        <w:trPr>
          <w:trHeight w:val="189"/>
        </w:trPr>
        <w:tc>
          <w:tcPr>
            <w:tcW w:w="6900" w:type="dxa"/>
            <w:vAlign w:val="bottom"/>
          </w:tcPr>
          <w:p>
            <w:pPr>
              <w:ind w:left="300"/>
              <w:spacing w:after="0"/>
              <w:rPr>
                <w:sz w:val="20"/>
                <w:szCs w:val="20"/>
                <w:color w:val="auto"/>
              </w:rPr>
            </w:pPr>
            <w:r>
              <w:rPr>
                <w:rFonts w:ascii="Arial" w:cs="Arial" w:eastAsia="Arial" w:hAnsi="Arial"/>
                <w:sz w:val="14"/>
                <w:szCs w:val="14"/>
                <w:color w:val="auto"/>
              </w:rPr>
              <w:t>Purchases of Blue Chip Swap securities</w:t>
            </w:r>
          </w:p>
        </w:tc>
        <w:tc>
          <w:tcPr>
            <w:tcW w:w="28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(185 )</w:t>
            </w:r>
          </w:p>
        </w:tc>
        <w:tc>
          <w:tcPr>
            <w:tcW w:w="28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(259 )</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r>
      <w:tr>
        <w:trPr>
          <w:trHeight w:val="189"/>
        </w:trPr>
        <w:tc>
          <w:tcPr>
            <w:tcW w:w="69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Proceeds from sales of Blue Chip Swap securities</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97</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r>
      <w:tr>
        <w:trPr>
          <w:trHeight w:val="189"/>
        </w:trPr>
        <w:tc>
          <w:tcPr>
            <w:tcW w:w="6900" w:type="dxa"/>
            <w:vAlign w:val="bottom"/>
          </w:tcPr>
          <w:p>
            <w:pPr>
              <w:ind w:left="300"/>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(108 )</w:t>
            </w:r>
          </w:p>
        </w:tc>
        <w:tc>
          <w:tcPr>
            <w:tcW w:w="28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(93 )</w:t>
            </w:r>
          </w:p>
        </w:tc>
        <w:tc>
          <w:tcPr>
            <w:tcW w:w="28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(58 )</w:t>
            </w:r>
          </w:p>
        </w:tc>
      </w:tr>
      <w:tr>
        <w:trPr>
          <w:trHeight w:val="20"/>
        </w:trPr>
        <w:tc>
          <w:tcPr>
            <w:tcW w:w="6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9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CASH USED IN INVESTING ACTIVITIES</w:t>
            </w:r>
          </w:p>
        </w:tc>
        <w:tc>
          <w:tcPr>
            <w:tcW w:w="2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b w:val="1"/>
                <w:bCs w:val="1"/>
                <w:color w:val="auto"/>
              </w:rPr>
              <w:t>(2,783 )</w:t>
            </w:r>
          </w:p>
        </w:tc>
        <w:tc>
          <w:tcPr>
            <w:tcW w:w="2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(1,388 )</w:t>
            </w:r>
          </w:p>
        </w:tc>
        <w:tc>
          <w:tcPr>
            <w:tcW w:w="2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(919 )</w:t>
            </w:r>
          </w:p>
        </w:tc>
      </w:tr>
      <w:tr>
        <w:trPr>
          <w:trHeight w:val="183"/>
        </w:trPr>
        <w:tc>
          <w:tcPr>
            <w:tcW w:w="690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Cash flows from financing activities:</w:t>
            </w: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89"/>
        </w:trPr>
        <w:tc>
          <w:tcPr>
            <w:tcW w:w="69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Dividends paid</w:t>
            </w:r>
          </w:p>
        </w:tc>
        <w:tc>
          <w:tcPr>
            <w:tcW w:w="28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b w:val="1"/>
                <w:bCs w:val="1"/>
                <w:color w:val="auto"/>
              </w:rPr>
              <w:t>(1,317 )</w:t>
            </w:r>
          </w:p>
        </w:tc>
        <w:tc>
          <w:tcPr>
            <w:tcW w:w="28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(848 )</w:t>
            </w:r>
          </w:p>
        </w:tc>
        <w:tc>
          <w:tcPr>
            <w:tcW w:w="2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(699 )</w:t>
            </w:r>
          </w:p>
        </w:tc>
      </w:tr>
      <w:tr>
        <w:trPr>
          <w:trHeight w:val="189"/>
        </w:trPr>
        <w:tc>
          <w:tcPr>
            <w:tcW w:w="6900" w:type="dxa"/>
            <w:vAlign w:val="bottom"/>
          </w:tcPr>
          <w:p>
            <w:pPr>
              <w:ind w:left="300"/>
              <w:spacing w:after="0"/>
              <w:rPr>
                <w:sz w:val="20"/>
                <w:szCs w:val="20"/>
                <w:color w:val="auto"/>
              </w:rPr>
            </w:pPr>
            <w:r>
              <w:rPr>
                <w:rFonts w:ascii="Arial" w:cs="Arial" w:eastAsia="Arial" w:hAnsi="Arial"/>
                <w:sz w:val="14"/>
                <w:szCs w:val="14"/>
                <w:color w:val="auto"/>
              </w:rPr>
              <w:t>Proceeds from employee stock purchase plan</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191</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142</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6"/>
                <w:szCs w:val="16"/>
                <w:color w:val="auto"/>
              </w:rPr>
            </w:pPr>
          </w:p>
        </w:tc>
      </w:tr>
      <w:tr>
        <w:trPr>
          <w:trHeight w:val="189"/>
        </w:trPr>
        <w:tc>
          <w:tcPr>
            <w:tcW w:w="69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Proceeds from exercise of stock options</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90</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r>
      <w:tr>
        <w:trPr>
          <w:trHeight w:val="189"/>
        </w:trPr>
        <w:tc>
          <w:tcPr>
            <w:tcW w:w="6900" w:type="dxa"/>
            <w:vAlign w:val="bottom"/>
          </w:tcPr>
          <w:p>
            <w:pPr>
              <w:ind w:left="300"/>
              <w:spacing w:after="0"/>
              <w:rPr>
                <w:sz w:val="20"/>
                <w:szCs w:val="20"/>
                <w:color w:val="auto"/>
              </w:rPr>
            </w:pPr>
            <w:r>
              <w:rPr>
                <w:rFonts w:ascii="Arial" w:cs="Arial" w:eastAsia="Arial" w:hAnsi="Arial"/>
                <w:sz w:val="14"/>
                <w:szCs w:val="14"/>
                <w:color w:val="auto"/>
              </w:rPr>
              <w:t>Taxes paid on net-settled stock-based compensation awards</w:t>
            </w:r>
          </w:p>
        </w:tc>
        <w:tc>
          <w:tcPr>
            <w:tcW w:w="28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(169 )</w:t>
            </w:r>
          </w:p>
        </w:tc>
        <w:tc>
          <w:tcPr>
            <w:tcW w:w="28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(93 )</w:t>
            </w:r>
          </w:p>
        </w:tc>
        <w:tc>
          <w:tcPr>
            <w:tcW w:w="28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(24 )</w:t>
            </w:r>
          </w:p>
        </w:tc>
      </w:tr>
      <w:tr>
        <w:trPr>
          <w:trHeight w:val="189"/>
        </w:trPr>
        <w:tc>
          <w:tcPr>
            <w:tcW w:w="69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Stock repurchase program</w:t>
            </w:r>
          </w:p>
        </w:tc>
        <w:tc>
          <w:tcPr>
            <w:tcW w:w="28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b w:val="1"/>
                <w:bCs w:val="1"/>
                <w:color w:val="auto"/>
              </w:rPr>
              <w:t>(694 )</w:t>
            </w: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r>
      <w:tr>
        <w:trPr>
          <w:trHeight w:val="189"/>
        </w:trPr>
        <w:tc>
          <w:tcPr>
            <w:tcW w:w="6900" w:type="dxa"/>
            <w:vAlign w:val="bottom"/>
          </w:tcPr>
          <w:p>
            <w:pPr>
              <w:ind w:left="300"/>
              <w:spacing w:after="0"/>
              <w:rPr>
                <w:sz w:val="20"/>
                <w:szCs w:val="20"/>
                <w:color w:val="auto"/>
              </w:rPr>
            </w:pPr>
            <w:r>
              <w:rPr>
                <w:rFonts w:ascii="Arial" w:cs="Arial" w:eastAsia="Arial" w:hAnsi="Arial"/>
                <w:sz w:val="14"/>
                <w:szCs w:val="14"/>
                <w:color w:val="auto"/>
              </w:rPr>
              <w:t>Proceeds from issuance of long-term debt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994</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r>
      <w:tr>
        <w:trPr>
          <w:trHeight w:val="189"/>
        </w:trPr>
        <w:tc>
          <w:tcPr>
            <w:tcW w:w="69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Repayment of long-term debt</w:t>
            </w:r>
          </w:p>
        </w:tc>
        <w:tc>
          <w:tcPr>
            <w:tcW w:w="28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b w:val="1"/>
                <w:bCs w:val="1"/>
                <w:color w:val="auto"/>
              </w:rPr>
              <w:t>(1,578 )</w:t>
            </w:r>
          </w:p>
        </w:tc>
        <w:tc>
          <w:tcPr>
            <w:tcW w:w="28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(1,650 )</w:t>
            </w:r>
          </w:p>
        </w:tc>
        <w:tc>
          <w:tcPr>
            <w:tcW w:w="2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(2,076 )</w:t>
            </w:r>
          </w:p>
        </w:tc>
      </w:tr>
      <w:tr>
        <w:trPr>
          <w:trHeight w:val="189"/>
        </w:trPr>
        <w:tc>
          <w:tcPr>
            <w:tcW w:w="6900" w:type="dxa"/>
            <w:vAlign w:val="bottom"/>
          </w:tcPr>
          <w:p>
            <w:pPr>
              <w:ind w:left="300"/>
              <w:spacing w:after="0"/>
              <w:rPr>
                <w:sz w:val="20"/>
                <w:szCs w:val="20"/>
                <w:color w:val="auto"/>
              </w:rPr>
            </w:pPr>
            <w:r>
              <w:rPr>
                <w:rFonts w:ascii="Arial" w:cs="Arial" w:eastAsia="Arial" w:hAnsi="Arial"/>
                <w:sz w:val="14"/>
                <w:szCs w:val="14"/>
                <w:color w:val="auto"/>
              </w:rPr>
              <w:t>Net increase (decrease) in short-term borrowings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(105 )</w:t>
            </w:r>
          </w:p>
        </w:tc>
      </w:tr>
      <w:tr>
        <w:trPr>
          <w:trHeight w:val="189"/>
        </w:trPr>
        <w:tc>
          <w:tcPr>
            <w:tcW w:w="69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Other</w:t>
            </w:r>
          </w:p>
        </w:tc>
        <w:tc>
          <w:tcPr>
            <w:tcW w:w="28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b w:val="1"/>
                <w:bCs w:val="1"/>
                <w:color w:val="auto"/>
              </w:rPr>
              <w:t>(31 )</w:t>
            </w:r>
          </w:p>
        </w:tc>
        <w:tc>
          <w:tcPr>
            <w:tcW w:w="28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(51 )</w:t>
            </w:r>
          </w:p>
        </w:tc>
        <w:tc>
          <w:tcPr>
            <w:tcW w:w="2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(91 )</w:t>
            </w:r>
          </w:p>
        </w:tc>
      </w:tr>
      <w:tr>
        <w:trPr>
          <w:trHeight w:val="20"/>
        </w:trPr>
        <w:tc>
          <w:tcPr>
            <w:tcW w:w="69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6900" w:type="dxa"/>
            <w:vAlign w:val="bottom"/>
          </w:tcPr>
          <w:p>
            <w:pPr>
              <w:ind w:left="20"/>
              <w:spacing w:after="0"/>
              <w:rPr>
                <w:sz w:val="20"/>
                <w:szCs w:val="20"/>
                <w:color w:val="auto"/>
              </w:rPr>
            </w:pPr>
            <w:r>
              <w:rPr>
                <w:rFonts w:ascii="Arial" w:cs="Arial" w:eastAsia="Arial" w:hAnsi="Arial"/>
                <w:sz w:val="14"/>
                <w:szCs w:val="14"/>
                <w:color w:val="auto"/>
              </w:rPr>
              <w:t>NET CASH USED IN FINANCING ACTIVITIES</w:t>
            </w:r>
          </w:p>
        </w:tc>
        <w:tc>
          <w:tcPr>
            <w:tcW w:w="28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(2,512 )</w:t>
            </w:r>
          </w:p>
        </w:tc>
        <w:tc>
          <w:tcPr>
            <w:tcW w:w="28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(2,382 )</w:t>
            </w:r>
          </w:p>
        </w:tc>
        <w:tc>
          <w:tcPr>
            <w:tcW w:w="28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(2,824 )</w:t>
            </w:r>
          </w:p>
        </w:tc>
      </w:tr>
      <w:tr>
        <w:trPr>
          <w:trHeight w:val="20"/>
        </w:trPr>
        <w:tc>
          <w:tcPr>
            <w:tcW w:w="6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9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increase (decrease) in cash before translation effect</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1,342</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(50 )</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908</w:t>
            </w:r>
          </w:p>
        </w:tc>
        <w:tc>
          <w:tcPr>
            <w:tcW w:w="100" w:type="dxa"/>
            <w:vAlign w:val="bottom"/>
            <w:shd w:val="clear" w:color="auto" w:fill="CFF0FC"/>
          </w:tcPr>
          <w:p>
            <w:pPr>
              <w:spacing w:after="0"/>
              <w:rPr>
                <w:sz w:val="15"/>
                <w:szCs w:val="15"/>
                <w:color w:val="auto"/>
              </w:rPr>
            </w:pPr>
          </w:p>
        </w:tc>
      </w:tr>
      <w:tr>
        <w:trPr>
          <w:trHeight w:val="189"/>
        </w:trPr>
        <w:tc>
          <w:tcPr>
            <w:tcW w:w="6900" w:type="dxa"/>
            <w:vAlign w:val="bottom"/>
          </w:tcPr>
          <w:p>
            <w:pPr>
              <w:ind w:left="20"/>
              <w:spacing w:after="0"/>
              <w:rPr>
                <w:sz w:val="20"/>
                <w:szCs w:val="20"/>
                <w:color w:val="auto"/>
              </w:rPr>
            </w:pPr>
            <w:r>
              <w:rPr>
                <w:rFonts w:ascii="Arial" w:cs="Arial" w:eastAsia="Arial" w:hAnsi="Arial"/>
                <w:sz w:val="14"/>
                <w:szCs w:val="14"/>
                <w:color w:val="auto"/>
              </w:rPr>
              <w:t>Impact of changes in exchange rates on cash</w:t>
            </w:r>
          </w:p>
        </w:tc>
        <w:tc>
          <w:tcPr>
            <w:tcW w:w="28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(97 )</w:t>
            </w:r>
          </w:p>
        </w:tc>
        <w:tc>
          <w:tcPr>
            <w:tcW w:w="28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(52 )</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r>
      <w:tr>
        <w:trPr>
          <w:trHeight w:val="189"/>
        </w:trPr>
        <w:tc>
          <w:tcPr>
            <w:tcW w:w="6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beginning of period</w:t>
            </w:r>
          </w:p>
        </w:tc>
        <w:tc>
          <w:tcPr>
            <w:tcW w:w="28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1,655</w:t>
            </w:r>
          </w:p>
        </w:tc>
        <w:tc>
          <w:tcPr>
            <w:tcW w:w="2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1,757</w:t>
            </w:r>
          </w:p>
        </w:tc>
        <w:tc>
          <w:tcPr>
            <w:tcW w:w="2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844</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900" w:type="dxa"/>
            <w:vAlign w:val="bottom"/>
          </w:tcPr>
          <w:p>
            <w:pPr>
              <w:ind w:left="20"/>
              <w:spacing w:after="0"/>
              <w:rPr>
                <w:sz w:val="20"/>
                <w:szCs w:val="20"/>
                <w:color w:val="auto"/>
              </w:rPr>
            </w:pPr>
            <w:r>
              <w:rPr>
                <w:rFonts w:ascii="Arial" w:cs="Arial" w:eastAsia="Arial" w:hAnsi="Arial"/>
                <w:sz w:val="14"/>
                <w:szCs w:val="14"/>
                <w:color w:val="auto"/>
              </w:rPr>
              <w:t>Cash, end of period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2,900</w:t>
            </w:r>
          </w:p>
        </w:tc>
        <w:tc>
          <w:tcPr>
            <w:tcW w:w="26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1,655</w:t>
            </w:r>
          </w:p>
        </w:tc>
        <w:tc>
          <w:tcPr>
            <w:tcW w:w="260" w:type="dxa"/>
            <w:vAlign w:val="bottom"/>
          </w:tcPr>
          <w:p>
            <w:pPr>
              <w:spacing w:after="0"/>
              <w:rPr>
                <w:sz w:val="15"/>
                <w:szCs w:val="15"/>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1,757</w:t>
            </w:r>
          </w:p>
        </w:tc>
        <w:tc>
          <w:tcPr>
            <w:tcW w:w="100" w:type="dxa"/>
            <w:vAlign w:val="bottom"/>
          </w:tcPr>
          <w:p>
            <w:pPr>
              <w:spacing w:after="0"/>
              <w:rPr>
                <w:sz w:val="15"/>
                <w:szCs w:val="15"/>
                <w:color w:val="auto"/>
              </w:rPr>
            </w:pPr>
          </w:p>
        </w:tc>
      </w:tr>
      <w:tr>
        <w:trPr>
          <w:trHeight w:val="20"/>
        </w:trPr>
        <w:tc>
          <w:tcPr>
            <w:tcW w:w="6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-3565525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-3565525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-3565525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-1859280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-1859280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-650875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-650875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-153670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-153670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2"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19"/>
          <w:szCs w:val="19"/>
          <w:color w:val="auto"/>
          <w:vertAlign w:val="superscript"/>
        </w:rPr>
      </w:pPr>
      <w:r>
        <w:rPr>
          <w:rFonts w:ascii="Arial" w:cs="Arial" w:eastAsia="Arial" w:hAnsi="Arial"/>
          <w:sz w:val="14"/>
          <w:szCs w:val="14"/>
          <w:color w:val="auto"/>
        </w:rPr>
        <w:t>Includes depreciation of fixed assets and amortization of intangible assets, exploration data costs and APS investments.</w:t>
      </w:r>
    </w:p>
    <w:p>
      <w:pPr>
        <w:spacing w:after="0" w:line="70" w:lineRule="exact"/>
        <w:rPr>
          <w:rFonts w:ascii="Arial" w:cs="Arial" w:eastAsia="Arial" w:hAnsi="Arial"/>
          <w:sz w:val="19"/>
          <w:szCs w:val="19"/>
          <w:color w:val="auto"/>
          <w:vertAlign w:val="superscript"/>
        </w:rPr>
      </w:pPr>
    </w:p>
    <w:p>
      <w:pPr>
        <w:ind w:left="380" w:hanging="372"/>
        <w:spacing w:after="0" w:line="234" w:lineRule="auto"/>
        <w:tabs>
          <w:tab w:leader="none" w:pos="380" w:val="left"/>
        </w:tabs>
        <w:numPr>
          <w:ilvl w:val="0"/>
          <w:numId w:val="25"/>
        </w:numPr>
        <w:rPr>
          <w:rFonts w:ascii="Arial" w:cs="Arial" w:eastAsia="Arial" w:hAnsi="Arial"/>
          <w:sz w:val="19"/>
          <w:szCs w:val="19"/>
          <w:color w:val="auto"/>
          <w:vertAlign w:val="superscript"/>
        </w:rPr>
      </w:pPr>
      <w:r>
        <w:rPr>
          <w:rFonts w:ascii="Arial" w:cs="Arial" w:eastAsia="Arial" w:hAnsi="Arial"/>
          <w:sz w:val="14"/>
          <w:szCs w:val="14"/>
          <w:color w:val="auto"/>
        </w:rPr>
        <w:t>Net of the effect of business acquisitions and divestitures.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the Notes to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jc w:val="center"/>
        <w:ind w:right="40"/>
        <w:spacing w:after="0"/>
        <w:rPr>
          <w:sz w:val="20"/>
          <w:szCs w:val="20"/>
          <w:color w:val="auto"/>
        </w:rPr>
      </w:pPr>
      <w:r>
        <w:rPr>
          <w:rFonts w:ascii="Arial" w:cs="Arial" w:eastAsia="Arial" w:hAnsi="Arial"/>
          <w:sz w:val="16"/>
          <w:szCs w:val="16"/>
          <w:b w:val="1"/>
          <w:bCs w:val="1"/>
          <w:color w:val="auto"/>
        </w:rPr>
        <w:t>SCHLUMBERGER LIMITED AND SUBSIDIARIES</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STATEMENT OF STOCKHOLDERS’ EQUITY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3"/>
                <w:szCs w:val="13"/>
                <w:i w:val="1"/>
                <w:iCs w:val="1"/>
                <w:color w:val="auto"/>
              </w:rPr>
              <w:t>(Stated in millions)</w:t>
            </w:r>
          </w:p>
        </w:tc>
        <w:tc>
          <w:tcPr>
            <w:tcW w:w="0" w:type="dxa"/>
            <w:vAlign w:val="bottom"/>
          </w:tcPr>
          <w:p>
            <w:pPr>
              <w:spacing w:after="0"/>
              <w:rPr>
                <w:sz w:val="1"/>
                <w:szCs w:val="1"/>
                <w:color w:val="auto"/>
              </w:rPr>
            </w:pPr>
          </w:p>
        </w:tc>
      </w:tr>
      <w:tr>
        <w:trPr>
          <w:trHeight w:val="158"/>
        </w:trPr>
        <w:tc>
          <w:tcPr>
            <w:tcW w:w="4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3"/>
            <w:vMerge w:val="restart"/>
          </w:tcPr>
          <w:p>
            <w:pPr>
              <w:jc w:val="right"/>
              <w:ind w:right="37"/>
              <w:spacing w:after="0"/>
              <w:rPr>
                <w:sz w:val="20"/>
                <w:szCs w:val="20"/>
                <w:color w:val="auto"/>
              </w:rPr>
            </w:pPr>
            <w:r>
              <w:rPr>
                <w:rFonts w:ascii="Arial" w:cs="Arial" w:eastAsia="Arial" w:hAnsi="Arial"/>
                <w:sz w:val="13"/>
                <w:szCs w:val="13"/>
                <w:b w:val="1"/>
                <w:bCs w:val="1"/>
                <w:color w:val="auto"/>
              </w:rPr>
              <w:t>Common Stock</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3"/>
                <w:szCs w:val="13"/>
                <w:b w:val="1"/>
                <w:bCs w:val="1"/>
                <w:color w:val="auto"/>
              </w:rPr>
              <w:t>Retained</w:t>
            </w:r>
          </w:p>
        </w:tc>
        <w:tc>
          <w:tcPr>
            <w:tcW w:w="110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Comprehensi</w:t>
            </w:r>
          </w:p>
        </w:tc>
        <w:tc>
          <w:tcPr>
            <w:tcW w:w="8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96"/>
              </w:rPr>
              <w:t>Noncontrollin</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6"/>
              </w:rPr>
              <w:t>ve</w:t>
            </w:r>
          </w:p>
        </w:tc>
        <w:tc>
          <w:tcPr>
            <w:tcW w:w="120" w:type="dxa"/>
            <w:vAlign w:val="bottom"/>
          </w:tcPr>
          <w:p>
            <w:pPr>
              <w:spacing w:after="0"/>
              <w:rPr>
                <w:sz w:val="13"/>
                <w:szCs w:val="13"/>
                <w:color w:val="auto"/>
              </w:rPr>
            </w:pPr>
          </w:p>
        </w:tc>
        <w:tc>
          <w:tcPr>
            <w:tcW w:w="760" w:type="dxa"/>
            <w:vAlign w:val="bottom"/>
          </w:tcPr>
          <w:p>
            <w:pPr>
              <w:jc w:val="right"/>
              <w:ind w:right="337"/>
              <w:spacing w:after="0"/>
              <w:rPr>
                <w:sz w:val="20"/>
                <w:szCs w:val="20"/>
                <w:color w:val="auto"/>
              </w:rPr>
            </w:pPr>
            <w:r>
              <w:rPr>
                <w:rFonts w:ascii="Arial" w:cs="Arial" w:eastAsia="Arial" w:hAnsi="Arial"/>
                <w:sz w:val="13"/>
                <w:szCs w:val="13"/>
                <w:b w:val="1"/>
                <w:bCs w:val="1"/>
                <w:color w:val="auto"/>
              </w:rPr>
              <w:t>g</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6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Issued</w:t>
            </w:r>
          </w:p>
        </w:tc>
        <w:tc>
          <w:tcPr>
            <w:tcW w:w="240" w:type="dxa"/>
            <w:vAlign w:val="bottom"/>
          </w:tcPr>
          <w:p>
            <w:pPr>
              <w:spacing w:after="0"/>
              <w:rPr>
                <w:sz w:val="13"/>
                <w:szCs w:val="13"/>
                <w:color w:val="auto"/>
              </w:rPr>
            </w:pPr>
          </w:p>
        </w:tc>
        <w:tc>
          <w:tcPr>
            <w:tcW w:w="90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3"/>
                <w:szCs w:val="13"/>
                <w:b w:val="1"/>
                <w:bCs w:val="1"/>
                <w:color w:val="auto"/>
              </w:rPr>
              <w:t>In Treasury</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Earnings</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2"/>
              </w:rPr>
              <w:t>Loss</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Interests</w:t>
            </w: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January 1, 2021</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12,970</w:t>
            </w: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jc w:val="right"/>
              <w:ind w:right="297"/>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(3,033 )</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7,018</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(4,884 )</w:t>
            </w: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418</w:t>
            </w:r>
          </w:p>
        </w:tc>
        <w:tc>
          <w:tcPr>
            <w:tcW w:w="400" w:type="dxa"/>
            <w:vAlign w:val="bottom"/>
            <w:tcBorders>
              <w:lef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12,489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1,881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47</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Currency translation adjustments</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(2 )</w:t>
            </w:r>
          </w:p>
        </w:tc>
        <w:tc>
          <w:tcPr>
            <w:tcW w:w="200" w:type="dxa"/>
            <w:vAlign w:val="bottom"/>
            <w:tcBorders>
              <w:lef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200"/>
              <w:spacing w:after="0"/>
              <w:rPr>
                <w:sz w:val="20"/>
                <w:szCs w:val="20"/>
                <w:color w:val="auto"/>
              </w:rPr>
            </w:pPr>
            <w:r>
              <w:rPr>
                <w:rFonts w:ascii="Arial" w:cs="Arial" w:eastAsia="Arial" w:hAnsi="Arial"/>
                <w:sz w:val="13"/>
                <w:szCs w:val="13"/>
                <w:color w:val="auto"/>
              </w:rPr>
              <w:t>Changes in fair value of cash flow hedges</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(15 )</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(15 )</w:t>
            </w: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Pension and other postretirement benefit plans</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200"/>
              <w:spacing w:after="0"/>
              <w:rPr>
                <w:sz w:val="20"/>
                <w:szCs w:val="20"/>
                <w:color w:val="auto"/>
              </w:rPr>
            </w:pPr>
            <w:r>
              <w:rPr>
                <w:rFonts w:ascii="Arial" w:cs="Arial" w:eastAsia="Arial" w:hAnsi="Arial"/>
                <w:sz w:val="13"/>
                <w:szCs w:val="13"/>
                <w:color w:val="auto"/>
              </w:rPr>
              <w:t>Vesting of restricted stock, net of taxes withheld</w:t>
            </w:r>
          </w:p>
        </w:tc>
        <w:tc>
          <w:tcPr>
            <w:tcW w:w="16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(305 )</w:t>
            </w:r>
          </w:p>
        </w:tc>
        <w:tc>
          <w:tcPr>
            <w:tcW w:w="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281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(24 )</w:t>
            </w: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Employee stock purchase plan</w:t>
            </w:r>
          </w:p>
        </w:tc>
        <w:tc>
          <w:tcPr>
            <w:tcW w:w="1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(377 )</w:t>
            </w:r>
          </w:p>
        </w:tc>
        <w:tc>
          <w:tcPr>
            <w:tcW w:w="44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514</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200"/>
              <w:spacing w:after="0"/>
              <w:rPr>
                <w:sz w:val="20"/>
                <w:szCs w:val="20"/>
                <w:color w:val="auto"/>
              </w:rPr>
            </w:pPr>
            <w:r>
              <w:rPr>
                <w:rFonts w:ascii="Arial" w:cs="Arial" w:eastAsia="Arial" w:hAnsi="Arial"/>
                <w:sz w:val="13"/>
                <w:szCs w:val="13"/>
                <w:color w:val="auto"/>
              </w:rPr>
              <w:t>Stock-based compensation expense</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324</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Dividends declared ($0.50 per share)</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(700 )</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(700 )</w:t>
            </w:r>
          </w:p>
        </w:tc>
        <w:tc>
          <w:tcPr>
            <w:tcW w:w="0" w:type="dxa"/>
            <w:vAlign w:val="bottom"/>
          </w:tcPr>
          <w:p>
            <w:pPr>
              <w:spacing w:after="0"/>
              <w:rPr>
                <w:sz w:val="1"/>
                <w:szCs w:val="1"/>
                <w:color w:val="auto"/>
              </w:rPr>
            </w:pPr>
          </w:p>
        </w:tc>
      </w:tr>
      <w:tr>
        <w:trPr>
          <w:trHeight w:val="162"/>
        </w:trPr>
        <w:tc>
          <w:tcPr>
            <w:tcW w:w="4660" w:type="dxa"/>
            <w:vAlign w:val="bottom"/>
          </w:tcPr>
          <w:p>
            <w:pPr>
              <w:ind w:left="200"/>
              <w:spacing w:after="0"/>
              <w:rPr>
                <w:sz w:val="20"/>
                <w:szCs w:val="20"/>
                <w:color w:val="auto"/>
              </w:rPr>
            </w:pPr>
            <w:r>
              <w:rPr>
                <w:rFonts w:ascii="Arial" w:cs="Arial" w:eastAsia="Arial" w:hAnsi="Arial"/>
                <w:sz w:val="13"/>
                <w:szCs w:val="13"/>
                <w:color w:val="auto"/>
              </w:rPr>
              <w:t>Deconsolidation of subsidiary</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(123 )</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(123 )</w:t>
            </w: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Other</w:t>
            </w:r>
          </w:p>
        </w:tc>
        <w:tc>
          <w:tcPr>
            <w:tcW w:w="1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(4 )</w:t>
            </w:r>
          </w:p>
        </w:tc>
        <w:tc>
          <w:tcPr>
            <w:tcW w:w="44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(3 )</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(58 )</w:t>
            </w:r>
          </w:p>
        </w:tc>
        <w:tc>
          <w:tcPr>
            <w:tcW w:w="200" w:type="dxa"/>
            <w:vAlign w:val="bottom"/>
            <w:tcBorders>
              <w:lef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(60 )</w:t>
            </w: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lef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660" w:type="dxa"/>
            <w:vAlign w:val="bottom"/>
          </w:tcPr>
          <w:p>
            <w:pPr>
              <w:ind w:left="20"/>
              <w:spacing w:after="0"/>
              <w:rPr>
                <w:sz w:val="20"/>
                <w:szCs w:val="20"/>
                <w:color w:val="auto"/>
              </w:rPr>
            </w:pPr>
            <w:r>
              <w:rPr>
                <w:rFonts w:ascii="Arial" w:cs="Arial" w:eastAsia="Arial" w:hAnsi="Arial"/>
                <w:sz w:val="13"/>
                <w:szCs w:val="13"/>
                <w:color w:val="auto"/>
              </w:rPr>
              <w:t>Balance, December 31, 2021</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12,608</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(2,233 )</w:t>
            </w: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8,199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(3,570 )</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282</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15,286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income</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3,441</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w:t>
            </w:r>
          </w:p>
        </w:tc>
        <w:tc>
          <w:tcPr>
            <w:tcW w:w="200" w:type="dxa"/>
            <w:vAlign w:val="bottom"/>
            <w:tcBorders>
              <w:lef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3,492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200"/>
              <w:spacing w:after="0"/>
              <w:rPr>
                <w:sz w:val="20"/>
                <w:szCs w:val="20"/>
                <w:color w:val="auto"/>
              </w:rPr>
            </w:pPr>
            <w:r>
              <w:rPr>
                <w:rFonts w:ascii="Arial" w:cs="Arial" w:eastAsia="Arial" w:hAnsi="Arial"/>
                <w:sz w:val="13"/>
                <w:szCs w:val="13"/>
                <w:color w:val="auto"/>
              </w:rPr>
              <w:t>Currency translation adjustments</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(26 )</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(26 )</w:t>
            </w: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Changes in fair value of cash flow hedges</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(31 )</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(31 )</w:t>
            </w:r>
          </w:p>
        </w:tc>
        <w:tc>
          <w:tcPr>
            <w:tcW w:w="0" w:type="dxa"/>
            <w:vAlign w:val="bottom"/>
          </w:tcPr>
          <w:p>
            <w:pPr>
              <w:spacing w:after="0"/>
              <w:rPr>
                <w:sz w:val="1"/>
                <w:szCs w:val="1"/>
                <w:color w:val="auto"/>
              </w:rPr>
            </w:pPr>
          </w:p>
        </w:tc>
      </w:tr>
      <w:tr>
        <w:trPr>
          <w:trHeight w:val="162"/>
        </w:trPr>
        <w:tc>
          <w:tcPr>
            <w:tcW w:w="4660" w:type="dxa"/>
            <w:vAlign w:val="bottom"/>
          </w:tcPr>
          <w:p>
            <w:pPr>
              <w:ind w:left="200"/>
              <w:spacing w:after="0"/>
              <w:rPr>
                <w:sz w:val="20"/>
                <w:szCs w:val="20"/>
                <w:color w:val="auto"/>
              </w:rPr>
            </w:pPr>
            <w:r>
              <w:rPr>
                <w:rFonts w:ascii="Arial" w:cs="Arial" w:eastAsia="Arial" w:hAnsi="Arial"/>
                <w:sz w:val="13"/>
                <w:szCs w:val="13"/>
                <w:color w:val="auto"/>
              </w:rPr>
              <w:t>Pension and other postretirement benefit plans</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(229 )</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(229 )</w:t>
            </w: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Vesting of restricted stock, net of taxes withheld</w:t>
            </w:r>
          </w:p>
        </w:tc>
        <w:tc>
          <w:tcPr>
            <w:tcW w:w="1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(795 )</w:t>
            </w:r>
          </w:p>
        </w:tc>
        <w:tc>
          <w:tcPr>
            <w:tcW w:w="44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702</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(93 )</w:t>
            </w:r>
          </w:p>
        </w:tc>
        <w:tc>
          <w:tcPr>
            <w:tcW w:w="0" w:type="dxa"/>
            <w:vAlign w:val="bottom"/>
          </w:tcPr>
          <w:p>
            <w:pPr>
              <w:spacing w:after="0"/>
              <w:rPr>
                <w:sz w:val="1"/>
                <w:szCs w:val="1"/>
                <w:color w:val="auto"/>
              </w:rPr>
            </w:pPr>
          </w:p>
        </w:tc>
      </w:tr>
      <w:tr>
        <w:trPr>
          <w:trHeight w:val="162"/>
        </w:trPr>
        <w:tc>
          <w:tcPr>
            <w:tcW w:w="4660" w:type="dxa"/>
            <w:vAlign w:val="bottom"/>
          </w:tcPr>
          <w:p>
            <w:pPr>
              <w:ind w:left="200"/>
              <w:spacing w:after="0"/>
              <w:rPr>
                <w:sz w:val="20"/>
                <w:szCs w:val="20"/>
                <w:color w:val="auto"/>
              </w:rPr>
            </w:pPr>
            <w:r>
              <w:rPr>
                <w:rFonts w:ascii="Arial" w:cs="Arial" w:eastAsia="Arial" w:hAnsi="Arial"/>
                <w:sz w:val="13"/>
                <w:szCs w:val="13"/>
                <w:color w:val="auto"/>
              </w:rPr>
              <w:t>Employee stock purchase plan</w:t>
            </w:r>
          </w:p>
        </w:tc>
        <w:tc>
          <w:tcPr>
            <w:tcW w:w="16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(222 )</w:t>
            </w:r>
          </w:p>
        </w:tc>
        <w:tc>
          <w:tcPr>
            <w:tcW w:w="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364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 expense</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313</w:t>
            </w: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200"/>
              <w:spacing w:after="0"/>
              <w:rPr>
                <w:sz w:val="20"/>
                <w:szCs w:val="20"/>
                <w:color w:val="auto"/>
              </w:rPr>
            </w:pPr>
            <w:r>
              <w:rPr>
                <w:rFonts w:ascii="Arial" w:cs="Arial" w:eastAsia="Arial" w:hAnsi="Arial"/>
                <w:sz w:val="13"/>
                <w:szCs w:val="13"/>
                <w:color w:val="auto"/>
              </w:rPr>
              <w:t>Shares sold to optionees, less shares exchanged</w:t>
            </w:r>
          </w:p>
        </w:tc>
        <w:tc>
          <w:tcPr>
            <w:tcW w:w="16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(67 )</w:t>
            </w:r>
          </w:p>
        </w:tc>
        <w:tc>
          <w:tcPr>
            <w:tcW w:w="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148</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Dividends declared ($0.65 per share)</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(921 )</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(921 )</w:t>
            </w:r>
          </w:p>
        </w:tc>
        <w:tc>
          <w:tcPr>
            <w:tcW w:w="0" w:type="dxa"/>
            <w:vAlign w:val="bottom"/>
          </w:tcPr>
          <w:p>
            <w:pPr>
              <w:spacing w:after="0"/>
              <w:rPr>
                <w:sz w:val="1"/>
                <w:szCs w:val="1"/>
                <w:color w:val="auto"/>
              </w:rPr>
            </w:pPr>
          </w:p>
        </w:tc>
      </w:tr>
      <w:tr>
        <w:trPr>
          <w:trHeight w:val="162"/>
        </w:trPr>
        <w:tc>
          <w:tcPr>
            <w:tcW w:w="4660" w:type="dxa"/>
            <w:vAlign w:val="bottom"/>
          </w:tcPr>
          <w:p>
            <w:pPr>
              <w:ind w:left="200"/>
              <w:spacing w:after="0"/>
              <w:rPr>
                <w:sz w:val="20"/>
                <w:szCs w:val="20"/>
                <w:color w:val="auto"/>
              </w:rPr>
            </w:pPr>
            <w:r>
              <w:rPr>
                <w:rFonts w:ascii="Arial" w:cs="Arial" w:eastAsia="Arial" w:hAnsi="Arial"/>
                <w:sz w:val="13"/>
                <w:szCs w:val="13"/>
                <w:color w:val="auto"/>
              </w:rPr>
              <w:t>Other</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(29 )</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(25 )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December 31, 2022</w:t>
            </w: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11,837</w:t>
            </w: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(1,016 )</w:t>
            </w: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10,719</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(3,855 )</w:t>
            </w: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304</w:t>
            </w:r>
          </w:p>
        </w:tc>
        <w:tc>
          <w:tcPr>
            <w:tcW w:w="200" w:type="dxa"/>
            <w:vAlign w:val="bottom"/>
            <w:tcBorders>
              <w:lef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17,989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4,203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72</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4,275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Currency translation adjustments</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(113 )</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(113 )</w:t>
            </w:r>
          </w:p>
        </w:tc>
        <w:tc>
          <w:tcPr>
            <w:tcW w:w="0" w:type="dxa"/>
            <w:vAlign w:val="bottom"/>
          </w:tcPr>
          <w:p>
            <w:pPr>
              <w:spacing w:after="0"/>
              <w:rPr>
                <w:sz w:val="1"/>
                <w:szCs w:val="1"/>
                <w:color w:val="auto"/>
              </w:rPr>
            </w:pPr>
          </w:p>
        </w:tc>
      </w:tr>
      <w:tr>
        <w:trPr>
          <w:trHeight w:val="162"/>
        </w:trPr>
        <w:tc>
          <w:tcPr>
            <w:tcW w:w="4660" w:type="dxa"/>
            <w:vAlign w:val="bottom"/>
          </w:tcPr>
          <w:p>
            <w:pPr>
              <w:ind w:left="200"/>
              <w:spacing w:after="0"/>
              <w:rPr>
                <w:sz w:val="20"/>
                <w:szCs w:val="20"/>
                <w:color w:val="auto"/>
              </w:rPr>
            </w:pPr>
            <w:r>
              <w:rPr>
                <w:rFonts w:ascii="Arial" w:cs="Arial" w:eastAsia="Arial" w:hAnsi="Arial"/>
                <w:sz w:val="13"/>
                <w:szCs w:val="13"/>
                <w:color w:val="auto"/>
              </w:rPr>
              <w:t>Changes in fair value of cash flow hedges</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Pension and other postretirement benefit plans</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(414 )</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(414 )</w:t>
            </w:r>
          </w:p>
        </w:tc>
        <w:tc>
          <w:tcPr>
            <w:tcW w:w="0" w:type="dxa"/>
            <w:vAlign w:val="bottom"/>
          </w:tcPr>
          <w:p>
            <w:pPr>
              <w:spacing w:after="0"/>
              <w:rPr>
                <w:sz w:val="1"/>
                <w:szCs w:val="1"/>
                <w:color w:val="auto"/>
              </w:rPr>
            </w:pPr>
          </w:p>
        </w:tc>
      </w:tr>
      <w:tr>
        <w:trPr>
          <w:trHeight w:val="162"/>
        </w:trPr>
        <w:tc>
          <w:tcPr>
            <w:tcW w:w="4660" w:type="dxa"/>
            <w:vAlign w:val="bottom"/>
          </w:tcPr>
          <w:p>
            <w:pPr>
              <w:ind w:left="200"/>
              <w:spacing w:after="0"/>
              <w:rPr>
                <w:sz w:val="20"/>
                <w:szCs w:val="20"/>
                <w:color w:val="auto"/>
              </w:rPr>
            </w:pPr>
            <w:r>
              <w:rPr>
                <w:rFonts w:ascii="Arial" w:cs="Arial" w:eastAsia="Arial" w:hAnsi="Arial"/>
                <w:sz w:val="13"/>
                <w:szCs w:val="13"/>
                <w:color w:val="auto"/>
              </w:rPr>
              <w:t>Vesting of restricted stock, net of taxes withheld</w:t>
            </w:r>
          </w:p>
        </w:tc>
        <w:tc>
          <w:tcPr>
            <w:tcW w:w="16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(702 )</w:t>
            </w:r>
          </w:p>
        </w:tc>
        <w:tc>
          <w:tcPr>
            <w:tcW w:w="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533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(169 )</w:t>
            </w: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Employee stock purchase plan</w:t>
            </w:r>
          </w:p>
        </w:tc>
        <w:tc>
          <w:tcPr>
            <w:tcW w:w="1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(162 )</w:t>
            </w:r>
          </w:p>
        </w:tc>
        <w:tc>
          <w:tcPr>
            <w:tcW w:w="44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353</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200"/>
              <w:spacing w:after="0"/>
              <w:rPr>
                <w:sz w:val="20"/>
                <w:szCs w:val="20"/>
                <w:color w:val="auto"/>
              </w:rPr>
            </w:pPr>
            <w:r>
              <w:rPr>
                <w:rFonts w:ascii="Arial" w:cs="Arial" w:eastAsia="Arial" w:hAnsi="Arial"/>
                <w:sz w:val="13"/>
                <w:szCs w:val="13"/>
                <w:color w:val="auto"/>
              </w:rPr>
              <w:t>Stock repurchase program</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(694 )</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(694 )</w:t>
            </w: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 expense</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293</w:t>
            </w: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200"/>
              <w:spacing w:after="0"/>
              <w:rPr>
                <w:sz w:val="20"/>
                <w:szCs w:val="20"/>
                <w:color w:val="auto"/>
              </w:rPr>
            </w:pPr>
            <w:r>
              <w:rPr>
                <w:rFonts w:ascii="Arial" w:cs="Arial" w:eastAsia="Arial" w:hAnsi="Arial"/>
                <w:sz w:val="13"/>
                <w:szCs w:val="13"/>
                <w:color w:val="auto"/>
              </w:rPr>
              <w:t>Shares sold to optionees, less shares exchanged</w:t>
            </w:r>
          </w:p>
        </w:tc>
        <w:tc>
          <w:tcPr>
            <w:tcW w:w="16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(53 )</w:t>
            </w:r>
          </w:p>
        </w:tc>
        <w:tc>
          <w:tcPr>
            <w:tcW w:w="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143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Dividends declared ($1.00 per share)</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(1,425 )</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(1,425 )</w:t>
            </w:r>
          </w:p>
        </w:tc>
        <w:tc>
          <w:tcPr>
            <w:tcW w:w="0" w:type="dxa"/>
            <w:vAlign w:val="bottom"/>
          </w:tcPr>
          <w:p>
            <w:pPr>
              <w:spacing w:after="0"/>
              <w:rPr>
                <w:sz w:val="1"/>
                <w:szCs w:val="1"/>
                <w:color w:val="auto"/>
              </w:rPr>
            </w:pPr>
          </w:p>
        </w:tc>
      </w:tr>
      <w:tr>
        <w:trPr>
          <w:trHeight w:val="162"/>
        </w:trPr>
        <w:tc>
          <w:tcPr>
            <w:tcW w:w="4660" w:type="dxa"/>
            <w:vAlign w:val="bottom"/>
          </w:tcPr>
          <w:p>
            <w:pPr>
              <w:ind w:left="200"/>
              <w:spacing w:after="0"/>
              <w:rPr>
                <w:sz w:val="20"/>
                <w:szCs w:val="20"/>
                <w:color w:val="auto"/>
              </w:rPr>
            </w:pPr>
            <w:r>
              <w:rPr>
                <w:rFonts w:ascii="Arial" w:cs="Arial" w:eastAsia="Arial" w:hAnsi="Arial"/>
                <w:sz w:val="13"/>
                <w:szCs w:val="13"/>
                <w:color w:val="auto"/>
              </w:rPr>
              <w:t>Acquisition of Aker Subsea</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413</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841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Other</w:t>
            </w:r>
          </w:p>
        </w:tc>
        <w:tc>
          <w:tcPr>
            <w:tcW w:w="1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(2 )</w:t>
            </w:r>
          </w:p>
        </w:tc>
        <w:tc>
          <w:tcPr>
            <w:tcW w:w="44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(30 )</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(47 )</w:t>
            </w:r>
          </w:p>
        </w:tc>
        <w:tc>
          <w:tcPr>
            <w:tcW w:w="200" w:type="dxa"/>
            <w:vAlign w:val="bottom"/>
            <w:tcBorders>
              <w:lef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(76 )</w:t>
            </w: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lef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60" w:type="dxa"/>
            <w:vAlign w:val="bottom"/>
          </w:tcPr>
          <w:p>
            <w:pPr>
              <w:ind w:left="20"/>
              <w:spacing w:after="0" w:line="142" w:lineRule="exact"/>
              <w:rPr>
                <w:sz w:val="20"/>
                <w:szCs w:val="20"/>
                <w:color w:val="auto"/>
              </w:rPr>
            </w:pPr>
            <w:r>
              <w:rPr>
                <w:rFonts w:ascii="Arial" w:cs="Arial" w:eastAsia="Arial" w:hAnsi="Arial"/>
                <w:sz w:val="13"/>
                <w:szCs w:val="13"/>
                <w:color w:val="auto"/>
              </w:rPr>
              <w:t>Balance, December 31, 2023</w:t>
            </w:r>
          </w:p>
        </w:tc>
        <w:tc>
          <w:tcPr>
            <w:tcW w:w="160" w:type="dxa"/>
            <w:vAlign w:val="bottom"/>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11,624</w:t>
            </w:r>
          </w:p>
        </w:tc>
        <w:tc>
          <w:tcPr>
            <w:tcW w:w="240" w:type="dxa"/>
            <w:vAlign w:val="bottom"/>
          </w:tcPr>
          <w:p>
            <w:pPr>
              <w:spacing w:after="0"/>
              <w:rPr>
                <w:sz w:val="13"/>
                <w:szCs w:val="13"/>
                <w:color w:val="auto"/>
              </w:rPr>
            </w:pPr>
          </w:p>
        </w:tc>
        <w:tc>
          <w:tcPr>
            <w:tcW w:w="440" w:type="dxa"/>
            <w:vAlign w:val="bottom"/>
          </w:tcPr>
          <w:p>
            <w:pPr>
              <w:jc w:val="right"/>
              <w:ind w:right="297"/>
              <w:spacing w:after="0" w:line="142" w:lineRule="exact"/>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(678 )</w:t>
            </w:r>
          </w:p>
        </w:tc>
        <w:tc>
          <w:tcPr>
            <w:tcW w:w="1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13,497</w:t>
            </w:r>
          </w:p>
        </w:tc>
        <w:tc>
          <w:tcPr>
            <w:tcW w:w="220" w:type="dxa"/>
            <w:vAlign w:val="bottom"/>
          </w:tcPr>
          <w:p>
            <w:pPr>
              <w:spacing w:after="0"/>
              <w:rPr>
                <w:sz w:val="13"/>
                <w:szCs w:val="13"/>
                <w:color w:val="auto"/>
              </w:rPr>
            </w:pPr>
          </w:p>
        </w:tc>
        <w:tc>
          <w:tcPr>
            <w:tcW w:w="180" w:type="dxa"/>
            <w:vAlign w:val="bottom"/>
          </w:tcPr>
          <w:p>
            <w:pPr>
              <w:jc w:val="right"/>
              <w:ind w:right="37"/>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(4,254 )</w:t>
            </w:r>
          </w:p>
        </w:tc>
        <w:tc>
          <w:tcPr>
            <w:tcW w:w="120" w:type="dxa"/>
            <w:vAlign w:val="bottom"/>
          </w:tcPr>
          <w:p>
            <w:pPr>
              <w:spacing w:after="0" w:line="142"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1,170</w:t>
            </w:r>
          </w:p>
        </w:tc>
        <w:tc>
          <w:tcPr>
            <w:tcW w:w="40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21,359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-2622550</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-2622550</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-2622550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-2622550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-2622550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-2622550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-136525</wp:posOffset>
            </wp:positionV>
            <wp:extent cx="768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-136525</wp:posOffset>
            </wp:positionV>
            <wp:extent cx="774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-136525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-136525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-136525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the Notes to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jc w:val="center"/>
        <w:ind w:right="40"/>
        <w:spacing w:after="0"/>
        <w:rPr>
          <w:sz w:val="20"/>
          <w:szCs w:val="20"/>
          <w:color w:val="auto"/>
        </w:rPr>
      </w:pPr>
      <w:r>
        <w:rPr>
          <w:rFonts w:ascii="Arial" w:cs="Arial" w:eastAsia="Arial" w:hAnsi="Arial"/>
          <w:sz w:val="16"/>
          <w:szCs w:val="16"/>
          <w:b w:val="1"/>
          <w:bCs w:val="1"/>
          <w:color w:val="auto"/>
        </w:rPr>
        <w:t>SCHLUMBERGER LIMITED AND SUBSIDIARIES</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SHARES OF COMMON STOCK</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99"/>
        </w:trPr>
        <w:tc>
          <w:tcPr>
            <w:tcW w:w="6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Shares</w:t>
            </w:r>
          </w:p>
        </w:tc>
      </w:tr>
      <w:tr>
        <w:trPr>
          <w:trHeight w:val="217"/>
        </w:trPr>
        <w:tc>
          <w:tcPr>
            <w:tcW w:w="6520" w:type="dxa"/>
            <w:vAlign w:val="bottom"/>
          </w:tcPr>
          <w:p>
            <w:pPr>
              <w:spacing w:after="0"/>
              <w:rPr>
                <w:sz w:val="18"/>
                <w:szCs w:val="18"/>
                <w:color w:val="auto"/>
              </w:rPr>
            </w:pPr>
          </w:p>
        </w:tc>
        <w:tc>
          <w:tcPr>
            <w:tcW w:w="96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w w:val="98"/>
              </w:rPr>
              <w:t>Issued</w:t>
            </w:r>
          </w:p>
        </w:tc>
        <w:tc>
          <w:tcPr>
            <w:tcW w:w="4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w w:val="99"/>
              </w:rPr>
              <w:t>In Treasury</w:t>
            </w:r>
          </w:p>
        </w:tc>
        <w:tc>
          <w:tcPr>
            <w:tcW w:w="2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Outstanding</w:t>
            </w:r>
          </w:p>
        </w:tc>
        <w:tc>
          <w:tcPr>
            <w:tcW w:w="100" w:type="dxa"/>
            <w:vAlign w:val="bottom"/>
          </w:tcPr>
          <w:p>
            <w:pPr>
              <w:spacing w:after="0"/>
              <w:rPr>
                <w:sz w:val="18"/>
                <w:szCs w:val="18"/>
                <w:color w:val="auto"/>
              </w:rPr>
            </w:pPr>
          </w:p>
        </w:tc>
      </w:tr>
      <w:tr>
        <w:trPr>
          <w:trHeight w:val="209"/>
        </w:trPr>
        <w:tc>
          <w:tcPr>
            <w:tcW w:w="74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Balance, January 1, 2021</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1,434</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w w:val="91"/>
              </w:rPr>
              <w:t>(42 )</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1,392</w:t>
            </w:r>
          </w:p>
        </w:tc>
        <w:tc>
          <w:tcPr>
            <w:tcW w:w="100" w:type="dxa"/>
            <w:vAlign w:val="bottom"/>
            <w:shd w:val="clear" w:color="auto" w:fill="CFF0FC"/>
          </w:tcPr>
          <w:p>
            <w:pPr>
              <w:spacing w:after="0"/>
              <w:rPr>
                <w:sz w:val="18"/>
                <w:szCs w:val="18"/>
                <w:color w:val="auto"/>
              </w:rPr>
            </w:pPr>
          </w:p>
        </w:tc>
      </w:tr>
      <w:tr>
        <w:trPr>
          <w:trHeight w:val="215"/>
        </w:trPr>
        <w:tc>
          <w:tcPr>
            <w:tcW w:w="7480" w:type="dxa"/>
            <w:vAlign w:val="bottom"/>
            <w:gridSpan w:val="2"/>
          </w:tcPr>
          <w:p>
            <w:pPr>
              <w:ind w:left="200"/>
              <w:spacing w:after="0"/>
              <w:rPr>
                <w:sz w:val="20"/>
                <w:szCs w:val="20"/>
                <w:color w:val="auto"/>
              </w:rPr>
            </w:pPr>
            <w:r>
              <w:rPr>
                <w:rFonts w:ascii="Arial" w:cs="Arial" w:eastAsia="Arial" w:hAnsi="Arial"/>
                <w:sz w:val="16"/>
                <w:szCs w:val="16"/>
                <w:color w:val="auto"/>
              </w:rPr>
              <w:t>Employee stock purchase plan</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r>
      <w:tr>
        <w:trPr>
          <w:trHeight w:val="217"/>
        </w:trPr>
        <w:tc>
          <w:tcPr>
            <w:tcW w:w="65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Vesting of restricted stock, net of taxes withheld</w:t>
            </w:r>
          </w:p>
        </w:tc>
        <w:tc>
          <w:tcPr>
            <w:tcW w:w="9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Balance, December 31, 2021</w:t>
            </w:r>
          </w:p>
        </w:tc>
        <w:tc>
          <w:tcPr>
            <w:tcW w:w="440" w:type="dxa"/>
            <w:vAlign w:val="bottom"/>
          </w:tcPr>
          <w:p>
            <w:pPr>
              <w:jc w:val="right"/>
              <w:spacing w:after="0"/>
              <w:rPr>
                <w:sz w:val="20"/>
                <w:szCs w:val="20"/>
                <w:color w:val="auto"/>
              </w:rPr>
            </w:pPr>
            <w:r>
              <w:rPr>
                <w:rFonts w:ascii="Arial" w:cs="Arial" w:eastAsia="Arial" w:hAnsi="Arial"/>
                <w:sz w:val="16"/>
                <w:szCs w:val="16"/>
                <w:color w:val="auto"/>
                <w:w w:val="99"/>
              </w:rPr>
              <w:t>1,434</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w w:val="91"/>
              </w:rPr>
              <w:t>(31 )</w:t>
            </w:r>
          </w:p>
        </w:tc>
        <w:tc>
          <w:tcPr>
            <w:tcW w:w="1400" w:type="dxa"/>
            <w:vAlign w:val="bottom"/>
          </w:tcPr>
          <w:p>
            <w:pPr>
              <w:jc w:val="right"/>
              <w:spacing w:after="0"/>
              <w:rPr>
                <w:sz w:val="20"/>
                <w:szCs w:val="20"/>
                <w:color w:val="auto"/>
              </w:rPr>
            </w:pPr>
            <w:r>
              <w:rPr>
                <w:rFonts w:ascii="Arial" w:cs="Arial" w:eastAsia="Arial" w:hAnsi="Arial"/>
                <w:sz w:val="16"/>
                <w:szCs w:val="16"/>
                <w:color w:val="auto"/>
              </w:rPr>
              <w:t>1,403</w:t>
            </w:r>
          </w:p>
        </w:tc>
        <w:tc>
          <w:tcPr>
            <w:tcW w:w="100" w:type="dxa"/>
            <w:vAlign w:val="bottom"/>
          </w:tcPr>
          <w:p>
            <w:pPr>
              <w:spacing w:after="0"/>
              <w:rPr>
                <w:sz w:val="18"/>
                <w:szCs w:val="18"/>
                <w:color w:val="auto"/>
              </w:rPr>
            </w:pPr>
          </w:p>
        </w:tc>
      </w:tr>
      <w:tr>
        <w:trPr>
          <w:trHeight w:val="217"/>
        </w:trPr>
        <w:tc>
          <w:tcPr>
            <w:tcW w:w="74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Employee stock purchase plan</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18"/>
                <w:szCs w:val="18"/>
                <w:color w:val="auto"/>
              </w:rPr>
            </w:pPr>
          </w:p>
        </w:tc>
      </w:tr>
      <w:tr>
        <w:trPr>
          <w:trHeight w:val="215"/>
        </w:trPr>
        <w:tc>
          <w:tcPr>
            <w:tcW w:w="7480" w:type="dxa"/>
            <w:vAlign w:val="bottom"/>
            <w:gridSpan w:val="2"/>
          </w:tcPr>
          <w:p>
            <w:pPr>
              <w:ind w:left="200"/>
              <w:spacing w:after="0"/>
              <w:rPr>
                <w:sz w:val="20"/>
                <w:szCs w:val="20"/>
                <w:color w:val="auto"/>
              </w:rPr>
            </w:pPr>
            <w:r>
              <w:rPr>
                <w:rFonts w:ascii="Arial" w:cs="Arial" w:eastAsia="Arial" w:hAnsi="Arial"/>
                <w:sz w:val="16"/>
                <w:szCs w:val="16"/>
                <w:color w:val="auto"/>
              </w:rPr>
              <w:t>Vesting of restricted stock, net of taxes withheld</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r>
      <w:tr>
        <w:trPr>
          <w:trHeight w:val="217"/>
        </w:trPr>
        <w:tc>
          <w:tcPr>
            <w:tcW w:w="65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Shares sold to optionees, less shares exchanged</w:t>
            </w:r>
          </w:p>
        </w:tc>
        <w:tc>
          <w:tcPr>
            <w:tcW w:w="9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Balance, December 31, 2022</w:t>
            </w:r>
          </w:p>
        </w:tc>
        <w:tc>
          <w:tcPr>
            <w:tcW w:w="440" w:type="dxa"/>
            <w:vAlign w:val="bottom"/>
          </w:tcPr>
          <w:p>
            <w:pPr>
              <w:jc w:val="right"/>
              <w:spacing w:after="0"/>
              <w:rPr>
                <w:sz w:val="20"/>
                <w:szCs w:val="20"/>
                <w:color w:val="auto"/>
              </w:rPr>
            </w:pPr>
            <w:r>
              <w:rPr>
                <w:rFonts w:ascii="Arial" w:cs="Arial" w:eastAsia="Arial" w:hAnsi="Arial"/>
                <w:sz w:val="16"/>
                <w:szCs w:val="16"/>
                <w:color w:val="auto"/>
                <w:w w:val="99"/>
              </w:rPr>
              <w:t>1,434</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w w:val="91"/>
              </w:rPr>
              <w:t>(14 )</w:t>
            </w:r>
          </w:p>
        </w:tc>
        <w:tc>
          <w:tcPr>
            <w:tcW w:w="1400" w:type="dxa"/>
            <w:vAlign w:val="bottom"/>
          </w:tcPr>
          <w:p>
            <w:pPr>
              <w:jc w:val="right"/>
              <w:spacing w:after="0"/>
              <w:rPr>
                <w:sz w:val="20"/>
                <w:szCs w:val="20"/>
                <w:color w:val="auto"/>
              </w:rPr>
            </w:pPr>
            <w:r>
              <w:rPr>
                <w:rFonts w:ascii="Arial" w:cs="Arial" w:eastAsia="Arial" w:hAnsi="Arial"/>
                <w:sz w:val="16"/>
                <w:szCs w:val="16"/>
                <w:color w:val="auto"/>
              </w:rPr>
              <w:t>1,420</w:t>
            </w:r>
          </w:p>
        </w:tc>
        <w:tc>
          <w:tcPr>
            <w:tcW w:w="100" w:type="dxa"/>
            <w:vAlign w:val="bottom"/>
          </w:tcPr>
          <w:p>
            <w:pPr>
              <w:spacing w:after="0"/>
              <w:rPr>
                <w:sz w:val="18"/>
                <w:szCs w:val="18"/>
                <w:color w:val="auto"/>
              </w:rPr>
            </w:pPr>
          </w:p>
        </w:tc>
      </w:tr>
      <w:tr>
        <w:trPr>
          <w:trHeight w:val="217"/>
        </w:trPr>
        <w:tc>
          <w:tcPr>
            <w:tcW w:w="74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Employee stock purchase plan</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18"/>
                <w:szCs w:val="18"/>
                <w:color w:val="auto"/>
              </w:rPr>
            </w:pPr>
          </w:p>
        </w:tc>
      </w:tr>
      <w:tr>
        <w:trPr>
          <w:trHeight w:val="215"/>
        </w:trPr>
        <w:tc>
          <w:tcPr>
            <w:tcW w:w="7480" w:type="dxa"/>
            <w:vAlign w:val="bottom"/>
            <w:gridSpan w:val="2"/>
          </w:tcPr>
          <w:p>
            <w:pPr>
              <w:ind w:left="200"/>
              <w:spacing w:after="0"/>
              <w:rPr>
                <w:sz w:val="20"/>
                <w:szCs w:val="20"/>
                <w:color w:val="auto"/>
              </w:rPr>
            </w:pPr>
            <w:r>
              <w:rPr>
                <w:rFonts w:ascii="Arial" w:cs="Arial" w:eastAsia="Arial" w:hAnsi="Arial"/>
                <w:sz w:val="16"/>
                <w:szCs w:val="16"/>
                <w:color w:val="auto"/>
              </w:rPr>
              <w:t>Vesting of restricted stock, net of taxes withheld</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r>
      <w:tr>
        <w:trPr>
          <w:trHeight w:val="217"/>
        </w:trPr>
        <w:tc>
          <w:tcPr>
            <w:tcW w:w="74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Shares sold to optionees, less shares exchanged</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8"/>
                <w:szCs w:val="18"/>
                <w:color w:val="auto"/>
              </w:rPr>
            </w:pPr>
          </w:p>
        </w:tc>
      </w:tr>
      <w:tr>
        <w:trPr>
          <w:trHeight w:val="215"/>
        </w:trPr>
        <w:tc>
          <w:tcPr>
            <w:tcW w:w="7480" w:type="dxa"/>
            <w:vAlign w:val="bottom"/>
            <w:gridSpan w:val="2"/>
          </w:tcPr>
          <w:p>
            <w:pPr>
              <w:ind w:left="200"/>
              <w:spacing w:after="0"/>
              <w:rPr>
                <w:sz w:val="20"/>
                <w:szCs w:val="20"/>
                <w:color w:val="auto"/>
              </w:rPr>
            </w:pPr>
            <w:r>
              <w:rPr>
                <w:rFonts w:ascii="Arial" w:cs="Arial" w:eastAsia="Arial" w:hAnsi="Arial"/>
                <w:sz w:val="16"/>
                <w:szCs w:val="16"/>
                <w:color w:val="auto"/>
              </w:rPr>
              <w:t>Stock repurchase program</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w w:val="91"/>
              </w:rPr>
              <w:t>(13 )</w:t>
            </w:r>
          </w:p>
        </w:tc>
        <w:tc>
          <w:tcPr>
            <w:tcW w:w="1500" w:type="dxa"/>
            <w:vAlign w:val="bottom"/>
            <w:gridSpan w:val="2"/>
          </w:tcPr>
          <w:p>
            <w:pPr>
              <w:jc w:val="right"/>
              <w:ind w:right="40"/>
              <w:spacing w:after="0"/>
              <w:rPr>
                <w:sz w:val="20"/>
                <w:szCs w:val="20"/>
                <w:color w:val="auto"/>
              </w:rPr>
            </w:pPr>
            <w:r>
              <w:rPr>
                <w:rFonts w:ascii="Arial" w:cs="Arial" w:eastAsia="Arial" w:hAnsi="Arial"/>
                <w:sz w:val="16"/>
                <w:szCs w:val="16"/>
                <w:color w:val="auto"/>
              </w:rPr>
              <w:t>(13 )</w:t>
            </w:r>
          </w:p>
        </w:tc>
      </w:tr>
      <w:tr>
        <w:trPr>
          <w:trHeight w:val="217"/>
        </w:trPr>
        <w:tc>
          <w:tcPr>
            <w:tcW w:w="65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Acquisition of Aker Subsea</w:t>
            </w:r>
          </w:p>
        </w:tc>
        <w:tc>
          <w:tcPr>
            <w:tcW w:w="9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Balance, December 31, 2023</w:t>
            </w:r>
          </w:p>
        </w:tc>
        <w:tc>
          <w:tcPr>
            <w:tcW w:w="440" w:type="dxa"/>
            <w:vAlign w:val="bottom"/>
          </w:tcPr>
          <w:p>
            <w:pPr>
              <w:jc w:val="right"/>
              <w:spacing w:after="0"/>
              <w:rPr>
                <w:sz w:val="20"/>
                <w:szCs w:val="20"/>
                <w:color w:val="auto"/>
              </w:rPr>
            </w:pPr>
            <w:r>
              <w:rPr>
                <w:rFonts w:ascii="Arial" w:cs="Arial" w:eastAsia="Arial" w:hAnsi="Arial"/>
                <w:sz w:val="16"/>
                <w:szCs w:val="16"/>
                <w:color w:val="auto"/>
                <w:w w:val="99"/>
              </w:rPr>
              <w:t>1,439</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w w:val="91"/>
              </w:rPr>
              <w:t>(12 )</w:t>
            </w:r>
          </w:p>
        </w:tc>
        <w:tc>
          <w:tcPr>
            <w:tcW w:w="1400" w:type="dxa"/>
            <w:vAlign w:val="bottom"/>
          </w:tcPr>
          <w:p>
            <w:pPr>
              <w:jc w:val="right"/>
              <w:spacing w:after="0"/>
              <w:rPr>
                <w:sz w:val="20"/>
                <w:szCs w:val="20"/>
                <w:color w:val="auto"/>
              </w:rPr>
            </w:pPr>
            <w:r>
              <w:rPr>
                <w:rFonts w:ascii="Arial" w:cs="Arial" w:eastAsia="Arial" w:hAnsi="Arial"/>
                <w:sz w:val="16"/>
                <w:szCs w:val="16"/>
                <w:color w:val="auto"/>
              </w:rPr>
              <w:t>1,427</w:t>
            </w:r>
          </w:p>
        </w:tc>
        <w:tc>
          <w:tcPr>
            <w:tcW w:w="10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-1559560</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-1559560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-1002030</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-1002030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-170815</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the Notes to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jc w:val="center"/>
        <w:ind w:right="40"/>
        <w:spacing w:after="0"/>
        <w:rPr>
          <w:sz w:val="20"/>
          <w:szCs w:val="20"/>
          <w:color w:val="auto"/>
        </w:rPr>
      </w:pPr>
      <w:r>
        <w:rPr>
          <w:rFonts w:ascii="Arial" w:cs="Arial" w:eastAsia="Arial" w:hAnsi="Arial"/>
          <w:sz w:val="16"/>
          <w:szCs w:val="16"/>
          <w:b w:val="1"/>
          <w:bCs w:val="1"/>
          <w:u w:val="single" w:color="auto"/>
          <w:color w:val="auto"/>
        </w:rPr>
        <w:t>Notes to Consolidated Financial Statements</w:t>
      </w:r>
    </w:p>
    <w:p>
      <w:pPr>
        <w:spacing w:after="0" w:line="194" w:lineRule="exact"/>
        <w:rPr>
          <w:sz w:val="20"/>
          <w:szCs w:val="20"/>
          <w:color w:val="auto"/>
        </w:rPr>
      </w:pPr>
    </w:p>
    <w:p>
      <w:pPr>
        <w:ind w:left="240" w:hanging="232"/>
        <w:spacing w:after="0"/>
        <w:tabs>
          <w:tab w:leader="none" w:pos="24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Business Description</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Schlumberger Limited (Schlumberger N.V., incorporated in Curaçao) and its consolidated subsidiaries (collectively, “SLB”) form a global technology company that drives energy innovation for a balanced planet. With a global footprint in more than 100 countries and employees representing almost twice as many nationalities, SLB works each day on innovating energy technology, delivering digital at scale, decarbonizing industries, and developing and scaling new energy systems that accelerate the energy transition.</w:t>
      </w:r>
    </w:p>
    <w:p>
      <w:pPr>
        <w:spacing w:after="0" w:line="178" w:lineRule="exact"/>
        <w:rPr>
          <w:sz w:val="20"/>
          <w:szCs w:val="20"/>
          <w:color w:val="auto"/>
        </w:rPr>
      </w:pPr>
    </w:p>
    <w:p>
      <w:pPr>
        <w:ind w:left="240" w:hanging="232"/>
        <w:spacing w:after="0"/>
        <w:tabs>
          <w:tab w:leader="none" w:pos="24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Summary of Accounting Policies</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of SLB have been prepared in accordance with accounting principles generally accepted in the United States of America.</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preparation of financial statements requires management to make estimates and assumptions that affect the reported amounts of assets and liabilities, the disclosure of contingent liabilities at the date of the financial statements and the reported amounts of revenue and expenses during the reporting period. On an ongoing basis, SLB evaluates its estimates, including those related to collectibility of accounts receivable; revenue recognized for certain long-term construction-type contracts over time; recoverability of fixed assets, goodwill, intangible assets, Asset Performance Solutions investments, and investments in affiliates; income taxes; exploration data; contingencies and actuarial assumptions for employee benefit plans. SLB bases its estimates on historical experience and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 recognizes revenue upon the transfer of control of promised products or services to customers at an amount that reflects the consideration it expects to receive in exchange for these products or services. The vast majority of SLB’s services and product offerings are short-term in nature. The time between invoicing and when payment is due under these arrangements is generally between 30 to 60 days.</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Revenue is recognized for certain long-term construction-type contracts over time. These contracts involve significant design and engineering efforts in order to satisfy custom designs for customer-specific applications. Revenue is recognized as work progresses on each contract. Progress is measured by the ratio of actual costs incurred to date on the project in relation to total estimated project costs. The estimate of total project costs has a significant impact on both the amount of revenue recognized as well as the related profit on a project. Revenue and profits on contracts can also be significantly affected by change orders and claims. Due to the nature of these projects, adjustments to estimates of contract revenue and total contract costs may be required as work progresses. Progress billings are generally issued upon completion of certain phases of work as stipulated in the contract. Any expected losses on a project are recorded in full in the period in which they become probable.</w:t>
      </w:r>
    </w:p>
    <w:p>
      <w:pPr>
        <w:spacing w:after="0" w:line="15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Due to the nature of its businesses, SLB does not have significant backlog. Total backlog was $5.9 billion at December 31, 2023, of which approximately 60% is expected to be recognized as revenue during 2024.</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Short-term Investments</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Short-term investments </w:t>
      </w:r>
      <w:r>
        <w:rPr>
          <w:rFonts w:ascii="Arial" w:cs="Arial" w:eastAsia="Arial" w:hAnsi="Arial"/>
          <w:sz w:val="16"/>
          <w:szCs w:val="16"/>
          <w:color w:val="auto"/>
        </w:rPr>
        <w:t>are comprised primarily of money market funds, time deposits, certificates of deposit, commercial paper, bonds, and notes,</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all of which are denominated in US dollars and are stated at cost plus accrued interest, which approximates fair value.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purposes of the </w:t>
      </w:r>
      <w:r>
        <w:rPr>
          <w:rFonts w:ascii="Arial" w:cs="Arial" w:eastAsia="Arial" w:hAnsi="Arial"/>
          <w:sz w:val="16"/>
          <w:szCs w:val="16"/>
          <w:i w:val="1"/>
          <w:iCs w:val="1"/>
          <w:color w:val="auto"/>
        </w:rPr>
        <w:t>Consolidated Statement of Cash Flows</w:t>
      </w:r>
      <w:r>
        <w:rPr>
          <w:rFonts w:ascii="Arial" w:cs="Arial" w:eastAsia="Arial" w:hAnsi="Arial"/>
          <w:sz w:val="16"/>
          <w:szCs w:val="16"/>
          <w:color w:val="auto"/>
        </w:rPr>
        <w:t xml:space="preserve">, SLB does not consider </w:t>
      </w:r>
      <w:r>
        <w:rPr>
          <w:rFonts w:ascii="Arial" w:cs="Arial" w:eastAsia="Arial" w:hAnsi="Arial"/>
          <w:sz w:val="16"/>
          <w:szCs w:val="16"/>
          <w:i w:val="1"/>
          <w:iCs w:val="1"/>
          <w:color w:val="auto"/>
        </w:rPr>
        <w:t>Short-term investments</w:t>
      </w:r>
      <w:r>
        <w:rPr>
          <w:rFonts w:ascii="Arial" w:cs="Arial" w:eastAsia="Arial" w:hAnsi="Arial"/>
          <w:sz w:val="16"/>
          <w:szCs w:val="16"/>
          <w:color w:val="auto"/>
        </w:rPr>
        <w:t xml:space="preserve"> to be cash equivalents.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Investments in Affiliated Companies</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Investments in companies in which SLB does not have a controlling financial interest, but over which it has significant influence, are accounted for using the equity method. SLB’s share of the after-tax earnings of equity method investees is included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Investments in privately held companies in which SLB does not have the ability to exercise significant influence are accounted for using the cost method. Investments in publicly traded companies in which SLB does not have the ability to exercise significant influence are reported at fair value, with unrealized gains and losses reported as a component of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Exploration Data</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SLB’s exploration data library consists of completed and in-process seismic surveys that are licensed on a nonexclusive basis. SLB capitalizes costs directly incurred in acquiring and processing the exploration data. Such costs are charged to </w:t>
      </w:r>
      <w:r>
        <w:rPr>
          <w:rFonts w:ascii="Arial" w:cs="Arial" w:eastAsia="Arial" w:hAnsi="Arial"/>
          <w:sz w:val="16"/>
          <w:szCs w:val="16"/>
          <w:i w:val="1"/>
          <w:iCs w:val="1"/>
          <w:color w:val="auto"/>
        </w:rPr>
        <w:t>Cost of services</w:t>
      </w:r>
      <w:r>
        <w:rPr>
          <w:rFonts w:ascii="Arial" w:cs="Arial" w:eastAsia="Arial" w:hAnsi="Arial"/>
          <w:sz w:val="16"/>
          <w:szCs w:val="16"/>
          <w:color w:val="auto"/>
        </w:rPr>
        <w:t xml:space="preserve"> based on the percentage of the total costs to the estimated total revenue that SLB expects to receive from the sales of such data. However, an individual survey generally will not carry a net book value greater than a 4-year, straight-line amortized value.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jc w:val="both"/>
        <w:spacing w:after="0" w:line="259" w:lineRule="auto"/>
        <w:rPr>
          <w:sz w:val="20"/>
          <w:szCs w:val="20"/>
          <w:color w:val="auto"/>
        </w:rPr>
      </w:pPr>
      <w:r>
        <w:rPr>
          <w:rFonts w:ascii="Arial" w:cs="Arial" w:eastAsia="Arial" w:hAnsi="Arial"/>
          <w:sz w:val="16"/>
          <w:szCs w:val="16"/>
          <w:color w:val="auto"/>
        </w:rPr>
        <w:t>The carrying value of the exploration data library is reviewed for impairment annually as well as when an event or change in circumstance indicating impairment may have occurred. Adjustments to the carrying value are recorded when it is determined that estimated future cash flows, which involve significant judgment on the part of SLB, would not be sufficient to recover the carrying value of the surveys. Significant adverse changes in SLB’s estimated future cash flows could result in impairment charges in a future period.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Asset Performance Solutions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Asset Performance Solutions (“APS”) projects are generally focused on developing and co-managing production of customers’ assets under long-term agreements. SLB invests its own services and products into the field development activities and operations and is compensated on a fee-per-barrel basis or based on cash flow generated. This includes certain arrangements whereby SLB is only compensated based on incremental production that it helps deliver above a mutually agreed baseline.</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SLB capitalizes its investments in a project including the direct costs associated with providing its services or products. These capitalized investments are amortized to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as the related production is achieved based on the units of production method, whereby each unit produced is assigned a pro-rata portion of the unamortized costs based on estimated total production, resulting in a matching of revenue with the applicable costs.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 of Credit Risk</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SLB’s assets that are exposed to concentrations of credit risk consist primarily of cash, short-term investments, receivables from clients, and derivative financial instruments. SLB places its cash and short-term investments with financial institutions and corporations and limits the amount of credit exposure with any one of them. SLB regularly evaluates the creditworthiness of the issuers in which it invests. By using derivative financial instruments to hedge certain exposures, SLB exposes itself to some credit risk. SLB minimizes this credit risk by entering into transactions with high-quality counterparties, limiting the exposure to each counterparty and monitoring the financial condition of its counterparties.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As a large multinational company, SLB’s accounts receivable are spread over many countries and customers. The United States and Mexico represented 11% and 13%, respectively, of SLB’s net accounts receivable balance at December 31, 2023. No other countries accounted for greater than 10% of SLB’s accounts receivable balance. SLB maintains an allowance for uncollectible accounts receivable based on expected collectibility and performs ongoing credit evaluations of its customers’ financial condition. If the financial condition of SLB’s customers were to deteriorate resulting in an impairment of their ability to make payments, adjustments to the allowance may be required.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Earnings per Share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from basic to diluted earnings per share of SLB:</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60" w:type="dxa"/>
            <w:vAlign w:val="bottom"/>
            <w:gridSpan w:val="6"/>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412"/>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199"/>
              <w:spacing w:after="0"/>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24"/>
                <w:szCs w:val="24"/>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color w:val="auto"/>
              </w:rPr>
              <w:t>Average</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Attributable to</w:t>
            </w:r>
          </w:p>
        </w:tc>
        <w:tc>
          <w:tcPr>
            <w:tcW w:w="220" w:type="dxa"/>
            <w:vAlign w:val="bottom"/>
          </w:tcPr>
          <w:p>
            <w:pPr>
              <w:spacing w:after="0"/>
              <w:rPr>
                <w:sz w:val="16"/>
                <w:szCs w:val="16"/>
                <w:color w:val="auto"/>
              </w:rPr>
            </w:pPr>
          </w:p>
        </w:tc>
        <w:tc>
          <w:tcPr>
            <w:tcW w:w="1360" w:type="dxa"/>
            <w:vAlign w:val="bottom"/>
          </w:tcPr>
          <w:p>
            <w:pPr>
              <w:jc w:val="right"/>
              <w:ind w:right="339"/>
              <w:spacing w:after="0"/>
              <w:rPr>
                <w:sz w:val="20"/>
                <w:szCs w:val="20"/>
                <w:color w:val="auto"/>
              </w:rPr>
            </w:pPr>
            <w:r>
              <w:rPr>
                <w:rFonts w:ascii="Arial" w:cs="Arial" w:eastAsia="Arial" w:hAnsi="Arial"/>
                <w:sz w:val="16"/>
                <w:szCs w:val="16"/>
                <w:color w:val="auto"/>
              </w:rPr>
              <w:t>Shares</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Earnings per</w:t>
            </w:r>
          </w:p>
        </w:tc>
      </w:t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SLB</w:t>
            </w:r>
          </w:p>
        </w:tc>
        <w:tc>
          <w:tcPr>
            <w:tcW w:w="220" w:type="dxa"/>
            <w:vAlign w:val="bottom"/>
          </w:tcPr>
          <w:p>
            <w:pPr>
              <w:spacing w:after="0"/>
              <w:rPr>
                <w:sz w:val="18"/>
                <w:szCs w:val="18"/>
                <w:color w:val="auto"/>
              </w:rPr>
            </w:pPr>
          </w:p>
        </w:tc>
        <w:tc>
          <w:tcPr>
            <w:tcW w:w="1360" w:type="dxa"/>
            <w:vAlign w:val="bottom"/>
          </w:tcPr>
          <w:p>
            <w:pPr>
              <w:jc w:val="right"/>
              <w:ind w:right="159"/>
              <w:spacing w:after="0"/>
              <w:rPr>
                <w:sz w:val="20"/>
                <w:szCs w:val="20"/>
                <w:color w:val="auto"/>
              </w:rPr>
            </w:pPr>
            <w:r>
              <w:rPr>
                <w:rFonts w:ascii="Arial" w:cs="Arial" w:eastAsia="Arial" w:hAnsi="Arial"/>
                <w:sz w:val="16"/>
                <w:szCs w:val="16"/>
                <w:color w:val="auto"/>
              </w:rPr>
              <w:t>Outstanding</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300"/>
              <w:spacing w:after="0"/>
              <w:rPr>
                <w:sz w:val="20"/>
                <w:szCs w:val="20"/>
                <w:color w:val="auto"/>
              </w:rPr>
            </w:pPr>
            <w:r>
              <w:rPr>
                <w:rFonts w:ascii="Arial" w:cs="Arial" w:eastAsia="Arial" w:hAnsi="Arial"/>
                <w:sz w:val="16"/>
                <w:szCs w:val="16"/>
                <w:color w:val="auto"/>
              </w:rPr>
              <w:t>Share</w:t>
            </w:r>
          </w:p>
        </w:tc>
      </w:tr>
      <w:tr>
        <w:trPr>
          <w:trHeight w:val="210"/>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Basic</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4,203</w:t>
            </w:r>
          </w:p>
        </w:tc>
        <w:tc>
          <w:tcPr>
            <w:tcW w:w="1580" w:type="dxa"/>
            <w:vAlign w:val="bottom"/>
            <w:gridSpan w:val="2"/>
          </w:tcPr>
          <w:p>
            <w:pPr>
              <w:jc w:val="right"/>
              <w:spacing w:after="0"/>
              <w:rPr>
                <w:sz w:val="20"/>
                <w:szCs w:val="20"/>
                <w:color w:val="auto"/>
              </w:rPr>
            </w:pPr>
            <w:r>
              <w:rPr>
                <w:rFonts w:ascii="Arial" w:cs="Arial" w:eastAsia="Arial" w:hAnsi="Arial"/>
                <w:sz w:val="16"/>
                <w:szCs w:val="16"/>
                <w:b w:val="1"/>
                <w:bCs w:val="1"/>
                <w:color w:val="auto"/>
              </w:rPr>
              <w:t>1,425</w:t>
            </w:r>
          </w:p>
        </w:tc>
        <w:tc>
          <w:tcPr>
            <w:tcW w:w="4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2.95</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Dilutive impact of stock options and restricted stock</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18</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0"/>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Diluted</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4,203</w:t>
            </w:r>
          </w:p>
        </w:tc>
        <w:tc>
          <w:tcPr>
            <w:tcW w:w="22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1,443</w:t>
            </w:r>
          </w:p>
        </w:tc>
        <w:tc>
          <w:tcPr>
            <w:tcW w:w="4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2.91</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6"/>
                <w:szCs w:val="16"/>
                <w:color w:val="auto"/>
              </w:rPr>
              <w:t>Basic</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3,441</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1,416</w:t>
            </w:r>
          </w:p>
        </w:tc>
        <w:tc>
          <w:tcPr>
            <w:tcW w:w="4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Dilutive impact of stock options and restricted stock</w:t>
            </w:r>
          </w:p>
        </w:tc>
        <w:tc>
          <w:tcPr>
            <w:tcW w:w="1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209"/>
        </w:trPr>
        <w:tc>
          <w:tcPr>
            <w:tcW w:w="6640" w:type="dxa"/>
            <w:vAlign w:val="bottom"/>
          </w:tcPr>
          <w:p>
            <w:pPr>
              <w:ind w:left="20"/>
              <w:spacing w:after="0"/>
              <w:rPr>
                <w:sz w:val="20"/>
                <w:szCs w:val="20"/>
                <w:color w:val="auto"/>
              </w:rPr>
            </w:pPr>
            <w:r>
              <w:rPr>
                <w:rFonts w:ascii="Arial" w:cs="Arial" w:eastAsia="Arial" w:hAnsi="Arial"/>
                <w:sz w:val="16"/>
                <w:szCs w:val="16"/>
                <w:color w:val="auto"/>
              </w:rPr>
              <w:t>Diluted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3,441</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1,437</w:t>
            </w:r>
          </w:p>
        </w:tc>
        <w:tc>
          <w:tcPr>
            <w:tcW w:w="4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2021:</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6"/>
                <w:szCs w:val="16"/>
                <w:color w:val="auto"/>
              </w:rPr>
              <w:t>Basic</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1,881</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1,400</w:t>
            </w:r>
          </w:p>
        </w:tc>
        <w:tc>
          <w:tcPr>
            <w:tcW w:w="4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Dilutive impact of stock options and restricted stock</w:t>
            </w:r>
          </w:p>
        </w:tc>
        <w:tc>
          <w:tcPr>
            <w:tcW w:w="1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209"/>
        </w:trPr>
        <w:tc>
          <w:tcPr>
            <w:tcW w:w="6640" w:type="dxa"/>
            <w:vAlign w:val="bottom"/>
          </w:tcPr>
          <w:p>
            <w:pPr>
              <w:ind w:left="20"/>
              <w:spacing w:after="0"/>
              <w:rPr>
                <w:sz w:val="20"/>
                <w:szCs w:val="20"/>
                <w:color w:val="auto"/>
              </w:rPr>
            </w:pPr>
            <w:r>
              <w:rPr>
                <w:rFonts w:ascii="Arial" w:cs="Arial" w:eastAsia="Arial" w:hAnsi="Arial"/>
                <w:sz w:val="16"/>
                <w:szCs w:val="16"/>
                <w:color w:val="auto"/>
              </w:rPr>
              <w:t>Diluted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1,881</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1,427</w:t>
            </w:r>
          </w:p>
        </w:tc>
        <w:tc>
          <w:tcPr>
            <w:tcW w:w="4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-779145</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-779145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number of outstanding employee stock options to purchase shares of SLB common stock that were not included in the computation of diluted earnings per share, because to do so would have had an anti-dilutive effect,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0"/>
        </w:trPr>
        <w:tc>
          <w:tcPr>
            <w:tcW w:w="6520" w:type="dxa"/>
            <w:vAlign w:val="bottom"/>
          </w:tcPr>
          <w:p>
            <w:pPr>
              <w:spacing w:after="0"/>
              <w:rPr>
                <w:sz w:val="24"/>
                <w:szCs w:val="24"/>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24"/>
                <w:szCs w:val="24"/>
                <w:color w:val="auto"/>
              </w:rPr>
            </w:pPr>
          </w:p>
        </w:tc>
        <w:tc>
          <w:tcPr>
            <w:tcW w:w="1400" w:type="dxa"/>
            <w:vAlign w:val="bottom"/>
            <w:tcBorders>
              <w:bottom w:val="single" w:sz="8" w:color="auto"/>
            </w:tcBorders>
          </w:tcPr>
          <w:p>
            <w:pPr>
              <w:jc w:val="right"/>
              <w:ind w:right="444"/>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4"/>
                <w:szCs w:val="24"/>
                <w:color w:val="auto"/>
              </w:rPr>
            </w:pPr>
          </w:p>
        </w:tc>
      </w:tr>
      <w:tr>
        <w:trPr>
          <w:trHeight w:val="209"/>
        </w:trPr>
        <w:tc>
          <w:tcPr>
            <w:tcW w:w="7560" w:type="dxa"/>
            <w:vAlign w:val="bottom"/>
            <w:gridSpan w:val="2"/>
            <w:shd w:val="clear" w:color="auto" w:fill="CFF0FC"/>
          </w:tcPr>
          <w:p>
            <w:pPr>
              <w:jc w:val="right"/>
              <w:ind w:right="5739"/>
              <w:spacing w:after="0"/>
              <w:rPr>
                <w:sz w:val="20"/>
                <w:szCs w:val="20"/>
                <w:color w:val="auto"/>
              </w:rPr>
            </w:pPr>
            <w:r>
              <w:rPr>
                <w:rFonts w:ascii="Arial" w:cs="Arial" w:eastAsia="Arial" w:hAnsi="Arial"/>
                <w:sz w:val="16"/>
                <w:szCs w:val="16"/>
                <w:color w:val="auto"/>
              </w:rPr>
              <w:t>Employee stock options</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FF0FC"/>
          </w:tcPr>
          <w:p>
            <w:pPr>
              <w:spacing w:after="0"/>
              <w:rPr>
                <w:sz w:val="18"/>
                <w:szCs w:val="18"/>
                <w:color w:val="auto"/>
              </w:rPr>
            </w:pPr>
          </w:p>
        </w:tc>
      </w:tr>
      <w:tr>
        <w:trPr>
          <w:trHeight w:val="633"/>
        </w:trPr>
        <w:tc>
          <w:tcPr>
            <w:tcW w:w="6520" w:type="dxa"/>
            <w:vAlign w:val="bottom"/>
          </w:tcPr>
          <w:p>
            <w:pPr>
              <w:jc w:val="right"/>
              <w:ind w:right="719"/>
              <w:spacing w:after="0"/>
              <w:rPr>
                <w:sz w:val="20"/>
                <w:szCs w:val="20"/>
                <w:color w:val="auto"/>
              </w:rPr>
            </w:pPr>
            <w:r>
              <w:rPr>
                <w:rFonts w:ascii="Arial" w:cs="Arial" w:eastAsia="Arial" w:hAnsi="Arial"/>
                <w:sz w:val="16"/>
                <w:szCs w:val="16"/>
                <w:color w:val="auto"/>
              </w:rPr>
              <w:t>36</w:t>
            </w: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43"/>
        </w:trPr>
        <w:tc>
          <w:tcPr>
            <w:tcW w:w="65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 xml:space="preserve">3. </w:t>
      </w:r>
      <w:r>
        <w:rPr>
          <w:rFonts w:ascii="Arial" w:cs="Arial" w:eastAsia="Arial" w:hAnsi="Arial"/>
          <w:sz w:val="16"/>
          <w:szCs w:val="16"/>
          <w:b w:val="1"/>
          <w:bCs w:val="1"/>
          <w:u w:val="single" w:color="auto"/>
          <w:color w:val="auto"/>
        </w:rPr>
        <w:t>Charges and Credits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2023</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SLB recorded the following charges and credits during 2023:</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0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39"/>
        </w:trPr>
        <w:tc>
          <w:tcPr>
            <w:tcW w:w="5740" w:type="dxa"/>
            <w:vAlign w:val="bottom"/>
          </w:tcPr>
          <w:p>
            <w:pPr>
              <w:spacing w:after="0"/>
              <w:rPr>
                <w:sz w:val="24"/>
                <w:szCs w:val="24"/>
                <w:color w:val="auto"/>
              </w:rPr>
            </w:pPr>
          </w:p>
        </w:tc>
        <w:tc>
          <w:tcPr>
            <w:tcW w:w="1440" w:type="dxa"/>
            <w:vAlign w:val="bottom"/>
            <w:gridSpan w:val="3"/>
          </w:tcPr>
          <w:p>
            <w:pPr>
              <w:jc w:val="right"/>
              <w:ind w:right="360"/>
              <w:spacing w:after="0"/>
              <w:rPr>
                <w:sz w:val="20"/>
                <w:szCs w:val="20"/>
                <w:color w:val="auto"/>
              </w:rPr>
            </w:pPr>
            <w:r>
              <w:rPr>
                <w:rFonts w:ascii="Arial" w:cs="Arial" w:eastAsia="Arial" w:hAnsi="Arial"/>
                <w:sz w:val="16"/>
                <w:szCs w:val="16"/>
                <w:color w:val="auto"/>
              </w:rPr>
              <w:t>Pretax Charge</w:t>
            </w:r>
          </w:p>
        </w:tc>
        <w:tc>
          <w:tcPr>
            <w:tcW w:w="140" w:type="dxa"/>
            <w:vAlign w:val="bottom"/>
          </w:tcPr>
          <w:p>
            <w:pPr>
              <w:spacing w:after="0"/>
              <w:rPr>
                <w:sz w:val="24"/>
                <w:szCs w:val="2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6"/>
                <w:szCs w:val="16"/>
                <w:color w:val="auto"/>
                <w:w w:val="98"/>
              </w:rPr>
              <w:t>Tax Benefit</w:t>
            </w:r>
          </w:p>
        </w:tc>
        <w:tc>
          <w:tcPr>
            <w:tcW w:w="1140" w:type="dxa"/>
            <w:vAlign w:val="bottom"/>
            <w:gridSpan w:val="2"/>
          </w:tcPr>
          <w:p>
            <w:pPr>
              <w:ind w:left="20"/>
              <w:spacing w:after="0"/>
              <w:rPr>
                <w:sz w:val="20"/>
                <w:szCs w:val="20"/>
                <w:color w:val="auto"/>
              </w:rPr>
            </w:pPr>
            <w:r>
              <w:rPr>
                <w:rFonts w:ascii="Arial" w:cs="Arial" w:eastAsia="Arial" w:hAnsi="Arial"/>
                <w:sz w:val="16"/>
                <w:szCs w:val="16"/>
                <w:color w:val="auto"/>
              </w:rPr>
              <w:t>Noncontrolling</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6"/>
                <w:szCs w:val="16"/>
                <w:color w:val="auto"/>
              </w:rPr>
              <w:t>(Credit)</w:t>
            </w:r>
          </w:p>
        </w:tc>
        <w:tc>
          <w:tcPr>
            <w:tcW w:w="14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6"/>
                <w:szCs w:val="16"/>
                <w:color w:val="auto"/>
              </w:rPr>
              <w:t>(Expense)</w:t>
            </w:r>
          </w:p>
        </w:tc>
        <w:tc>
          <w:tcPr>
            <w:tcW w:w="18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Interests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6"/>
                <w:szCs w:val="16"/>
                <w:color w:val="auto"/>
              </w:rPr>
              <w:t>Net</w:t>
            </w:r>
          </w:p>
        </w:tc>
      </w:tr>
      <w:tr>
        <w:trPr>
          <w:trHeight w:val="210"/>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First quarter:</w:t>
            </w:r>
          </w:p>
        </w:tc>
        <w:tc>
          <w:tcPr>
            <w:tcW w:w="2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740" w:type="dxa"/>
            <w:vAlign w:val="bottom"/>
          </w:tcPr>
          <w:p>
            <w:pPr>
              <w:ind w:left="200"/>
              <w:spacing w:after="0"/>
              <w:rPr>
                <w:sz w:val="20"/>
                <w:szCs w:val="20"/>
                <w:color w:val="auto"/>
              </w:rPr>
            </w:pPr>
            <w:r>
              <w:rPr>
                <w:rFonts w:ascii="Arial" w:cs="Arial" w:eastAsia="Arial" w:hAnsi="Arial"/>
                <w:sz w:val="16"/>
                <w:szCs w:val="16"/>
                <w:color w:val="auto"/>
              </w:rPr>
              <w:t>Gain on sale of Liberty shares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(36 )</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(8 )</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(28 )</w:t>
            </w:r>
          </w:p>
        </w:tc>
      </w:tr>
      <w:tr>
        <w:trPr>
          <w:trHeight w:val="217"/>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Fourth quarter:</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740" w:type="dxa"/>
            <w:vAlign w:val="bottom"/>
          </w:tcPr>
          <w:p>
            <w:pPr>
              <w:ind w:left="200"/>
              <w:spacing w:after="0"/>
              <w:rPr>
                <w:sz w:val="20"/>
                <w:szCs w:val="20"/>
                <w:color w:val="auto"/>
              </w:rPr>
            </w:pPr>
            <w:r>
              <w:rPr>
                <w:rFonts w:ascii="Arial" w:cs="Arial" w:eastAsia="Arial" w:hAnsi="Arial"/>
                <w:sz w:val="16"/>
                <w:szCs w:val="16"/>
                <w:color w:val="auto"/>
              </w:rPr>
              <w:t>Merger and integration</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r>
      <w:tr>
        <w:trPr>
          <w:trHeight w:val="217"/>
        </w:trPr>
        <w:tc>
          <w:tcPr>
            <w:tcW w:w="5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Currency devaluation loss in Argentina</w:t>
            </w: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FF0FC"/>
          </w:tcPr>
          <w:p>
            <w:pPr>
              <w:spacing w:after="0"/>
              <w:rPr>
                <w:sz w:val="18"/>
                <w:szCs w:val="18"/>
                <w:color w:val="auto"/>
              </w:rPr>
            </w:pPr>
          </w:p>
        </w:tc>
      </w:tr>
      <w:tr>
        <w:trPr>
          <w:trHeight w:val="209"/>
        </w:trPr>
        <w:tc>
          <w:tcPr>
            <w:tcW w:w="57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First quarter 2023:</w:t>
      </w:r>
    </w:p>
    <w:p>
      <w:pPr>
        <w:spacing w:after="0" w:line="111" w:lineRule="exact"/>
        <w:rPr>
          <w:sz w:val="20"/>
          <w:szCs w:val="20"/>
          <w:color w:val="auto"/>
        </w:rPr>
      </w:pPr>
    </w:p>
    <w:p>
      <w:pPr>
        <w:jc w:val="both"/>
        <w:ind w:left="760" w:hanging="378"/>
        <w:spacing w:after="0" w:line="259" w:lineRule="auto"/>
        <w:tabs>
          <w:tab w:leader="none" w:pos="76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On December 31, 2020, SLB contributed its onshore hydraulic fracturing business in the United States and Canada, including its pressure pumping, pumpdown perforating and Permian frac sand business, to Liberty Energy Inc. (“Liberty”) in exchange for an equity interest in Liberty. During the first quarter of 2023, SLB sold all of its remaining approximately 9 million shares of Liberty and received net proceeds of $137 million. As a result, SLB recognized a gain of $36 million which is classified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Fourth quarter 2023:</w:t>
      </w:r>
    </w:p>
    <w:p>
      <w:pPr>
        <w:spacing w:after="0" w:line="111" w:lineRule="exact"/>
        <w:rPr>
          <w:sz w:val="20"/>
          <w:szCs w:val="20"/>
          <w:color w:val="auto"/>
        </w:rPr>
      </w:pPr>
    </w:p>
    <w:p>
      <w:pPr>
        <w:jc w:val="both"/>
        <w:ind w:left="760" w:hanging="378"/>
        <w:spacing w:after="0" w:line="256" w:lineRule="auto"/>
        <w:tabs>
          <w:tab w:leader="none" w:pos="76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In connection with SLB’s acquisition of the Aker Solutions (“Aker”) subsea business (see Note 6 – </w:t>
      </w:r>
      <w:r>
        <w:rPr>
          <w:rFonts w:ascii="Arial" w:cs="Arial" w:eastAsia="Arial" w:hAnsi="Arial"/>
          <w:sz w:val="16"/>
          <w:szCs w:val="16"/>
          <w:i w:val="1"/>
          <w:iCs w:val="1"/>
          <w:color w:val="auto"/>
        </w:rPr>
        <w:t>Acquisition</w:t>
      </w:r>
      <w:r>
        <w:rPr>
          <w:rFonts w:ascii="Arial" w:cs="Arial" w:eastAsia="Arial" w:hAnsi="Arial"/>
          <w:sz w:val="16"/>
          <w:szCs w:val="16"/>
          <w:color w:val="auto"/>
        </w:rPr>
        <w:t xml:space="preserve">), SLB recorded the following charges: $23 million of acquisition-related transaction costs, including advisory and legal fees; $11 million relating to the amortization of purchase accounting adjustments associated with the write-up of acquired inventories to its estimated fair value; and $22 million of other merger and integration-related costs. $45 million of these costs are classified in </w:t>
      </w:r>
      <w:r>
        <w:rPr>
          <w:rFonts w:ascii="Arial" w:cs="Arial" w:eastAsia="Arial" w:hAnsi="Arial"/>
          <w:sz w:val="16"/>
          <w:szCs w:val="16"/>
          <w:i w:val="1"/>
          <w:iCs w:val="1"/>
          <w:color w:val="auto"/>
        </w:rPr>
        <w:t>Merger &amp; integration</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with the remaining $11 million classified in </w:t>
      </w:r>
      <w:r>
        <w:rPr>
          <w:rFonts w:ascii="Arial" w:cs="Arial" w:eastAsia="Arial" w:hAnsi="Arial"/>
          <w:sz w:val="16"/>
          <w:szCs w:val="16"/>
          <w:i w:val="1"/>
          <w:iCs w:val="1"/>
          <w:color w:val="auto"/>
        </w:rPr>
        <w:t>Cost of sales</w:t>
      </w:r>
      <w:r>
        <w:rPr>
          <w:rFonts w:ascii="Arial" w:cs="Arial" w:eastAsia="Arial" w:hAnsi="Arial"/>
          <w:sz w:val="16"/>
          <w:szCs w:val="16"/>
          <w:color w:val="auto"/>
        </w:rPr>
        <w:t>.</w:t>
      </w:r>
    </w:p>
    <w:p>
      <w:pPr>
        <w:spacing w:after="0" w:line="70" w:lineRule="exact"/>
        <w:rPr>
          <w:rFonts w:ascii="Times New Roman" w:cs="Times New Roman" w:eastAsia="Times New Roman" w:hAnsi="Times New Roman"/>
          <w:sz w:val="16"/>
          <w:szCs w:val="16"/>
          <w:color w:val="auto"/>
        </w:rPr>
      </w:pPr>
    </w:p>
    <w:p>
      <w:pPr>
        <w:jc w:val="both"/>
        <w:ind w:left="760" w:hanging="378"/>
        <w:spacing w:after="0" w:line="257" w:lineRule="auto"/>
        <w:tabs>
          <w:tab w:leader="none" w:pos="76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Although SLB’s functional currency in Argentina is the US dollar, a portion of its transactions are denominated in pesos. During the fourth quarter of 2023, Argentina devalued its peso relative to the US dollar by approximately 55%. As a result, SLB recorded a $90 million devaluation charge. $61 million of this charge is classified in </w:t>
      </w:r>
      <w:r>
        <w:rPr>
          <w:rFonts w:ascii="Arial" w:cs="Arial" w:eastAsia="Arial" w:hAnsi="Arial"/>
          <w:sz w:val="16"/>
          <w:szCs w:val="16"/>
          <w:i w:val="1"/>
          <w:iCs w:val="1"/>
          <w:color w:val="auto"/>
        </w:rPr>
        <w:t>Cost of services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with the remaining $29 million classified in </w:t>
      </w:r>
      <w:r>
        <w:rPr>
          <w:rFonts w:ascii="Arial" w:cs="Arial" w:eastAsia="Arial" w:hAnsi="Arial"/>
          <w:sz w:val="16"/>
          <w:szCs w:val="16"/>
          <w:i w:val="1"/>
          <w:iCs w:val="1"/>
          <w:color w:val="auto"/>
        </w:rPr>
        <w:t>Cost of sales</w:t>
      </w:r>
      <w:r>
        <w:rPr>
          <w:rFonts w:ascii="Arial" w:cs="Arial" w:eastAsia="Arial" w:hAnsi="Arial"/>
          <w:sz w:val="16"/>
          <w:szCs w:val="16"/>
          <w:color w:val="auto"/>
        </w:rPr>
        <w:t>. SLB’s peso-denominated net assets in Argentina were approximately $75 million at December 31, 2023, primarily consisting of</w:t>
      </w:r>
      <w:r>
        <w:rPr>
          <w:rFonts w:ascii="Arial" w:cs="Arial" w:eastAsia="Arial" w:hAnsi="Arial"/>
          <w:sz w:val="16"/>
          <w:szCs w:val="16"/>
          <w:i w:val="1"/>
          <w:iCs w:val="1"/>
          <w:color w:val="auto"/>
        </w:rPr>
        <w:t xml:space="preserve"> </w:t>
      </w:r>
      <w:r>
        <w:rPr>
          <w:rFonts w:ascii="Arial" w:cs="Arial" w:eastAsia="Arial" w:hAnsi="Arial"/>
          <w:sz w:val="16"/>
          <w:szCs w:val="16"/>
          <w:color w:val="auto"/>
        </w:rPr>
        <w:t>cash.</w:t>
      </w: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SLB recorded the following charges and credits during 2022, all of which are classified in </w:t>
      </w:r>
      <w:r>
        <w:rPr>
          <w:rFonts w:ascii="Arial" w:cs="Arial" w:eastAsia="Arial" w:hAnsi="Arial"/>
          <w:sz w:val="16"/>
          <w:szCs w:val="16"/>
          <w:i w:val="1"/>
          <w:iCs w:val="1"/>
          <w:color w:val="auto"/>
        </w:rPr>
        <w:t>Interest &amp; other income, net</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w:t>
      </w:r>
      <w:r>
        <w:rPr>
          <w:rFonts w:ascii="Arial" w:cs="Arial" w:eastAsia="Arial" w:hAnsi="Arial"/>
          <w:sz w:val="16"/>
          <w:szCs w:val="16"/>
          <w:color w:val="auto"/>
        </w:rPr>
        <w:t>:</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39"/>
              <w:spacing w:after="0"/>
              <w:rPr>
                <w:sz w:val="20"/>
                <w:szCs w:val="20"/>
                <w:color w:val="auto"/>
              </w:rPr>
            </w:pPr>
            <w:r>
              <w:rPr>
                <w:rFonts w:ascii="Arial" w:cs="Arial" w:eastAsia="Arial" w:hAnsi="Arial"/>
                <w:sz w:val="14"/>
                <w:szCs w:val="14"/>
                <w:i w:val="1"/>
                <w:iCs w:val="1"/>
                <w:color w:val="auto"/>
              </w:rPr>
              <w:t>(Stated in millions)</w:t>
            </w:r>
          </w:p>
        </w:tc>
      </w:tr>
      <w:tr>
        <w:trPr>
          <w:trHeight w:val="439"/>
        </w:trPr>
        <w:tc>
          <w:tcPr>
            <w:tcW w:w="6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jc w:val="right"/>
              <w:ind w:right="379"/>
              <w:spacing w:after="0"/>
              <w:rPr>
                <w:sz w:val="20"/>
                <w:szCs w:val="20"/>
                <w:color w:val="auto"/>
              </w:rPr>
            </w:pPr>
            <w:r>
              <w:rPr>
                <w:rFonts w:ascii="Arial" w:cs="Arial" w:eastAsia="Arial" w:hAnsi="Arial"/>
                <w:sz w:val="16"/>
                <w:szCs w:val="16"/>
                <w:color w:val="auto"/>
              </w:rPr>
              <w:t>Pretax Charge</w:t>
            </w:r>
          </w:p>
        </w:tc>
        <w:tc>
          <w:tcPr>
            <w:tcW w:w="180" w:type="dxa"/>
            <w:vAlign w:val="bottom"/>
          </w:tcPr>
          <w:p>
            <w:pPr>
              <w:spacing w:after="0"/>
              <w:rPr>
                <w:sz w:val="24"/>
                <w:szCs w:val="24"/>
                <w:color w:val="auto"/>
              </w:rPr>
            </w:pPr>
          </w:p>
        </w:tc>
        <w:tc>
          <w:tcPr>
            <w:tcW w:w="1420" w:type="dxa"/>
            <w:vAlign w:val="bottom"/>
            <w:gridSpan w:val="2"/>
          </w:tcPr>
          <w:p>
            <w:pPr>
              <w:jc w:val="right"/>
              <w:ind w:right="479"/>
              <w:spacing w:after="0"/>
              <w:rPr>
                <w:sz w:val="20"/>
                <w:szCs w:val="20"/>
                <w:color w:val="auto"/>
              </w:rPr>
            </w:pPr>
            <w:r>
              <w:rPr>
                <w:rFonts w:ascii="Arial" w:cs="Arial" w:eastAsia="Arial" w:hAnsi="Arial"/>
                <w:sz w:val="16"/>
                <w:szCs w:val="16"/>
                <w:color w:val="auto"/>
              </w:rPr>
              <w:t>Tax Benefit</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619"/>
              <w:spacing w:after="0"/>
              <w:rPr>
                <w:sz w:val="20"/>
                <w:szCs w:val="20"/>
                <w:color w:val="auto"/>
              </w:rPr>
            </w:pPr>
            <w:r>
              <w:rPr>
                <w:rFonts w:ascii="Arial" w:cs="Arial" w:eastAsia="Arial" w:hAnsi="Arial"/>
                <w:sz w:val="16"/>
                <w:szCs w:val="16"/>
                <w:color w:val="auto"/>
              </w:rPr>
              <w:t>(Credit)</w:t>
            </w:r>
          </w:p>
        </w:tc>
        <w:tc>
          <w:tcPr>
            <w:tcW w:w="180" w:type="dxa"/>
            <w:vAlign w:val="bottom"/>
          </w:tcPr>
          <w:p>
            <w:pPr>
              <w:spacing w:after="0"/>
              <w:rPr>
                <w:sz w:val="18"/>
                <w:szCs w:val="18"/>
                <w:color w:val="auto"/>
              </w:rPr>
            </w:pPr>
          </w:p>
        </w:tc>
        <w:tc>
          <w:tcPr>
            <w:tcW w:w="1420" w:type="dxa"/>
            <w:vAlign w:val="bottom"/>
            <w:gridSpan w:val="2"/>
          </w:tcPr>
          <w:p>
            <w:pPr>
              <w:jc w:val="right"/>
              <w:ind w:right="479"/>
              <w:spacing w:after="0"/>
              <w:rPr>
                <w:sz w:val="20"/>
                <w:szCs w:val="20"/>
                <w:color w:val="auto"/>
              </w:rPr>
            </w:pPr>
            <w:r>
              <w:rPr>
                <w:rFonts w:ascii="Arial" w:cs="Arial" w:eastAsia="Arial" w:hAnsi="Arial"/>
                <w:sz w:val="16"/>
                <w:szCs w:val="16"/>
                <w:color w:val="auto"/>
              </w:rPr>
              <w:t>(Expense)</w:t>
            </w:r>
          </w:p>
        </w:tc>
        <w:tc>
          <w:tcPr>
            <w:tcW w:w="120" w:type="dxa"/>
            <w:vAlign w:val="bottom"/>
          </w:tcPr>
          <w:p>
            <w:pPr>
              <w:spacing w:after="0"/>
              <w:rPr>
                <w:sz w:val="18"/>
                <w:szCs w:val="18"/>
                <w:color w:val="auto"/>
              </w:rPr>
            </w:pPr>
          </w:p>
        </w:tc>
        <w:tc>
          <w:tcPr>
            <w:tcW w:w="1320" w:type="dxa"/>
            <w:vAlign w:val="bottom"/>
            <w:gridSpan w:val="2"/>
          </w:tcPr>
          <w:p>
            <w:pPr>
              <w:jc w:val="right"/>
              <w:ind w:right="579"/>
              <w:spacing w:after="0"/>
              <w:rPr>
                <w:sz w:val="20"/>
                <w:szCs w:val="20"/>
                <w:color w:val="auto"/>
              </w:rPr>
            </w:pPr>
            <w:r>
              <w:rPr>
                <w:rFonts w:ascii="Arial" w:cs="Arial" w:eastAsia="Arial" w:hAnsi="Arial"/>
                <w:sz w:val="16"/>
                <w:szCs w:val="16"/>
                <w:color w:val="auto"/>
              </w:rPr>
              <w:t>Net</w:t>
            </w:r>
          </w:p>
        </w:tc>
      </w:tr>
      <w:tr>
        <w:trPr>
          <w:trHeight w:val="210"/>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First quarter:</w:t>
            </w: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6560" w:type="dxa"/>
            <w:vAlign w:val="bottom"/>
          </w:tcPr>
          <w:p>
            <w:pPr>
              <w:ind w:left="200"/>
              <w:spacing w:after="0"/>
              <w:rPr>
                <w:sz w:val="20"/>
                <w:szCs w:val="20"/>
                <w:color w:val="auto"/>
              </w:rPr>
            </w:pPr>
            <w:r>
              <w:rPr>
                <w:rFonts w:ascii="Arial" w:cs="Arial" w:eastAsia="Arial" w:hAnsi="Arial"/>
                <w:sz w:val="16"/>
                <w:szCs w:val="16"/>
                <w:color w:val="auto"/>
              </w:rPr>
              <w:t>Gain on sale of Liberty shares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139"/>
              <w:spacing w:after="0"/>
              <w:rPr>
                <w:sz w:val="20"/>
                <w:szCs w:val="20"/>
                <w:color w:val="auto"/>
              </w:rPr>
            </w:pPr>
            <w:r>
              <w:rPr>
                <w:rFonts w:ascii="Arial" w:cs="Arial" w:eastAsia="Arial" w:hAnsi="Arial"/>
                <w:sz w:val="16"/>
                <w:szCs w:val="16"/>
                <w:color w:val="auto"/>
              </w:rPr>
              <w:t>(26 )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jc w:val="right"/>
              <w:ind w:right="119"/>
              <w:spacing w:after="0"/>
              <w:rPr>
                <w:sz w:val="20"/>
                <w:szCs w:val="20"/>
                <w:color w:val="auto"/>
              </w:rPr>
            </w:pPr>
            <w:r>
              <w:rPr>
                <w:rFonts w:ascii="Arial" w:cs="Arial" w:eastAsia="Arial" w:hAnsi="Arial"/>
                <w:sz w:val="16"/>
                <w:szCs w:val="16"/>
                <w:color w:val="auto"/>
              </w:rPr>
              <w:t>(4 )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(22 )</w:t>
            </w:r>
          </w:p>
        </w:tc>
      </w:tr>
      <w:tr>
        <w:trPr>
          <w:trHeight w:val="217"/>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Second quarter:</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6560" w:type="dxa"/>
            <w:vAlign w:val="bottom"/>
          </w:tcPr>
          <w:p>
            <w:pPr>
              <w:ind w:left="200"/>
              <w:spacing w:after="0"/>
              <w:rPr>
                <w:sz w:val="20"/>
                <w:szCs w:val="20"/>
                <w:color w:val="auto"/>
              </w:rPr>
            </w:pPr>
            <w:r>
              <w:rPr>
                <w:rFonts w:ascii="Arial" w:cs="Arial" w:eastAsia="Arial" w:hAnsi="Arial"/>
                <w:sz w:val="16"/>
                <w:szCs w:val="16"/>
                <w:color w:val="auto"/>
              </w:rPr>
              <w:t>Gain on sale of Liberty shares</w:t>
            </w:r>
          </w:p>
        </w:tc>
        <w:tc>
          <w:tcPr>
            <w:tcW w:w="120" w:type="dxa"/>
            <w:vAlign w:val="bottom"/>
          </w:tcPr>
          <w:p>
            <w:pPr>
              <w:spacing w:after="0"/>
              <w:rPr>
                <w:sz w:val="18"/>
                <w:szCs w:val="18"/>
                <w:color w:val="auto"/>
              </w:rPr>
            </w:pPr>
          </w:p>
        </w:tc>
        <w:tc>
          <w:tcPr>
            <w:tcW w:w="1520" w:type="dxa"/>
            <w:vAlign w:val="bottom"/>
            <w:gridSpan w:val="2"/>
          </w:tcPr>
          <w:p>
            <w:pPr>
              <w:jc w:val="right"/>
              <w:ind w:right="139"/>
              <w:spacing w:after="0"/>
              <w:rPr>
                <w:sz w:val="20"/>
                <w:szCs w:val="20"/>
                <w:color w:val="auto"/>
              </w:rPr>
            </w:pPr>
            <w:r>
              <w:rPr>
                <w:rFonts w:ascii="Arial" w:cs="Arial" w:eastAsia="Arial" w:hAnsi="Arial"/>
                <w:sz w:val="16"/>
                <w:szCs w:val="16"/>
                <w:color w:val="auto"/>
              </w:rPr>
              <w:t>(215 )</w:t>
            </w:r>
          </w:p>
        </w:tc>
        <w:tc>
          <w:tcPr>
            <w:tcW w:w="180" w:type="dxa"/>
            <w:vAlign w:val="bottom"/>
          </w:tcPr>
          <w:p>
            <w:pPr>
              <w:spacing w:after="0"/>
              <w:rPr>
                <w:sz w:val="18"/>
                <w:szCs w:val="18"/>
                <w:color w:val="auto"/>
              </w:rPr>
            </w:pPr>
          </w:p>
        </w:tc>
        <w:tc>
          <w:tcPr>
            <w:tcW w:w="1420" w:type="dxa"/>
            <w:vAlign w:val="bottom"/>
            <w:gridSpan w:val="2"/>
          </w:tcPr>
          <w:p>
            <w:pPr>
              <w:jc w:val="right"/>
              <w:ind w:right="119"/>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(201 )</w:t>
            </w:r>
          </w:p>
        </w:tc>
      </w:tr>
      <w:tr>
        <w:trPr>
          <w:trHeight w:val="217"/>
        </w:trPr>
        <w:tc>
          <w:tcPr>
            <w:tcW w:w="6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Gain on sale of real estate</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(43 )</w:t>
            </w: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(2 )</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(41 )</w:t>
            </w:r>
          </w:p>
        </w:tc>
      </w:tr>
      <w:tr>
        <w:trPr>
          <w:trHeight w:val="215"/>
        </w:trPr>
        <w:tc>
          <w:tcPr>
            <w:tcW w:w="6560" w:type="dxa"/>
            <w:vAlign w:val="bottom"/>
          </w:tcPr>
          <w:p>
            <w:pPr>
              <w:ind w:left="20"/>
              <w:spacing w:after="0"/>
              <w:rPr>
                <w:sz w:val="20"/>
                <w:szCs w:val="20"/>
                <w:color w:val="auto"/>
              </w:rPr>
            </w:pPr>
            <w:r>
              <w:rPr>
                <w:rFonts w:ascii="Arial" w:cs="Arial" w:eastAsia="Arial" w:hAnsi="Arial"/>
                <w:sz w:val="16"/>
                <w:szCs w:val="16"/>
                <w:i w:val="1"/>
                <w:iCs w:val="1"/>
                <w:color w:val="auto"/>
              </w:rPr>
              <w:t>Fourth quarter:</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6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Gain on sale of Liberty shares</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(84 )</w:t>
            </w: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(19 )</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(65 )</w:t>
            </w:r>
          </w:p>
        </w:tc>
      </w:tr>
      <w:tr>
        <w:trPr>
          <w:trHeight w:val="215"/>
        </w:trPr>
        <w:tc>
          <w:tcPr>
            <w:tcW w:w="6560" w:type="dxa"/>
            <w:vAlign w:val="bottom"/>
          </w:tcPr>
          <w:p>
            <w:pPr>
              <w:ind w:left="200"/>
              <w:spacing w:after="0"/>
              <w:rPr>
                <w:sz w:val="20"/>
                <w:szCs w:val="20"/>
                <w:color w:val="auto"/>
              </w:rPr>
            </w:pPr>
            <w:r>
              <w:rPr>
                <w:rFonts w:ascii="Arial" w:cs="Arial" w:eastAsia="Arial" w:hAnsi="Arial"/>
                <w:sz w:val="16"/>
                <w:szCs w:val="16"/>
                <w:color w:val="auto"/>
              </w:rPr>
              <w:t>Loss on Blue Chip Swap transactions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r>
      <w:tr>
        <w:trPr>
          <w:trHeight w:val="217"/>
        </w:trPr>
        <w:tc>
          <w:tcPr>
            <w:tcW w:w="6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Gain on ADC equity investment</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(107 )</w:t>
            </w: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(3 )</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(104 )</w:t>
            </w:r>
          </w:p>
        </w:tc>
      </w:tr>
      <w:tr>
        <w:trPr>
          <w:trHeight w:val="215"/>
        </w:trPr>
        <w:tc>
          <w:tcPr>
            <w:tcW w:w="6560" w:type="dxa"/>
            <w:vAlign w:val="bottom"/>
          </w:tcPr>
          <w:p>
            <w:pPr>
              <w:ind w:left="200"/>
              <w:spacing w:after="0"/>
              <w:rPr>
                <w:sz w:val="20"/>
                <w:szCs w:val="20"/>
                <w:color w:val="auto"/>
              </w:rPr>
            </w:pPr>
            <w:r>
              <w:rPr>
                <w:rFonts w:ascii="Arial" w:cs="Arial" w:eastAsia="Arial" w:hAnsi="Arial"/>
                <w:sz w:val="16"/>
                <w:szCs w:val="16"/>
                <w:color w:val="auto"/>
              </w:rPr>
              <w:t>Gain on repurchase of bonds</w:t>
            </w:r>
          </w:p>
        </w:tc>
        <w:tc>
          <w:tcPr>
            <w:tcW w:w="120" w:type="dxa"/>
            <w:vAlign w:val="bottom"/>
          </w:tcPr>
          <w:p>
            <w:pPr>
              <w:spacing w:after="0"/>
              <w:rPr>
                <w:sz w:val="18"/>
                <w:szCs w:val="18"/>
                <w:color w:val="auto"/>
              </w:rPr>
            </w:pPr>
          </w:p>
        </w:tc>
        <w:tc>
          <w:tcPr>
            <w:tcW w:w="1520" w:type="dxa"/>
            <w:vAlign w:val="bottom"/>
            <w:gridSpan w:val="2"/>
          </w:tcPr>
          <w:p>
            <w:pPr>
              <w:jc w:val="right"/>
              <w:ind w:right="139"/>
              <w:spacing w:after="0"/>
              <w:rPr>
                <w:sz w:val="20"/>
                <w:szCs w:val="20"/>
                <w:color w:val="auto"/>
              </w:rPr>
            </w:pPr>
            <w:r>
              <w:rPr>
                <w:rFonts w:ascii="Arial" w:cs="Arial" w:eastAsia="Arial" w:hAnsi="Arial"/>
                <w:sz w:val="16"/>
                <w:szCs w:val="16"/>
                <w:color w:val="auto"/>
              </w:rPr>
              <w:t>(11 )</w:t>
            </w:r>
          </w:p>
        </w:tc>
        <w:tc>
          <w:tcPr>
            <w:tcW w:w="180" w:type="dxa"/>
            <w:vAlign w:val="bottom"/>
          </w:tcPr>
          <w:p>
            <w:pPr>
              <w:spacing w:after="0"/>
              <w:rPr>
                <w:sz w:val="18"/>
                <w:szCs w:val="18"/>
                <w:color w:val="auto"/>
              </w:rPr>
            </w:pPr>
          </w:p>
        </w:tc>
        <w:tc>
          <w:tcPr>
            <w:tcW w:w="1420" w:type="dxa"/>
            <w:vAlign w:val="bottom"/>
            <w:gridSpan w:val="2"/>
          </w:tcPr>
          <w:p>
            <w:pPr>
              <w:jc w:val="right"/>
              <w:ind w:right="119"/>
              <w:spacing w:after="0"/>
              <w:rPr>
                <w:sz w:val="20"/>
                <w:szCs w:val="20"/>
                <w:color w:val="auto"/>
              </w:rPr>
            </w:pPr>
            <w:r>
              <w:rPr>
                <w:rFonts w:ascii="Arial" w:cs="Arial" w:eastAsia="Arial" w:hAnsi="Arial"/>
                <w:sz w:val="16"/>
                <w:szCs w:val="16"/>
                <w:color w:val="auto"/>
              </w:rPr>
              <w:t>(2 )</w:t>
            </w:r>
          </w:p>
        </w:tc>
        <w:tc>
          <w:tcPr>
            <w:tcW w:w="1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(9 )</w:t>
            </w:r>
          </w:p>
        </w:tc>
      </w:tr>
      <w:tr>
        <w:trPr>
          <w:trHeight w:val="250"/>
        </w:trPr>
        <w:tc>
          <w:tcPr>
            <w:tcW w:w="656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(347</w:t>
            </w:r>
          </w:p>
        </w:tc>
        <w:tc>
          <w:tcPr>
            <w:tcW w:w="280" w:type="dxa"/>
            <w:vAlign w:val="bottom"/>
            <w:tcBorders>
              <w:top w:val="single" w:sz="8" w:color="CFF0FC"/>
              <w:bottom w:val="single" w:sz="8" w:color="CFF0FC"/>
            </w:tcBorders>
            <w:shd w:val="clear" w:color="auto" w:fill="CFF0FC"/>
          </w:tcPr>
          <w:p>
            <w:pPr>
              <w:jc w:val="right"/>
              <w:ind w:right="139"/>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260" w:type="dxa"/>
            <w:vAlign w:val="bottom"/>
            <w:tcBorders>
              <w:top w:val="single" w:sz="8" w:color="CFF0FC"/>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-24765</wp:posOffset>
            </wp:positionV>
            <wp:extent cx="7747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7747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-170815</wp:posOffset>
            </wp:positionV>
            <wp:extent cx="7747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left="760" w:hanging="378"/>
        <w:spacing w:after="0" w:line="285" w:lineRule="auto"/>
        <w:tabs>
          <w:tab w:leader="none" w:pos="76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During 2022, SLB sold 47.8 million of its shares of Liberty and received proceeds of $730 million. These transactions resulted in gains of $325 million. As of December 31, 2022, SLB had a 5% equity interest in Liberty.</w:t>
      </w:r>
    </w:p>
    <w:p>
      <w:pPr>
        <w:spacing w:after="0" w:line="129"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The Central Bank of Argentina maintains certain currency controls that limit SLB’s ability to access US dollars in Argentina and remit cash from its operations in Argentina. A legal indirect foreign exchange mechanism exists, in the form of capital market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ind w:left="760"/>
        <w:spacing w:after="0" w:line="286" w:lineRule="auto"/>
        <w:rPr>
          <w:sz w:val="20"/>
          <w:szCs w:val="20"/>
          <w:color w:val="auto"/>
        </w:rPr>
      </w:pPr>
      <w:r>
        <w:rPr>
          <w:rFonts w:ascii="Arial" w:cs="Arial" w:eastAsia="Arial" w:hAnsi="Arial"/>
          <w:sz w:val="16"/>
          <w:szCs w:val="16"/>
          <w:color w:val="auto"/>
        </w:rPr>
        <w:t>transactions known as Blue Chip Swaps, which effectively results in a parallel US dollar exchange rate. During the fourth quarter of 2022, SLB entered into Blue Chip Swap transactions that resulted in a loss of $139 million.</w:t>
      </w:r>
    </w:p>
    <w:p>
      <w:pPr>
        <w:spacing w:after="0" w:line="129" w:lineRule="exact"/>
        <w:rPr>
          <w:sz w:val="20"/>
          <w:szCs w:val="20"/>
          <w:color w:val="auto"/>
        </w:rPr>
      </w:pPr>
    </w:p>
    <w:p>
      <w:pPr>
        <w:ind w:left="760" w:right="20" w:hanging="378"/>
        <w:spacing w:after="0" w:line="285" w:lineRule="auto"/>
        <w:tabs>
          <w:tab w:leader="none" w:pos="76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fourth quarter of 2022, SLB repurchased $395 million of its 3.75% Senior Notes due 2024, and $409 million of its 4.00% Senior Notes due 2025 for $790 million, resulting in a gain of $11 million after considering the write-off of the related deferred financing fees and other costs.</w:t>
      </w:r>
    </w:p>
    <w:p>
      <w:pPr>
        <w:spacing w:after="0" w:line="129" w:lineRule="exact"/>
        <w:rPr>
          <w:rFonts w:ascii="Times New Roman" w:cs="Times New Roman" w:eastAsia="Times New Roman" w:hAnsi="Times New Roman"/>
          <w:sz w:val="16"/>
          <w:szCs w:val="16"/>
          <w:color w:val="auto"/>
        </w:rPr>
      </w:pPr>
    </w:p>
    <w:p>
      <w:pPr>
        <w:jc w:val="both"/>
        <w:ind w:left="760" w:hanging="378"/>
        <w:spacing w:after="0" w:line="253" w:lineRule="auto"/>
        <w:tabs>
          <w:tab w:leader="none" w:pos="76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SLB accounts for its investment in the Arabian Drilling Company (“ADC”), an onshore and offshore gas and oil rig drilling company in Saudi Arabia, under the equity method. During the fourth quarter of 2022, ADC completed an initial public offering (“IPO”). In connection with the IPO, SLB sold a portion of its interest in a secondary offering that resulted in SLB receiving net proceeds of $223 million. As a result of these transactions, SLB’s ownership interest in ADC decreased from 49% to approximately 34%. SLB recognized a gain of $107 million, representing the gain on the sale of a portion of its interest as well as the effect of the ownership dilution of its equity investment due to the IPO. As of December 31, 2023, the fair value of SLB’s investment in ADC, based on the quoted market price of ADC’s shares, was approximately $1.4 billion and the carrying value of its investment was $602 million. SLB accounts for its share of ADC’s net income on a one-quarter lag.</w:t>
      </w:r>
    </w:p>
    <w:p>
      <w:pPr>
        <w:spacing w:after="0" w:line="153"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second quarter of 2022, SLB sold certain real estate and received proceeds of $120 million. As a result of this transaction, SLB recognized a gain of $43 million.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SLB recorded the following charges and credits during 2021, all of which are classified in </w:t>
      </w:r>
      <w:r>
        <w:rPr>
          <w:rFonts w:ascii="Arial" w:cs="Arial" w:eastAsia="Arial" w:hAnsi="Arial"/>
          <w:sz w:val="16"/>
          <w:szCs w:val="16"/>
          <w:i w:val="1"/>
          <w:iCs w:val="1"/>
          <w:color w:val="auto"/>
        </w:rPr>
        <w:t>Interest &amp; other income, net</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w:t>
      </w:r>
      <w:r>
        <w:rPr>
          <w:rFonts w:ascii="Arial" w:cs="Arial" w:eastAsia="Arial" w:hAnsi="Arial"/>
          <w:sz w:val="16"/>
          <w:szCs w:val="16"/>
          <w:color w:val="auto"/>
        </w:rPr>
        <w:t>:</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39"/>
        </w:trPr>
        <w:tc>
          <w:tcPr>
            <w:tcW w:w="6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6"/>
                <w:szCs w:val="16"/>
                <w:color w:val="auto"/>
              </w:rPr>
              <w:t>Pretax Charge</w:t>
            </w:r>
          </w:p>
        </w:tc>
        <w:tc>
          <w:tcPr>
            <w:tcW w:w="180" w:type="dxa"/>
            <w:vAlign w:val="bottom"/>
          </w:tcPr>
          <w:p>
            <w:pPr>
              <w:spacing w:after="0"/>
              <w:rPr>
                <w:sz w:val="24"/>
                <w:szCs w:val="24"/>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6"/>
                <w:szCs w:val="16"/>
                <w:color w:val="auto"/>
              </w:rPr>
              <w:t>Tax Benefit</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6"/>
                <w:szCs w:val="16"/>
                <w:color w:val="auto"/>
              </w:rPr>
              <w:t>(Credit)</w:t>
            </w:r>
          </w:p>
        </w:tc>
        <w:tc>
          <w:tcPr>
            <w:tcW w:w="18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6"/>
                <w:szCs w:val="16"/>
                <w:color w:val="auto"/>
              </w:rPr>
              <w:t>(Expense)</w:t>
            </w:r>
          </w:p>
        </w:tc>
        <w:tc>
          <w:tcPr>
            <w:tcW w:w="12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6"/>
                <w:szCs w:val="16"/>
                <w:color w:val="auto"/>
              </w:rPr>
              <w:t>Net</w:t>
            </w:r>
          </w:p>
        </w:tc>
      </w:tr>
      <w:tr>
        <w:trPr>
          <w:trHeight w:val="210"/>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Third quarter:</w:t>
            </w: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6560" w:type="dxa"/>
            <w:vAlign w:val="bottom"/>
          </w:tcPr>
          <w:p>
            <w:pPr>
              <w:ind w:left="200"/>
              <w:spacing w:after="0"/>
              <w:rPr>
                <w:sz w:val="20"/>
                <w:szCs w:val="20"/>
                <w:color w:val="auto"/>
              </w:rPr>
            </w:pPr>
            <w:r>
              <w:rPr>
                <w:rFonts w:ascii="Arial" w:cs="Arial" w:eastAsia="Arial" w:hAnsi="Arial"/>
                <w:sz w:val="16"/>
                <w:szCs w:val="16"/>
                <w:color w:val="auto"/>
              </w:rPr>
              <w:t>Unrealized gain on marketable securities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(47 )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(11 )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(36 )</w:t>
            </w:r>
          </w:p>
        </w:tc>
      </w:tr>
      <w:tr>
        <w:trPr>
          <w:trHeight w:val="217"/>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Fourth quarter:</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6560" w:type="dxa"/>
            <w:vAlign w:val="bottom"/>
          </w:tcPr>
          <w:p>
            <w:pPr>
              <w:ind w:left="200"/>
              <w:spacing w:after="0"/>
              <w:rPr>
                <w:sz w:val="20"/>
                <w:szCs w:val="20"/>
                <w:color w:val="auto"/>
              </w:rPr>
            </w:pPr>
            <w:r>
              <w:rPr>
                <w:rFonts w:ascii="Arial" w:cs="Arial" w:eastAsia="Arial" w:hAnsi="Arial"/>
                <w:sz w:val="16"/>
                <w:szCs w:val="16"/>
                <w:color w:val="auto"/>
              </w:rPr>
              <w:t>Gain on sale of Liberty shares</w:t>
            </w:r>
          </w:p>
        </w:tc>
        <w:tc>
          <w:tcPr>
            <w:tcW w:w="12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(28 )</w:t>
            </w:r>
          </w:p>
        </w:tc>
        <w:tc>
          <w:tcPr>
            <w:tcW w:w="18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(4 )</w:t>
            </w:r>
          </w:p>
        </w:tc>
        <w:tc>
          <w:tcPr>
            <w:tcW w:w="1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(24 )</w:t>
            </w:r>
          </w:p>
        </w:tc>
      </w:tr>
      <w:tr>
        <w:trPr>
          <w:trHeight w:val="217"/>
        </w:trPr>
        <w:tc>
          <w:tcPr>
            <w:tcW w:w="6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Early repayment of bonds</w:t>
            </w: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(65 )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(15 )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(50 )</w:t>
            </w:r>
          </w:p>
        </w:tc>
      </w:tr>
      <w:tr>
        <w:trPr>
          <w:trHeight w:val="20"/>
        </w:trPr>
        <w:tc>
          <w:tcPr>
            <w:tcW w:w="6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-170815</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Third quarter 2021:</w:t>
      </w:r>
    </w:p>
    <w:p>
      <w:pPr>
        <w:spacing w:after="0" w:line="111" w:lineRule="exact"/>
        <w:rPr>
          <w:sz w:val="20"/>
          <w:szCs w:val="20"/>
          <w:color w:val="auto"/>
        </w:rPr>
      </w:pPr>
    </w:p>
    <w:p>
      <w:pPr>
        <w:jc w:val="both"/>
        <w:ind w:left="760" w:hanging="378"/>
        <w:spacing w:after="0" w:line="266" w:lineRule="auto"/>
        <w:tabs>
          <w:tab w:leader="none" w:pos="76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third quarter of 2021, a start-up company that SLB previously invested in was acquired. As a result of this transaction, SLB’s ownership interest was converted into shares of a publicly traded company. SLB recognized an unrealized pretax gain of $47 million to increase the carrying value of this investment to its estimated fair value of approximately $55 million.</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Fourth quarter 2021:</w:t>
      </w:r>
    </w:p>
    <w:p>
      <w:pPr>
        <w:spacing w:after="0" w:line="111" w:lineRule="exact"/>
        <w:rPr>
          <w:sz w:val="20"/>
          <w:szCs w:val="20"/>
          <w:color w:val="auto"/>
        </w:rPr>
      </w:pPr>
    </w:p>
    <w:p>
      <w:pPr>
        <w:ind w:left="760" w:hanging="378"/>
        <w:spacing w:after="0" w:line="285" w:lineRule="auto"/>
        <w:tabs>
          <w:tab w:leader="none" w:pos="760" w:val="left"/>
        </w:tabs>
        <w:numPr>
          <w:ilvl w:val="1"/>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SLB sold 9.5 million of its shares of Liberty and received proceeds of $109 million. As a result of this transaction SLB recognized a gain of $28 million.</w:t>
      </w:r>
    </w:p>
    <w:p>
      <w:pPr>
        <w:spacing w:after="0" w:line="129"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1"/>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On November 30, 2021, SLB deposited sufficient funds with the trustee for its $1.0 billion of 2.40% Senior Notes due 2022 to satisfy and discharge all of its obligations relating to such notes. As a result of this transaction, SLB recorded a charge of $10 million.</w:t>
      </w:r>
    </w:p>
    <w:p>
      <w:pPr>
        <w:spacing w:after="0" w:line="156"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Inventories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Inventories, which are stated at the lower of average cost or net realizable value, consist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40"/>
        </w:trPr>
        <w:tc>
          <w:tcPr>
            <w:tcW w:w="38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Raw materials &amp; field materials</w:t>
            </w:r>
          </w:p>
        </w:tc>
        <w:tc>
          <w:tcPr>
            <w:tcW w:w="4860" w:type="dxa"/>
            <w:vAlign w:val="bottom"/>
            <w:gridSpan w:val="2"/>
            <w:shd w:val="clear" w:color="auto" w:fill="CFF0FC"/>
          </w:tcPr>
          <w:p>
            <w:pPr>
              <w:jc w:val="right"/>
              <w:ind w:right="899"/>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2,296</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Work in progress</w:t>
            </w:r>
          </w:p>
        </w:tc>
        <w:tc>
          <w:tcPr>
            <w:tcW w:w="3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762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Finished goods</w:t>
            </w:r>
          </w:p>
        </w:tc>
        <w:tc>
          <w:tcPr>
            <w:tcW w:w="37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1,329</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tcPr>
          <w:p>
            <w:pPr>
              <w:spacing w:after="0"/>
              <w:rPr>
                <w:sz w:val="18"/>
                <w:szCs w:val="18"/>
                <w:color w:val="auto"/>
              </w:rPr>
            </w:pPr>
          </w:p>
        </w:tc>
        <w:tc>
          <w:tcPr>
            <w:tcW w:w="4860" w:type="dxa"/>
            <w:vAlign w:val="bottom"/>
            <w:gridSpan w:val="2"/>
          </w:tcPr>
          <w:p>
            <w:pPr>
              <w:jc w:val="right"/>
              <w:ind w:right="899"/>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4,387</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780" w:type="dxa"/>
            <w:vAlign w:val="bottom"/>
            <w:vMerge w:val="restart"/>
          </w:tcPr>
          <w:p>
            <w:pPr>
              <w:jc w:val="right"/>
              <w:ind w:right="1859"/>
              <w:spacing w:after="0"/>
              <w:rPr>
                <w:sz w:val="20"/>
                <w:szCs w:val="20"/>
                <w:color w:val="auto"/>
              </w:rPr>
            </w:pPr>
            <w:r>
              <w:rPr>
                <w:rFonts w:ascii="Arial" w:cs="Arial" w:eastAsia="Arial" w:hAnsi="Arial"/>
                <w:sz w:val="16"/>
                <w:szCs w:val="16"/>
                <w:color w:val="auto"/>
              </w:rPr>
              <w:t>38</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388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3"/>
        </w:trPr>
        <w:tc>
          <w:tcPr>
            <w:tcW w:w="388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-993775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ind w:left="240" w:hanging="232"/>
        <w:spacing w:after="0"/>
        <w:tabs>
          <w:tab w:leader="none" w:pos="24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Fixed Assets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Fixed assets consist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i w:val="1"/>
                <w:iCs w:val="1"/>
                <w:color w:val="auto"/>
              </w:rPr>
              <w:t>(Stated in millions)</w:t>
            </w:r>
          </w:p>
        </w:tc>
      </w:tr>
      <w:tr>
        <w:trPr>
          <w:trHeight w:val="440"/>
        </w:trPr>
        <w:tc>
          <w:tcPr>
            <w:tcW w:w="76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4"/>
                <w:szCs w:val="24"/>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Land</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323</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Buildings &amp; improvements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4,569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4,328</w:t>
            </w:r>
          </w:p>
        </w:tc>
        <w:tc>
          <w:tcPr>
            <w:tcW w:w="100" w:type="dxa"/>
            <w:vAlign w:val="bottom"/>
          </w:tcPr>
          <w:p>
            <w:pPr>
              <w:spacing w:after="0"/>
              <w:rPr>
                <w:sz w:val="18"/>
                <w:szCs w:val="18"/>
                <w:color w:val="auto"/>
              </w:rPr>
            </w:pPr>
          </w:p>
        </w:tc>
      </w:tr>
      <w:tr>
        <w:trPr>
          <w:trHeight w:val="216"/>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Machinery &amp; equipment</w:t>
            </w: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25,073</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23,732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29,965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28,386</w:t>
            </w:r>
          </w:p>
        </w:tc>
        <w:tc>
          <w:tcPr>
            <w:tcW w:w="100" w:type="dxa"/>
            <w:vAlign w:val="bottom"/>
          </w:tcPr>
          <w:p>
            <w:pPr>
              <w:spacing w:after="0"/>
              <w:rPr>
                <w:sz w:val="18"/>
                <w:szCs w:val="18"/>
                <w:color w:val="auto"/>
              </w:rPr>
            </w:pPr>
          </w:p>
        </w:tc>
      </w:tr>
      <w:tr>
        <w:trPr>
          <w:trHeight w:val="216"/>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Less: Accumulated depreciation</w:t>
            </w: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22,725</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21,779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6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7,240</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6,607</w:t>
            </w:r>
          </w:p>
        </w:tc>
        <w:tc>
          <w:tcPr>
            <w:tcW w:w="10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-454025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estimated useful lives of Buildings &amp; improvements are primarily 25 to 30 years. The estimated useful lives of Machinery &amp; equipment are primarily 5 to 10 years.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which is recorded on a straight-line basis, was $1.4 billion in 2023, 2022, and 2021.</w:t>
      </w:r>
    </w:p>
    <w:p>
      <w:pPr>
        <w:spacing w:after="0" w:line="221" w:lineRule="exact"/>
        <w:rPr>
          <w:sz w:val="20"/>
          <w:szCs w:val="20"/>
          <w:color w:val="auto"/>
        </w:rPr>
      </w:pPr>
    </w:p>
    <w:p>
      <w:pPr>
        <w:ind w:left="240" w:hanging="232"/>
        <w:spacing w:after="0"/>
        <w:tabs>
          <w:tab w:leader="none" w:pos="24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Acquisition</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October 2, 2023, SLB, Aker, and Subsea7 closed their previously announced joint venture. The new business, OneSubsea, will drive innovation and efficiency in subsea production by helping customers unlock reserves and reduce cycle time. OneSubsea now comprises SLB’s and Aker’s subsea businesses, which include an extensive complementary subsea production and processing technology portfolio, world-class manufacturing scale and capacity, access to industry-leading reservoir and digital domain expertise, unique pore-to-process integration capabilities, and strengthened research and development capabilities.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addition to contributing its subsea business to the joint venture, at closing SLB issued 5.1 million shares of its common stock valued at $306.5 million to Aker. Concurrently, Subsea7 purchased a 10% interest in exchange for $306.5 million in cash to Aker. The joint venture also issued a promissory note valued at $87.5 million to Aker. SLB owns 70% of the joint venture, while Aker owns 20% and Subsea7 owns 10%.</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The formation of the joint venture was accounted for as a business combination. As the majority owner and controlling entity, SLB is considered the acquirer and reflects OneSubsea as a consolidated subsidiary in its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The transfer of the SLB subsea business to the joint venture was accounted for at historical cost, while the Aker subsea business was recorded based on the fair value of the assets acquired and liabilities assumed of approximately $1.3 billion.</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The combination of the historical cost and fair value, discussed above, resulted in net assets of the joint venture of approximately $2.8 billion upon formation. Aker and Subsea7’s combined 30% interest in the initial net assets of OneSubsea of $0.8 billion was recognized in </w:t>
      </w:r>
      <w:r>
        <w:rPr>
          <w:rFonts w:ascii="Arial" w:cs="Arial" w:eastAsia="Arial" w:hAnsi="Arial"/>
          <w:sz w:val="16"/>
          <w:szCs w:val="16"/>
          <w:i w:val="1"/>
          <w:iCs w:val="1"/>
          <w:color w:val="auto"/>
        </w:rPr>
        <w:t>Noncontrolling interests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The $0.1 billion difference between the noncontrolling interest recognized and the fair value of Aker’s net assets acquired less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fair value of the SLB shares of common stock issued to Aker was recorded as an increase to </w:t>
      </w:r>
      <w:r>
        <w:rPr>
          <w:rFonts w:ascii="Arial" w:cs="Arial" w:eastAsia="Arial" w:hAnsi="Arial"/>
          <w:sz w:val="16"/>
          <w:szCs w:val="16"/>
          <w:i w:val="1"/>
          <w:iCs w:val="1"/>
          <w:color w:val="auto"/>
        </w:rPr>
        <w:t>Common stock</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following amounts represent the preliminary estimates of the fair value of assets acquired and liabilities assumed in connection with the formation of the joint venture. The final determination of fair value for certain assets and liabilities will be completed as soon as the information necessary to complete the analysis is obtained. These amounts, which may differ materially from these preliminary estimates, will be finalized as soon as possible, but no later than one year from the acquisition date.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224"/>
        </w:trPr>
        <w:tc>
          <w:tcPr>
            <w:tcW w:w="9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w:t>
            </w:r>
          </w:p>
        </w:tc>
        <w:tc>
          <w:tcPr>
            <w:tcW w:w="4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FF0FC"/>
          </w:tcPr>
          <w:p>
            <w:pPr>
              <w:spacing w:after="0"/>
              <w:rPr>
                <w:sz w:val="18"/>
                <w:szCs w:val="18"/>
                <w:color w:val="auto"/>
              </w:rPr>
            </w:pPr>
          </w:p>
        </w:tc>
      </w:tr>
      <w:tr>
        <w:trPr>
          <w:trHeight w:val="215"/>
        </w:trPr>
        <w:tc>
          <w:tcPr>
            <w:tcW w:w="920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4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8"/>
                <w:szCs w:val="18"/>
                <w:color w:val="auto"/>
              </w:rPr>
            </w:pPr>
          </w:p>
        </w:tc>
      </w:tr>
      <w:tr>
        <w:trPr>
          <w:trHeight w:val="217"/>
        </w:trPr>
        <w:tc>
          <w:tcPr>
            <w:tcW w:w="9200" w:type="dxa"/>
            <w:vAlign w:val="bottom"/>
            <w:shd w:val="clear" w:color="auto" w:fill="CFF0FC"/>
          </w:tcPr>
          <w:p>
            <w:pPr>
              <w:ind w:left="20"/>
              <w:spacing w:after="0" w:line="217" w:lineRule="exact"/>
              <w:rPr>
                <w:sz w:val="20"/>
                <w:szCs w:val="20"/>
                <w:color w:val="auto"/>
              </w:rPr>
            </w:pPr>
            <w:r>
              <w:rPr>
                <w:rFonts w:ascii="Arial" w:cs="Arial" w:eastAsia="Arial" w:hAnsi="Arial"/>
                <w:sz w:val="16"/>
                <w:szCs w:val="16"/>
                <w:color w:val="auto"/>
              </w:rPr>
              <w:t xml:space="preserve">Inventories </w:t>
            </w:r>
            <w:r>
              <w:rPr>
                <w:rFonts w:ascii="Arial" w:cs="Arial" w:eastAsia="Arial" w:hAnsi="Arial"/>
                <w:sz w:val="21"/>
                <w:szCs w:val="21"/>
                <w:color w:val="auto"/>
                <w:vertAlign w:val="superscript"/>
              </w:rPr>
              <w:t>(1)</w:t>
            </w:r>
          </w:p>
        </w:tc>
        <w:tc>
          <w:tcPr>
            <w:tcW w:w="4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FF0FC"/>
          </w:tcPr>
          <w:p>
            <w:pPr>
              <w:spacing w:after="0"/>
              <w:rPr>
                <w:sz w:val="18"/>
                <w:szCs w:val="18"/>
                <w:color w:val="auto"/>
              </w:rPr>
            </w:pPr>
          </w:p>
        </w:tc>
      </w:tr>
      <w:tr>
        <w:trPr>
          <w:trHeight w:val="215"/>
        </w:trPr>
        <w:tc>
          <w:tcPr>
            <w:tcW w:w="920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4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8"/>
                <w:szCs w:val="18"/>
                <w:color w:val="auto"/>
              </w:rPr>
            </w:pPr>
          </w:p>
        </w:tc>
      </w:tr>
      <w:tr>
        <w:trPr>
          <w:trHeight w:val="217"/>
        </w:trPr>
        <w:tc>
          <w:tcPr>
            <w:tcW w:w="9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Fixed assets</w:t>
            </w:r>
          </w:p>
        </w:tc>
        <w:tc>
          <w:tcPr>
            <w:tcW w:w="4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FF0FC"/>
          </w:tcPr>
          <w:p>
            <w:pPr>
              <w:spacing w:after="0"/>
              <w:rPr>
                <w:sz w:val="18"/>
                <w:szCs w:val="18"/>
                <w:color w:val="auto"/>
              </w:rPr>
            </w:pPr>
          </w:p>
        </w:tc>
      </w:tr>
      <w:tr>
        <w:trPr>
          <w:trHeight w:val="215"/>
        </w:trPr>
        <w:tc>
          <w:tcPr>
            <w:tcW w:w="9200" w:type="dxa"/>
            <w:vAlign w:val="bottom"/>
          </w:tcPr>
          <w:p>
            <w:pPr>
              <w:ind w:left="20"/>
              <w:spacing w:after="0"/>
              <w:rPr>
                <w:sz w:val="20"/>
                <w:szCs w:val="20"/>
                <w:color w:val="auto"/>
              </w:rPr>
            </w:pPr>
            <w:r>
              <w:rPr>
                <w:rFonts w:ascii="Arial" w:cs="Arial" w:eastAsia="Arial" w:hAnsi="Arial"/>
                <w:sz w:val="16"/>
                <w:szCs w:val="16"/>
                <w:color w:val="auto"/>
              </w:rPr>
              <w:t>Intangible assets (weighted average life of 18 years)</w:t>
            </w:r>
          </w:p>
        </w:tc>
        <w:tc>
          <w:tcPr>
            <w:tcW w:w="4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8"/>
                <w:szCs w:val="18"/>
                <w:color w:val="auto"/>
              </w:rPr>
            </w:pPr>
          </w:p>
        </w:tc>
      </w:tr>
      <w:tr>
        <w:trPr>
          <w:trHeight w:val="217"/>
        </w:trPr>
        <w:tc>
          <w:tcPr>
            <w:tcW w:w="9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Accounts payable and accrued liabilities</w:t>
            </w:r>
          </w:p>
        </w:tc>
        <w:tc>
          <w:tcPr>
            <w:tcW w:w="4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(915 )</w:t>
            </w:r>
          </w:p>
        </w:tc>
      </w:tr>
      <w:tr>
        <w:trPr>
          <w:trHeight w:val="215"/>
        </w:trPr>
        <w:tc>
          <w:tcPr>
            <w:tcW w:w="9200" w:type="dxa"/>
            <w:vAlign w:val="bottom"/>
          </w:tcPr>
          <w:p>
            <w:pPr>
              <w:ind w:left="20"/>
              <w:spacing w:after="0"/>
              <w:rPr>
                <w:sz w:val="20"/>
                <w:szCs w:val="20"/>
                <w:color w:val="auto"/>
              </w:rPr>
            </w:pPr>
            <w:r>
              <w:rPr>
                <w:rFonts w:ascii="Arial" w:cs="Arial" w:eastAsia="Arial" w:hAnsi="Arial"/>
                <w:sz w:val="16"/>
                <w:szCs w:val="16"/>
                <w:color w:val="auto"/>
              </w:rPr>
              <w:t>Deferred taxes</w:t>
            </w:r>
          </w:p>
        </w:tc>
        <w:tc>
          <w:tcPr>
            <w:tcW w:w="42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6"/>
                <w:szCs w:val="16"/>
                <w:color w:val="auto"/>
              </w:rPr>
              <w:t>(127 )</w:t>
            </w:r>
          </w:p>
        </w:tc>
      </w:tr>
      <w:tr>
        <w:trPr>
          <w:trHeight w:val="217"/>
        </w:trPr>
        <w:tc>
          <w:tcPr>
            <w:tcW w:w="9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liabilities</w:t>
            </w:r>
          </w:p>
        </w:tc>
        <w:tc>
          <w:tcPr>
            <w:tcW w:w="4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(1 )</w:t>
            </w:r>
          </w:p>
        </w:tc>
      </w:tr>
      <w:tr>
        <w:trPr>
          <w:trHeight w:val="209"/>
        </w:trPr>
        <w:tc>
          <w:tcPr>
            <w:tcW w:w="920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Total identifiable net assets</w:t>
            </w: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Borders>
              <w:top w:val="single" w:sz="8" w:color="CFF0FC"/>
            </w:tcBorders>
          </w:tcPr>
          <w:p>
            <w:pPr>
              <w:spacing w:after="0"/>
              <w:rPr>
                <w:sz w:val="18"/>
                <w:szCs w:val="18"/>
                <w:color w:val="auto"/>
              </w:rPr>
            </w:pPr>
          </w:p>
        </w:tc>
      </w:tr>
      <w:tr>
        <w:trPr>
          <w:trHeight w:val="217"/>
        </w:trPr>
        <w:tc>
          <w:tcPr>
            <w:tcW w:w="9200" w:type="dxa"/>
            <w:vAlign w:val="bottom"/>
            <w:tcBorders>
              <w:bottom w:val="single" w:sz="8" w:color="CFF0FC"/>
            </w:tcBorders>
            <w:shd w:val="clear" w:color="auto" w:fill="CFF0FC"/>
          </w:tcPr>
          <w:p>
            <w:pPr>
              <w:ind w:left="20"/>
              <w:spacing w:after="0" w:line="217" w:lineRule="exact"/>
              <w:rPr>
                <w:sz w:val="20"/>
                <w:szCs w:val="20"/>
                <w:color w:val="auto"/>
              </w:rPr>
            </w:pPr>
            <w:r>
              <w:rPr>
                <w:rFonts w:ascii="Arial" w:cs="Arial" w:eastAsia="Arial" w:hAnsi="Arial"/>
                <w:sz w:val="16"/>
                <w:szCs w:val="16"/>
                <w:color w:val="auto"/>
              </w:rPr>
              <w:t xml:space="preserve">Goodwill </w:t>
            </w:r>
            <w:r>
              <w:rPr>
                <w:rFonts w:ascii="Arial" w:cs="Arial" w:eastAsia="Arial" w:hAnsi="Arial"/>
                <w:sz w:val="21"/>
                <w:szCs w:val="21"/>
                <w:color w:val="auto"/>
                <w:vertAlign w:val="superscript"/>
              </w:rPr>
              <w:t>(2)</w:t>
            </w:r>
          </w:p>
        </w:tc>
        <w:tc>
          <w:tcPr>
            <w:tcW w:w="4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200" w:type="dxa"/>
            <w:vAlign w:val="bottom"/>
          </w:tcPr>
          <w:p>
            <w:pPr>
              <w:ind w:left="200"/>
              <w:spacing w:after="0"/>
              <w:rPr>
                <w:sz w:val="20"/>
                <w:szCs w:val="20"/>
                <w:color w:val="auto"/>
              </w:rPr>
            </w:pPr>
            <w:r>
              <w:rPr>
                <w:rFonts w:ascii="Arial" w:cs="Arial" w:eastAsia="Arial" w:hAnsi="Arial"/>
                <w:sz w:val="16"/>
                <w:szCs w:val="16"/>
                <w:color w:val="auto"/>
              </w:rPr>
              <w:t>Total consideration transferred</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1,313</w:t>
            </w:r>
          </w:p>
        </w:tc>
        <w:tc>
          <w:tcPr>
            <w:tcW w:w="100" w:type="dxa"/>
            <w:vAlign w:val="bottom"/>
          </w:tcPr>
          <w:p>
            <w:pPr>
              <w:spacing w:after="0"/>
              <w:rPr>
                <w:sz w:val="18"/>
                <w:szCs w:val="18"/>
                <w:color w:val="auto"/>
              </w:rPr>
            </w:pPr>
          </w:p>
        </w:tc>
      </w:tr>
      <w:tr>
        <w:trPr>
          <w:trHeight w:val="20"/>
        </w:trPr>
        <w:tc>
          <w:tcPr>
            <w:tcW w:w="9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jc w:val="both"/>
        <w:ind w:left="1020" w:hanging="499"/>
        <w:spacing w:after="0" w:line="229" w:lineRule="auto"/>
        <w:tabs>
          <w:tab w:leader="none" w:pos="1020" w:val="left"/>
        </w:tabs>
        <w:numPr>
          <w:ilvl w:val="0"/>
          <w:numId w:val="36"/>
        </w:numPr>
        <w:rPr>
          <w:rFonts w:ascii="Arial" w:cs="Arial" w:eastAsia="Arial" w:hAnsi="Arial"/>
          <w:sz w:val="22"/>
          <w:szCs w:val="22"/>
          <w:color w:val="auto"/>
          <w:vertAlign w:val="superscript"/>
        </w:rPr>
      </w:pPr>
      <w:r>
        <w:rPr>
          <w:rFonts w:ascii="Arial" w:cs="Arial" w:eastAsia="Arial" w:hAnsi="Arial"/>
          <w:sz w:val="16"/>
          <w:szCs w:val="16"/>
          <w:color w:val="auto"/>
        </w:rPr>
        <w:t xml:space="preserve">SLB recorded an adjustment of $54 million to write-up the acquired inventory to its estimated fair value. SLB’s </w:t>
      </w:r>
      <w:r>
        <w:rPr>
          <w:rFonts w:ascii="Arial" w:cs="Arial" w:eastAsia="Arial" w:hAnsi="Arial"/>
          <w:sz w:val="16"/>
          <w:szCs w:val="16"/>
          <w:i w:val="1"/>
          <w:iCs w:val="1"/>
          <w:color w:val="auto"/>
        </w:rPr>
        <w:t>Cost of sales</w:t>
      </w:r>
      <w:r>
        <w:rPr>
          <w:rFonts w:ascii="Arial" w:cs="Arial" w:eastAsia="Arial" w:hAnsi="Arial"/>
          <w:sz w:val="16"/>
          <w:szCs w:val="16"/>
          <w:color w:val="auto"/>
        </w:rPr>
        <w:t xml:space="preserve"> will reflect this increased valuation as the acquired inventory is sold. $11 million of this adjustment was expensed as of December 31, 2023. See Note 3 – </w:t>
      </w:r>
      <w:r>
        <w:rPr>
          <w:rFonts w:ascii="Arial" w:cs="Arial" w:eastAsia="Arial" w:hAnsi="Arial"/>
          <w:sz w:val="16"/>
          <w:szCs w:val="16"/>
          <w:i w:val="1"/>
          <w:iCs w:val="1"/>
          <w:color w:val="auto"/>
        </w:rPr>
        <w:t>Charges and Credits</w:t>
      </w:r>
      <w:r>
        <w:rPr>
          <w:rFonts w:ascii="Arial" w:cs="Arial" w:eastAsia="Arial" w:hAnsi="Arial"/>
          <w:sz w:val="16"/>
          <w:szCs w:val="16"/>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39" w:name="page40"/>
    <w:bookmarkEnd w:id="39"/>
    <w:p>
      <w:pPr>
        <w:ind w:left="1020" w:hanging="499"/>
        <w:spacing w:after="0" w:line="221" w:lineRule="auto"/>
        <w:tabs>
          <w:tab w:leader="none" w:pos="1020" w:val="left"/>
        </w:tabs>
        <w:numPr>
          <w:ilvl w:val="0"/>
          <w:numId w:val="37"/>
        </w:numPr>
        <w:rPr>
          <w:rFonts w:ascii="Arial" w:cs="Arial" w:eastAsia="Arial" w:hAnsi="Arial"/>
          <w:sz w:val="22"/>
          <w:szCs w:val="22"/>
          <w:color w:val="auto"/>
          <w:vertAlign w:val="superscript"/>
        </w:rPr>
      </w:pPr>
      <w:r>
        <w:rPr>
          <w:rFonts w:ascii="Arial" w:cs="Arial" w:eastAsia="Arial" w:hAnsi="Arial"/>
          <w:sz w:val="16"/>
          <w:szCs w:val="16"/>
          <w:color w:val="auto"/>
        </w:rPr>
        <w:t>The goodwill recognized is primarily attributable to intangible assets that do not qualify for separate recognition as well as expected synergies from combining the subsea operations of SLB and Aker. None of the goodwill is deductible for income tax purposes.</w:t>
      </w:r>
    </w:p>
    <w:p>
      <w:pPr>
        <w:spacing w:after="0" w:line="16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For the period from October 2, 2023 to December 31, 2023, the subsea business acquired from Aker contributed revenue of approximately $0.5 billion. The acquired Aker subsea business’ contribution to </w:t>
      </w:r>
      <w:r>
        <w:rPr>
          <w:rFonts w:ascii="Arial" w:cs="Arial" w:eastAsia="Arial" w:hAnsi="Arial"/>
          <w:sz w:val="16"/>
          <w:szCs w:val="16"/>
          <w:i w:val="1"/>
          <w:iCs w:val="1"/>
          <w:color w:val="auto"/>
        </w:rPr>
        <w:t>Net income attributable to SLB</w:t>
      </w:r>
      <w:r>
        <w:rPr>
          <w:rFonts w:ascii="Arial" w:cs="Arial" w:eastAsia="Arial" w:hAnsi="Arial"/>
          <w:sz w:val="16"/>
          <w:szCs w:val="16"/>
          <w:color w:val="auto"/>
        </w:rPr>
        <w:t xml:space="preserve"> for the same period was not material.</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 xml:space="preserve">Aker reported revenue for its subsea business of approximately $1.5 billion for the year ended December 31, 2022 and $1.4 billion for the nine months ended September 30, 2023. Assuming SLB had acquired Aker’s subsea business as of January 1, 2022, </w:t>
      </w:r>
      <w:r>
        <w:rPr>
          <w:rFonts w:ascii="Arial" w:cs="Arial" w:eastAsia="Arial" w:hAnsi="Arial"/>
          <w:sz w:val="16"/>
          <w:szCs w:val="16"/>
          <w:i w:val="1"/>
          <w:iCs w:val="1"/>
          <w:color w:val="auto"/>
        </w:rPr>
        <w:t>Net income attributable to SLB</w:t>
      </w:r>
      <w:r>
        <w:rPr>
          <w:rFonts w:ascii="Arial" w:cs="Arial" w:eastAsia="Arial" w:hAnsi="Arial"/>
          <w:sz w:val="16"/>
          <w:szCs w:val="16"/>
          <w:color w:val="auto"/>
        </w:rPr>
        <w:t xml:space="preserve"> and diluted earnings per share on a pro forma basis would not be materially different from SLB’s reported results for the years ended December 31, 2023 and 2022, respectively.</w:t>
      </w:r>
    </w:p>
    <w:p>
      <w:pPr>
        <w:spacing w:after="0" w:line="369" w:lineRule="exact"/>
        <w:rPr>
          <w:sz w:val="20"/>
          <w:szCs w:val="20"/>
          <w:color w:val="auto"/>
        </w:rPr>
      </w:pPr>
    </w:p>
    <w:p>
      <w:pPr>
        <w:ind w:left="240" w:hanging="232"/>
        <w:spacing w:after="0"/>
        <w:tabs>
          <w:tab w:leader="none" w:pos="24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Goodwill</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carrying amount of goodwill by segment were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gridSpan w:val="5"/>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38"/>
        </w:trPr>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6"/>
                <w:szCs w:val="16"/>
                <w:color w:val="auto"/>
              </w:rPr>
              <w:t>Digital &amp;</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Reservoir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Well</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Production</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Integration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Performance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Construction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Systems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5"/>
              </w:rPr>
              <w:t>Total</w:t>
            </w:r>
          </w:p>
        </w:tc>
        <w:tc>
          <w:tcPr>
            <w:tcW w:w="100" w:type="dxa"/>
            <w:vAlign w:val="bottom"/>
          </w:tcPr>
          <w:p>
            <w:pPr>
              <w:spacing w:after="0"/>
              <w:rPr>
                <w:sz w:val="18"/>
                <w:szCs w:val="18"/>
                <w:color w:val="auto"/>
              </w:rPr>
            </w:pPr>
          </w:p>
        </w:tc>
      </w:tr>
      <w:tr>
        <w:trPr>
          <w:trHeight w:val="210"/>
        </w:trPr>
        <w:tc>
          <w:tcPr>
            <w:tcW w:w="31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Balance, December 31, 2021</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2,052</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3,804</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6,281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853</w:t>
            </w:r>
          </w:p>
        </w:tc>
        <w:tc>
          <w:tcPr>
            <w:tcW w:w="60" w:type="dxa"/>
            <w:vAlign w:val="bottom"/>
            <w:shd w:val="clear" w:color="auto" w:fill="CFF0FC"/>
          </w:tcPr>
          <w:p>
            <w:pPr>
              <w:spacing w:after="0"/>
              <w:rPr>
                <w:sz w:val="18"/>
                <w:szCs w:val="18"/>
                <w:color w:val="auto"/>
              </w:rPr>
            </w:pP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12,990</w:t>
            </w:r>
          </w:p>
        </w:tc>
        <w:tc>
          <w:tcPr>
            <w:tcW w:w="100" w:type="dxa"/>
            <w:vAlign w:val="bottom"/>
            <w:shd w:val="clear" w:color="auto" w:fill="CFF0FC"/>
          </w:tcPr>
          <w:p>
            <w:pPr>
              <w:spacing w:after="0"/>
              <w:rPr>
                <w:sz w:val="18"/>
                <w:szCs w:val="18"/>
                <w:color w:val="auto"/>
              </w:rPr>
            </w:pPr>
          </w:p>
        </w:tc>
      </w:tr>
      <w:tr>
        <w:trPr>
          <w:trHeight w:val="216"/>
        </w:trPr>
        <w:tc>
          <w:tcPr>
            <w:tcW w:w="3160" w:type="dxa"/>
            <w:vAlign w:val="bottom"/>
            <w:gridSpan w:val="3"/>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(8 )</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(8 )</w:t>
            </w:r>
          </w:p>
        </w:tc>
      </w:tr>
      <w:tr>
        <w:trPr>
          <w:trHeight w:val="210"/>
        </w:trPr>
        <w:tc>
          <w:tcPr>
            <w:tcW w:w="31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Balance, December 31, 2022</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2,044</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3,804</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6,281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853</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12,982</w:t>
            </w:r>
          </w:p>
        </w:tc>
        <w:tc>
          <w:tcPr>
            <w:tcW w:w="100" w:type="dxa"/>
            <w:vAlign w:val="bottom"/>
            <w:shd w:val="clear" w:color="auto" w:fill="CFF0FC"/>
          </w:tcPr>
          <w:p>
            <w:pPr>
              <w:spacing w:after="0"/>
              <w:rPr>
                <w:sz w:val="18"/>
                <w:szCs w:val="18"/>
                <w:color w:val="auto"/>
              </w:rPr>
            </w:pPr>
          </w:p>
        </w:tc>
      </w:tr>
      <w:tr>
        <w:trPr>
          <w:trHeight w:val="215"/>
        </w:trPr>
        <w:tc>
          <w:tcPr>
            <w:tcW w:w="3160" w:type="dxa"/>
            <w:vAlign w:val="bottom"/>
            <w:tcBorders>
              <w:bottom w:val="single" w:sz="8" w:color="CFF0FC"/>
            </w:tcBorders>
            <w:gridSpan w:val="3"/>
          </w:tcPr>
          <w:p>
            <w:pPr>
              <w:ind w:left="20"/>
              <w:spacing w:after="0"/>
              <w:rPr>
                <w:sz w:val="20"/>
                <w:szCs w:val="20"/>
                <w:color w:val="auto"/>
              </w:rPr>
            </w:pPr>
            <w:r>
              <w:rPr>
                <w:rFonts w:ascii="Arial" w:cs="Arial" w:eastAsia="Arial" w:hAnsi="Arial"/>
                <w:sz w:val="16"/>
                <w:szCs w:val="16"/>
                <w:color w:val="auto"/>
              </w:rPr>
              <w:t>Acquisitions</w:t>
            </w:r>
          </w:p>
        </w:tc>
        <w:tc>
          <w:tcPr>
            <w:tcW w:w="14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4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966</w:t>
            </w:r>
          </w:p>
        </w:tc>
        <w:tc>
          <w:tcPr>
            <w:tcW w:w="6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1,102</w:t>
            </w:r>
          </w:p>
        </w:tc>
        <w:tc>
          <w:tcPr>
            <w:tcW w:w="100" w:type="dxa"/>
            <w:vAlign w:val="bottom"/>
            <w:tcBorders>
              <w:bottom w:val="single" w:sz="8" w:color="CFF0FC"/>
            </w:tcBorders>
          </w:tcPr>
          <w:p>
            <w:pPr>
              <w:spacing w:after="0"/>
              <w:rPr>
                <w:sz w:val="18"/>
                <w:szCs w:val="18"/>
                <w:color w:val="auto"/>
              </w:rPr>
            </w:pPr>
          </w:p>
        </w:tc>
      </w:tr>
      <w:tr>
        <w:trPr>
          <w:trHeight w:val="250"/>
        </w:trPr>
        <w:tc>
          <w:tcPr>
            <w:tcW w:w="31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Balance, December 31, 2023</w:t>
            </w:r>
          </w:p>
        </w:tc>
        <w:tc>
          <w:tcPr>
            <w:tcW w:w="1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2,044</w:t>
            </w:r>
          </w:p>
        </w:tc>
        <w:tc>
          <w:tcPr>
            <w:tcW w:w="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3,804</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6,417</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1,819</w:t>
            </w:r>
          </w:p>
        </w:tc>
        <w:tc>
          <w:tcPr>
            <w:tcW w:w="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14,084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48"/>
        </w:trPr>
        <w:tc>
          <w:tcPr>
            <w:tcW w:w="3160" w:type="dxa"/>
            <w:vAlign w:val="bottom"/>
            <w:gridSpan w:val="3"/>
          </w:tcPr>
          <w:p>
            <w:pPr>
              <w:spacing w:after="0"/>
              <w:rPr>
                <w:sz w:val="20"/>
                <w:szCs w:val="20"/>
                <w:color w:val="auto"/>
              </w:rPr>
            </w:pPr>
            <w:r>
              <w:rPr>
                <w:rFonts w:ascii="Arial" w:cs="Arial" w:eastAsia="Arial" w:hAnsi="Arial"/>
                <w:sz w:val="16"/>
                <w:szCs w:val="16"/>
                <w:b w:val="1"/>
                <w:bCs w:val="1"/>
                <w:color w:val="auto"/>
              </w:rPr>
              <w:t>8. Intangible Assets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5"/>
        </w:trPr>
        <w:tc>
          <w:tcPr>
            <w:tcW w:w="3160" w:type="dxa"/>
            <w:vAlign w:val="bottom"/>
            <w:gridSpan w:val="3"/>
          </w:tcPr>
          <w:p>
            <w:pPr>
              <w:spacing w:after="0"/>
              <w:rPr>
                <w:sz w:val="20"/>
                <w:szCs w:val="20"/>
                <w:color w:val="auto"/>
              </w:rPr>
            </w:pPr>
            <w:r>
              <w:rPr>
                <w:rFonts w:ascii="Arial" w:cs="Arial" w:eastAsia="Arial" w:hAnsi="Arial"/>
                <w:sz w:val="16"/>
                <w:szCs w:val="16"/>
                <w:color w:val="auto"/>
              </w:rPr>
              <w:t>Intangible assets consist of the following:</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3"/>
        </w:trPr>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5"/>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0"/>
        </w:trPr>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299"/>
              <w:spacing w:after="0"/>
              <w:rPr>
                <w:sz w:val="20"/>
                <w:szCs w:val="20"/>
                <w:color w:val="auto"/>
              </w:rPr>
            </w:pPr>
            <w:r>
              <w:rPr>
                <w:rFonts w:ascii="Arial" w:cs="Arial" w:eastAsia="Arial" w:hAnsi="Arial"/>
                <w:sz w:val="16"/>
                <w:szCs w:val="16"/>
                <w:b w:val="1"/>
                <w:bCs w:val="1"/>
                <w:color w:val="auto"/>
              </w:rPr>
              <w:t>Gross</w:t>
            </w:r>
          </w:p>
        </w:tc>
        <w:tc>
          <w:tcPr>
            <w:tcW w:w="240" w:type="dxa"/>
            <w:vAlign w:val="bottom"/>
          </w:tcPr>
          <w:p>
            <w:pPr>
              <w:spacing w:after="0"/>
              <w:rPr>
                <w:sz w:val="18"/>
                <w:szCs w:val="18"/>
                <w:color w:val="auto"/>
              </w:rPr>
            </w:pPr>
          </w:p>
        </w:tc>
        <w:tc>
          <w:tcPr>
            <w:tcW w:w="1580" w:type="dxa"/>
            <w:vAlign w:val="bottom"/>
            <w:gridSpan w:val="5"/>
          </w:tcPr>
          <w:p>
            <w:pPr>
              <w:jc w:val="right"/>
              <w:ind w:right="40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8"/>
                <w:szCs w:val="18"/>
                <w:color w:val="auto"/>
              </w:rPr>
            </w:pPr>
          </w:p>
        </w:tc>
        <w:tc>
          <w:tcPr>
            <w:tcW w:w="92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Net Book</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6"/>
                <w:szCs w:val="16"/>
                <w:color w:val="auto"/>
              </w:rPr>
              <w:t>Gross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ind w:left="20"/>
              <w:spacing w:after="0"/>
              <w:rPr>
                <w:sz w:val="20"/>
                <w:szCs w:val="20"/>
                <w:color w:val="auto"/>
              </w:rPr>
            </w:pPr>
            <w:r>
              <w:rPr>
                <w:rFonts w:ascii="Arial" w:cs="Arial" w:eastAsia="Arial" w:hAnsi="Arial"/>
                <w:sz w:val="16"/>
                <w:szCs w:val="16"/>
                <w:color w:val="auto"/>
              </w:rPr>
              <w:t>Accumulated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rPr>
              <w:t>Net Book</w:t>
            </w:r>
          </w:p>
        </w:tc>
        <w:tc>
          <w:tcPr>
            <w:tcW w:w="100" w:type="dxa"/>
            <w:vAlign w:val="bottom"/>
          </w:tcPr>
          <w:p>
            <w:pPr>
              <w:spacing w:after="0"/>
              <w:rPr>
                <w:sz w:val="18"/>
                <w:szCs w:val="18"/>
                <w:color w:val="auto"/>
              </w:rPr>
            </w:pPr>
          </w:p>
        </w:tc>
      </w:tr>
      <w:tr>
        <w:trPr>
          <w:trHeight w:val="217"/>
        </w:trPr>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Book Value</w:t>
            </w:r>
          </w:p>
        </w:tc>
        <w:tc>
          <w:tcPr>
            <w:tcW w:w="240" w:type="dxa"/>
            <w:vAlign w:val="bottom"/>
          </w:tcPr>
          <w:p>
            <w:pPr>
              <w:spacing w:after="0"/>
              <w:rPr>
                <w:sz w:val="18"/>
                <w:szCs w:val="18"/>
                <w:color w:val="auto"/>
              </w:rPr>
            </w:pPr>
          </w:p>
        </w:tc>
        <w:tc>
          <w:tcPr>
            <w:tcW w:w="13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Amortization</w:t>
            </w:r>
          </w:p>
        </w:tc>
        <w:tc>
          <w:tcPr>
            <w:tcW w:w="240" w:type="dxa"/>
            <w:vAlign w:val="bottom"/>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8"/>
              </w:rPr>
              <w:t>Value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color w:val="auto"/>
              </w:rPr>
              <w:t>Book Value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Amortization</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97"/>
              </w:rPr>
              <w:t>Value</w:t>
            </w:r>
          </w:p>
        </w:tc>
        <w:tc>
          <w:tcPr>
            <w:tcW w:w="100" w:type="dxa"/>
            <w:vAlign w:val="bottom"/>
          </w:tcPr>
          <w:p>
            <w:pPr>
              <w:spacing w:after="0"/>
              <w:rPr>
                <w:sz w:val="18"/>
                <w:szCs w:val="18"/>
                <w:color w:val="auto"/>
              </w:rPr>
            </w:pPr>
          </w:p>
        </w:tc>
      </w:tr>
      <w:tr>
        <w:trPr>
          <w:trHeight w:val="210"/>
        </w:trPr>
        <w:tc>
          <w:tcPr>
            <w:tcW w:w="31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Customer Relationships</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1,887</w:t>
            </w:r>
          </w:p>
        </w:tc>
        <w:tc>
          <w:tcPr>
            <w:tcW w:w="720" w:type="dxa"/>
            <w:vAlign w:val="bottom"/>
            <w:gridSpan w:val="2"/>
            <w:shd w:val="clear" w:color="auto" w:fill="CFF0FC"/>
          </w:tcPr>
          <w:p>
            <w:pPr>
              <w:jc w:val="right"/>
              <w:ind w:right="299"/>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709</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1,178</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1,680</w:t>
            </w:r>
          </w:p>
        </w:tc>
        <w:tc>
          <w:tcPr>
            <w:tcW w:w="1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631</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1,049</w:t>
            </w:r>
          </w:p>
        </w:tc>
        <w:tc>
          <w:tcPr>
            <w:tcW w:w="100" w:type="dxa"/>
            <w:vAlign w:val="bottom"/>
            <w:shd w:val="clear" w:color="auto" w:fill="CFF0FC"/>
          </w:tcPr>
          <w:p>
            <w:pPr>
              <w:spacing w:after="0"/>
              <w:rPr>
                <w:sz w:val="18"/>
                <w:szCs w:val="18"/>
                <w:color w:val="auto"/>
              </w:rPr>
            </w:pPr>
          </w:p>
        </w:tc>
      </w:tr>
      <w:tr>
        <w:trPr>
          <w:trHeight w:val="216"/>
        </w:trPr>
        <w:tc>
          <w:tcPr>
            <w:tcW w:w="3160" w:type="dxa"/>
            <w:vAlign w:val="bottom"/>
            <w:gridSpan w:val="3"/>
          </w:tcPr>
          <w:p>
            <w:pPr>
              <w:ind w:left="20"/>
              <w:spacing w:after="0"/>
              <w:rPr>
                <w:sz w:val="20"/>
                <w:szCs w:val="20"/>
                <w:color w:val="auto"/>
              </w:rPr>
            </w:pPr>
            <w:r>
              <w:rPr>
                <w:rFonts w:ascii="Arial" w:cs="Arial" w:eastAsia="Arial" w:hAnsi="Arial"/>
                <w:sz w:val="16"/>
                <w:szCs w:val="16"/>
                <w:color w:val="auto"/>
              </w:rPr>
              <w:t>Technology/Technical Know-How</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1,516</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770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746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676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8"/>
                <w:szCs w:val="18"/>
                <w:color w:val="auto"/>
              </w:rPr>
            </w:pPr>
          </w:p>
        </w:tc>
      </w:tr>
      <w:tr>
        <w:trPr>
          <w:trHeight w:val="216"/>
        </w:trPr>
        <w:tc>
          <w:tcPr>
            <w:tcW w:w="31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Tradenames</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795</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265</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530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222</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w:t>
            </w:r>
          </w:p>
        </w:tc>
        <w:tc>
          <w:tcPr>
            <w:tcW w:w="100" w:type="dxa"/>
            <w:vAlign w:val="bottom"/>
            <w:shd w:val="clear" w:color="auto" w:fill="CFF0FC"/>
          </w:tcPr>
          <w:p>
            <w:pPr>
              <w:spacing w:after="0"/>
              <w:rPr>
                <w:sz w:val="18"/>
                <w:szCs w:val="18"/>
                <w:color w:val="auto"/>
              </w:rPr>
            </w:pPr>
          </w:p>
        </w:tc>
      </w:tr>
      <w:tr>
        <w:trPr>
          <w:trHeight w:val="216"/>
        </w:trPr>
        <w:tc>
          <w:tcPr>
            <w:tcW w:w="3160" w:type="dxa"/>
            <w:vAlign w:val="bottom"/>
            <w:gridSpan w:val="3"/>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1,582</w:t>
            </w:r>
          </w:p>
        </w:tc>
        <w:tc>
          <w:tcPr>
            <w:tcW w:w="2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863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w:t>
            </w:r>
          </w:p>
        </w:tc>
        <w:tc>
          <w:tcPr>
            <w:tcW w:w="100" w:type="dxa"/>
            <w:vAlign w:val="bottom"/>
          </w:tcPr>
          <w:p>
            <w:pPr>
              <w:spacing w:after="0"/>
              <w:rPr>
                <w:sz w:val="18"/>
                <w:szCs w:val="18"/>
                <w:color w:val="auto"/>
              </w:rPr>
            </w:pPr>
          </w:p>
        </w:tc>
      </w:tr>
      <w:tr>
        <w:trPr>
          <w:trHeight w:val="250"/>
        </w:trPr>
        <w:tc>
          <w:tcPr>
            <w:tcW w:w="2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5,780</w:t>
            </w:r>
          </w:p>
        </w:tc>
        <w:tc>
          <w:tcPr>
            <w:tcW w:w="24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2,541</w:t>
            </w:r>
          </w:p>
        </w:tc>
        <w:tc>
          <w:tcPr>
            <w:tcW w:w="18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3,239</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5,384</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2,392</w:t>
            </w:r>
          </w:p>
        </w:tc>
        <w:tc>
          <w:tcPr>
            <w:tcW w:w="200" w:type="dxa"/>
            <w:vAlign w:val="bottom"/>
            <w:tcBorders>
              <w:bottom w:val="single" w:sz="8" w:color="CFF0FC"/>
            </w:tcBorders>
            <w:gridSpan w:val="2"/>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2,992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-2150745</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-2134235</wp:posOffset>
            </wp:positionV>
            <wp:extent cx="768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-2296795</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-2150745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-2134235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-2296795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-2150745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-2134235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-2296795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-2150745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-2134235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-2296795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-2134235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-2296795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-24765</wp:posOffset>
            </wp:positionV>
            <wp:extent cx="768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-7620</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-24765</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-7620</wp:posOffset>
            </wp:positionV>
            <wp:extent cx="774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-24765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-7620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Customer relationships are generally amortized over periods ranging from 18 to 28 years, technology/technical know-how are generally amortized over periods ranging from 10 to 18 years, and tradenames are generally amortized over periods ranging from 15 to 30 years.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was $314 million in 2023, $301 million in 2022, and $302 million in 2021.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Based on the carrying value of intangible assets at December 31, 2023, amortization expense for the subsequent five years is estimated to be as follows: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2024: $308 million, 2025: $304 million, 2026: $296 million, 2027: $292 million and 2028: $283 million.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ind w:left="240" w:hanging="232"/>
        <w:spacing w:after="0"/>
        <w:tabs>
          <w:tab w:leader="none" w:pos="24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Long-term Debt and Debt Facility Agreements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consists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i w:val="1"/>
                <w:iCs w:val="1"/>
                <w:color w:val="auto"/>
              </w:rPr>
              <w:t>(Stated in millions)</w:t>
            </w:r>
          </w:p>
        </w:tc>
      </w:tr>
      <w:tr>
        <w:trPr>
          <w:trHeight w:val="440"/>
        </w:trPr>
        <w:tc>
          <w:tcPr>
            <w:tcW w:w="50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4"/>
                <w:szCs w:val="24"/>
                <w:color w:val="auto"/>
              </w:rPr>
            </w:pPr>
          </w:p>
        </w:tc>
      </w:tr>
      <w:tr>
        <w:trPr>
          <w:trHeight w:val="209"/>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3.90%</w:t>
            </w:r>
          </w:p>
        </w:tc>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 due 2028</w:t>
            </w: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1,469</w:t>
            </w:r>
          </w:p>
        </w:tc>
        <w:tc>
          <w:tcPr>
            <w:tcW w:w="54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1,464</w:t>
            </w:r>
          </w:p>
        </w:tc>
        <w:tc>
          <w:tcPr>
            <w:tcW w:w="10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2.65%</w:t>
            </w:r>
          </w:p>
        </w:tc>
        <w:tc>
          <w:tcPr>
            <w:tcW w:w="7160" w:type="dxa"/>
            <w:vAlign w:val="bottom"/>
          </w:tcPr>
          <w:p>
            <w:pPr>
              <w:ind w:left="20"/>
              <w:spacing w:after="0"/>
              <w:rPr>
                <w:sz w:val="20"/>
                <w:szCs w:val="20"/>
                <w:color w:val="auto"/>
              </w:rPr>
            </w:pPr>
            <w:r>
              <w:rPr>
                <w:rFonts w:ascii="Arial" w:cs="Arial" w:eastAsia="Arial" w:hAnsi="Arial"/>
                <w:sz w:val="16"/>
                <w:szCs w:val="16"/>
                <w:color w:val="auto"/>
              </w:rPr>
              <w:t>Senior Notes due 2030</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1,250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1.375% Guaranteed Notes due 2026</w:t>
            </w: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1,104</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1,061</w:t>
            </w:r>
          </w:p>
        </w:tc>
        <w:tc>
          <w:tcPr>
            <w:tcW w:w="10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2.00%</w:t>
            </w:r>
          </w:p>
        </w:tc>
        <w:tc>
          <w:tcPr>
            <w:tcW w:w="7160" w:type="dxa"/>
            <w:vAlign w:val="bottom"/>
          </w:tcPr>
          <w:p>
            <w:pPr>
              <w:ind w:left="20"/>
              <w:spacing w:after="0"/>
              <w:rPr>
                <w:sz w:val="20"/>
                <w:szCs w:val="20"/>
                <w:color w:val="auto"/>
              </w:rPr>
            </w:pPr>
            <w:r>
              <w:rPr>
                <w:rFonts w:ascii="Arial" w:cs="Arial" w:eastAsia="Arial" w:hAnsi="Arial"/>
                <w:sz w:val="16"/>
                <w:szCs w:val="16"/>
                <w:color w:val="auto"/>
              </w:rPr>
              <w:t>Guaranteed Notes due 2032</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1,098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1,055</w:t>
            </w:r>
          </w:p>
        </w:tc>
        <w:tc>
          <w:tcPr>
            <w:tcW w:w="100" w:type="dxa"/>
            <w:vAlign w:val="bottom"/>
          </w:tcPr>
          <w:p>
            <w:pPr>
              <w:spacing w:after="0"/>
              <w:rPr>
                <w:sz w:val="18"/>
                <w:szCs w:val="18"/>
                <w:color w:val="auto"/>
              </w:rPr>
            </w:pPr>
          </w:p>
        </w:tc>
      </w:tr>
      <w:tr>
        <w:trPr>
          <w:trHeight w:val="21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0.25%</w:t>
            </w:r>
          </w:p>
        </w:tc>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Notes due 2027</w:t>
            </w: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994</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955</w:t>
            </w:r>
          </w:p>
        </w:tc>
        <w:tc>
          <w:tcPr>
            <w:tcW w:w="10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0.50%</w:t>
            </w:r>
          </w:p>
        </w:tc>
        <w:tc>
          <w:tcPr>
            <w:tcW w:w="7160" w:type="dxa"/>
            <w:vAlign w:val="bottom"/>
          </w:tcPr>
          <w:p>
            <w:pPr>
              <w:ind w:left="20"/>
              <w:spacing w:after="0"/>
              <w:rPr>
                <w:sz w:val="20"/>
                <w:szCs w:val="20"/>
                <w:color w:val="auto"/>
              </w:rPr>
            </w:pPr>
            <w:r>
              <w:rPr>
                <w:rFonts w:ascii="Arial" w:cs="Arial" w:eastAsia="Arial" w:hAnsi="Arial"/>
                <w:sz w:val="16"/>
                <w:szCs w:val="16"/>
                <w:color w:val="auto"/>
              </w:rPr>
              <w:t>Notes due 2031</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992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954</w:t>
            </w:r>
          </w:p>
        </w:tc>
        <w:tc>
          <w:tcPr>
            <w:tcW w:w="100" w:type="dxa"/>
            <w:vAlign w:val="bottom"/>
          </w:tcPr>
          <w:p>
            <w:pPr>
              <w:spacing w:after="0"/>
              <w:rPr>
                <w:sz w:val="18"/>
                <w:szCs w:val="18"/>
                <w:color w:val="auto"/>
              </w:rPr>
            </w:pPr>
          </w:p>
        </w:tc>
      </w:tr>
      <w:tr>
        <w:trPr>
          <w:trHeight w:val="21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4.30%</w:t>
            </w:r>
          </w:p>
        </w:tc>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 due 2029</w:t>
            </w: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847</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847</w:t>
            </w:r>
          </w:p>
        </w:tc>
        <w:tc>
          <w:tcPr>
            <w:tcW w:w="10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1.00%</w:t>
            </w:r>
          </w:p>
        </w:tc>
        <w:tc>
          <w:tcPr>
            <w:tcW w:w="7160" w:type="dxa"/>
            <w:vAlign w:val="bottom"/>
          </w:tcPr>
          <w:p>
            <w:pPr>
              <w:ind w:left="20"/>
              <w:spacing w:after="0"/>
              <w:rPr>
                <w:sz w:val="20"/>
                <w:szCs w:val="20"/>
                <w:color w:val="auto"/>
              </w:rPr>
            </w:pPr>
            <w:r>
              <w:rPr>
                <w:rFonts w:ascii="Arial" w:cs="Arial" w:eastAsia="Arial" w:hAnsi="Arial"/>
                <w:sz w:val="16"/>
                <w:szCs w:val="16"/>
                <w:color w:val="auto"/>
              </w:rPr>
              <w:t>Guaranteed Notes due 2026</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662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18"/>
                <w:szCs w:val="18"/>
                <w:color w:val="auto"/>
              </w:rPr>
            </w:pPr>
          </w:p>
        </w:tc>
      </w:tr>
      <w:tr>
        <w:trPr>
          <w:trHeight w:val="21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4.00%</w:t>
            </w:r>
          </w:p>
        </w:tc>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 due 2025</w:t>
            </w: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523</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522</w:t>
            </w:r>
          </w:p>
        </w:tc>
        <w:tc>
          <w:tcPr>
            <w:tcW w:w="10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1.40%</w:t>
            </w:r>
          </w:p>
        </w:tc>
        <w:tc>
          <w:tcPr>
            <w:tcW w:w="7160" w:type="dxa"/>
            <w:vAlign w:val="bottom"/>
          </w:tcPr>
          <w:p>
            <w:pPr>
              <w:ind w:left="20"/>
              <w:spacing w:after="0"/>
              <w:rPr>
                <w:sz w:val="20"/>
                <w:szCs w:val="20"/>
                <w:color w:val="auto"/>
              </w:rPr>
            </w:pPr>
            <w:r>
              <w:rPr>
                <w:rFonts w:ascii="Arial" w:cs="Arial" w:eastAsia="Arial" w:hAnsi="Arial"/>
                <w:sz w:val="16"/>
                <w:szCs w:val="16"/>
                <w:color w:val="auto"/>
              </w:rPr>
              <w:t>Senior Notes due 2025</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499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8"/>
                <w:szCs w:val="18"/>
                <w:color w:val="auto"/>
              </w:rPr>
            </w:pPr>
          </w:p>
        </w:tc>
      </w:tr>
      <w:tr>
        <w:trPr>
          <w:trHeight w:val="21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4.50%</w:t>
            </w:r>
          </w:p>
        </w:tc>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 due 2028</w:t>
            </w: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497</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4.85%</w:t>
            </w:r>
          </w:p>
        </w:tc>
        <w:tc>
          <w:tcPr>
            <w:tcW w:w="7160" w:type="dxa"/>
            <w:vAlign w:val="bottom"/>
          </w:tcPr>
          <w:p>
            <w:pPr>
              <w:ind w:left="20"/>
              <w:spacing w:after="0"/>
              <w:rPr>
                <w:sz w:val="20"/>
                <w:szCs w:val="20"/>
                <w:color w:val="auto"/>
              </w:rPr>
            </w:pPr>
            <w:r>
              <w:rPr>
                <w:rFonts w:ascii="Arial" w:cs="Arial" w:eastAsia="Arial" w:hAnsi="Arial"/>
                <w:sz w:val="16"/>
                <w:szCs w:val="16"/>
                <w:color w:val="auto"/>
              </w:rPr>
              <w:t>Senior Notes due 2033</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497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7.00%</w:t>
            </w:r>
          </w:p>
        </w:tc>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Notes due 2038</w:t>
            </w: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200</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5.95%</w:t>
            </w:r>
          </w:p>
        </w:tc>
        <w:tc>
          <w:tcPr>
            <w:tcW w:w="7160" w:type="dxa"/>
            <w:vAlign w:val="bottom"/>
          </w:tcPr>
          <w:p>
            <w:pPr>
              <w:ind w:left="20"/>
              <w:spacing w:after="0"/>
              <w:rPr>
                <w:sz w:val="20"/>
                <w:szCs w:val="20"/>
                <w:color w:val="auto"/>
              </w:rPr>
            </w:pPr>
            <w:r>
              <w:rPr>
                <w:rFonts w:ascii="Arial" w:cs="Arial" w:eastAsia="Arial" w:hAnsi="Arial"/>
                <w:sz w:val="16"/>
                <w:szCs w:val="16"/>
                <w:color w:val="auto"/>
              </w:rPr>
              <w:t>Notes due 2041</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112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r>
      <w:tr>
        <w:trPr>
          <w:trHeight w:val="21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5.13%</w:t>
            </w:r>
          </w:p>
        </w:tc>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Notes due 2043</w:t>
            </w: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98</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0.00%</w:t>
            </w:r>
          </w:p>
        </w:tc>
        <w:tc>
          <w:tcPr>
            <w:tcW w:w="7160" w:type="dxa"/>
            <w:vAlign w:val="bottom"/>
          </w:tcPr>
          <w:p>
            <w:pPr>
              <w:ind w:left="20"/>
              <w:spacing w:after="0"/>
              <w:rPr>
                <w:sz w:val="20"/>
                <w:szCs w:val="20"/>
                <w:color w:val="auto"/>
              </w:rPr>
            </w:pPr>
            <w:r>
              <w:rPr>
                <w:rFonts w:ascii="Arial" w:cs="Arial" w:eastAsia="Arial" w:hAnsi="Arial"/>
                <w:sz w:val="16"/>
                <w:szCs w:val="16"/>
                <w:color w:val="auto"/>
              </w:rPr>
              <w:t>Notes due 2024</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18"/>
                <w:szCs w:val="18"/>
                <w:color w:val="auto"/>
              </w:rPr>
            </w:pPr>
          </w:p>
        </w:tc>
      </w:tr>
      <w:tr>
        <w:trPr>
          <w:trHeight w:val="21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3.75%</w:t>
            </w:r>
          </w:p>
        </w:tc>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 due 2024</w:t>
            </w: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FF0FC"/>
          </w:tcPr>
          <w:p>
            <w:pPr>
              <w:spacing w:after="0"/>
              <w:rPr>
                <w:sz w:val="18"/>
                <w:szCs w:val="18"/>
                <w:color w:val="auto"/>
              </w:rPr>
            </w:pPr>
          </w:p>
        </w:tc>
      </w:tr>
      <w:tr>
        <w:trPr>
          <w:trHeight w:val="216"/>
        </w:trPr>
        <w:tc>
          <w:tcPr>
            <w:tcW w:w="50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3.70%</w:t>
            </w:r>
          </w:p>
        </w:tc>
        <w:tc>
          <w:tcPr>
            <w:tcW w:w="716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Notes due 2024</w:t>
            </w:r>
          </w:p>
        </w:tc>
        <w:tc>
          <w:tcPr>
            <w:tcW w:w="10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FF0FC"/>
            </w:tcBorders>
          </w:tcPr>
          <w:p>
            <w:pPr>
              <w:spacing w:after="0"/>
              <w:rPr>
                <w:sz w:val="18"/>
                <w:szCs w:val="18"/>
                <w:color w:val="auto"/>
              </w:rPr>
            </w:pPr>
          </w:p>
        </w:tc>
      </w:tr>
      <w:tr>
        <w:trPr>
          <w:trHeight w:val="250"/>
        </w:trPr>
        <w:tc>
          <w:tcPr>
            <w:tcW w:w="500" w:type="dxa"/>
            <w:vAlign w:val="bottom"/>
            <w:tcBorders>
              <w:bottom w:val="single" w:sz="8" w:color="CFF0FC"/>
            </w:tcBorders>
            <w:shd w:val="clear" w:color="auto" w:fill="CFF0FC"/>
          </w:tcPr>
          <w:p>
            <w:pPr>
              <w:spacing w:after="0"/>
              <w:rPr>
                <w:sz w:val="21"/>
                <w:szCs w:val="21"/>
                <w:color w:val="auto"/>
              </w:rPr>
            </w:pPr>
          </w:p>
        </w:tc>
        <w:tc>
          <w:tcPr>
            <w:tcW w:w="71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10,842</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10,594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At December 31, 2023, SLB had committed credit facility agreements with commercial banks aggregating $5.0 billion, all of which was available and unused. These committed facilities support commercial paper programs in the United States and Europe, of which $2.0 billion matures in February 2027 and $3.0 billion in December 2028.</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Commercial paper borrowings are classified as long-term debt to the extent they are backed up by available and unused committed credit facilities maturing in more than one year and to the extent it is SLB’s intent to maintain these obligations for longer than one year. There were no borrowings under the commercial paper programs at December 31, 2023 and December 31, 2022, respectively.</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as of December 31, 2023 is due as follows: $1.0 billion in 2025, $1.8 billion in 2026, $1.0 billion in 2027, $2.0 billion in 2028, $0.8 billion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2029 and $4.2 billion thereafter.</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fair value of SLB’s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at December 31, 2023 and December 31, 2022 was $10.2 billion and $9.4 billion, respectively, and was estimated based on quoted market prices.</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Schlumberger Limited fully and unconditionally guarantees the securities issued by certain of its subsidiaries, including securities issued by Schlumberger Investment SA and Schlumberger Finance Canada Ltd., both indirect wholly-owned subsidiaries of Schlumberger Limited.</w:t>
      </w:r>
    </w:p>
    <w:p>
      <w:pPr>
        <w:spacing w:after="0" w:line="156"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Derivative Instruments and Hedging Activities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SLB’s functional currency is primarily the US dollar. Approximately 72% of SLB’s revenues in 2023 were denominated in US dollars. However, outside the United States, a significant portion of SLB’s expenses is incurred in foreign currencies. Therefore, when the US dollar weakens (strengthens) in relation to the foreign currencies of the countries in which SLB conducts business, the US dollar-reported expenses will increase (decrease).</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Changes in foreign currency exchange rates expose SLB to risks on future cash flows relating to its fixed rate debt denominated in currencies other than the functional currency. SLB uses cross-currency interest rate swaps to provide a hedge against these risks. These contracts are accounted for as cash flow hedges, with the fair value of the derivative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Amounts recorded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are reclassified into earnings in the same period or periods that the hedged item is recognized in earnings.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Details regarding SLB’s outstanding cross-currency interest rate swaps as of December 31, 2023, were as follows:</w:t>
      </w:r>
    </w:p>
    <w:p>
      <w:pPr>
        <w:spacing w:after="0" w:line="194" w:lineRule="exact"/>
        <w:rPr>
          <w:sz w:val="20"/>
          <w:szCs w:val="20"/>
          <w:color w:val="auto"/>
        </w:rPr>
      </w:pPr>
    </w:p>
    <w:p>
      <w:pPr>
        <w:jc w:val="both"/>
        <w:ind w:left="760" w:hanging="378"/>
        <w:spacing w:after="0" w:line="259" w:lineRule="auto"/>
        <w:tabs>
          <w:tab w:leader="none" w:pos="76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During 2019, a US-dollar functional currency subsidiary of SLB issued €1.5 billion of Euro-denominated debt. SLB entered into cross-currency interest rate swaps in order to hedge changes in the fair value of its €0.5 billion 0.00% Notes due 2024, €0.5 billion 0.25% Notes due 2027, and €0.5 billion 0.50% Notes due 2031. These cross-currency interest rate swaps effectively convert the Euro-denominated notes to US-dollar denominated debt with fixed annual interest rates of 2.29%, 2.51% and 2.76%, respectively.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jc w:val="both"/>
        <w:ind w:left="760" w:hanging="378"/>
        <w:spacing w:after="0" w:line="259" w:lineRule="auto"/>
        <w:tabs>
          <w:tab w:leader="none" w:pos="76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During 2020, a US-dollar functional currency subsidiary of SLB issued €0.8 billion of Euro-denominated debt. SLB entered into cross-currency interest rate swaps to hedge changes in the fair value of its €0.4 billion of 0.25% Notes due 2027 and €0.4 billion of 0.50% Notes due 2031. These cross-currency interest rate swaps effectively convert the Euro-denominated notes to US-dollar denominated debt with fixed annual interest rates of 1.87% and 2.20%, respectively.</w:t>
      </w:r>
    </w:p>
    <w:p>
      <w:pPr>
        <w:spacing w:after="0" w:line="150" w:lineRule="exact"/>
        <w:rPr>
          <w:rFonts w:ascii="Times New Roman" w:cs="Times New Roman" w:eastAsia="Times New Roman" w:hAnsi="Times New Roman"/>
          <w:sz w:val="16"/>
          <w:szCs w:val="16"/>
          <w:color w:val="auto"/>
        </w:rPr>
      </w:pPr>
    </w:p>
    <w:p>
      <w:pPr>
        <w:jc w:val="both"/>
        <w:ind w:left="760" w:hanging="378"/>
        <w:spacing w:after="0" w:line="259" w:lineRule="auto"/>
        <w:tabs>
          <w:tab w:leader="none" w:pos="76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During 2020, a US-dollar functional currency subsidiary of SLB issued €2.0 billion of Euro-denominated debt. SLB entered into cross-currency interest rate swaps to hedge changes in the fair value of its €1.0 billion of 1.375% Guaranteed Notes due 2026 and €1.0 billion of 2.00% Guaranteed Notes due 2032. These cross-currency interest rate swaps effectively convert the Euro-denominated notes to US-dollar denominated debt with fixed annual interest rates of 2.77% and 3.49%, respectively.</w:t>
      </w:r>
    </w:p>
    <w:p>
      <w:pPr>
        <w:spacing w:after="0" w:line="150" w:lineRule="exact"/>
        <w:rPr>
          <w:rFonts w:ascii="Times New Roman" w:cs="Times New Roman" w:eastAsia="Times New Roman" w:hAnsi="Times New Roman"/>
          <w:sz w:val="16"/>
          <w:szCs w:val="16"/>
          <w:color w:val="auto"/>
        </w:rPr>
      </w:pPr>
    </w:p>
    <w:p>
      <w:pPr>
        <w:jc w:val="both"/>
        <w:ind w:left="760" w:hanging="378"/>
        <w:spacing w:after="0" w:line="266" w:lineRule="auto"/>
        <w:tabs>
          <w:tab w:leader="none" w:pos="76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During 2020, a Canadian dollar functional currency subsidiary of SLB issued $0.5 billion of US dollar denominated debt. SLB entered into cross-currency interest rate swaps to hedge changes in the fair value of its $0.5 billion 1.40% Senior Notes due 2025. These cross-currency interest rate swaps effectively convert the US dollar notes to Canadian dollar denominated debt with a fixed annual interest rate of 1.73%.</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summary of the amounts included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relating to cross currency interest rate swaps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r>
      <w:tr>
        <w:trPr>
          <w:trHeight w:val="440"/>
        </w:trPr>
        <w:tc>
          <w:tcPr>
            <w:tcW w:w="766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 31, 2023</w:t>
            </w:r>
          </w:p>
        </w:tc>
        <w:tc>
          <w:tcPr>
            <w:tcW w:w="2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Dec. 31, 2022</w:t>
            </w:r>
          </w:p>
        </w:tc>
        <w:tc>
          <w:tcPr>
            <w:tcW w:w="100" w:type="dxa"/>
            <w:vAlign w:val="bottom"/>
          </w:tcPr>
          <w:p>
            <w:pPr>
              <w:spacing w:after="0"/>
              <w:rPr>
                <w:sz w:val="24"/>
                <w:szCs w:val="24"/>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Other Assets</w:t>
            </w:r>
          </w:p>
        </w:tc>
        <w:tc>
          <w:tcPr>
            <w:tcW w:w="1360" w:type="dxa"/>
            <w:vAlign w:val="bottom"/>
            <w:shd w:val="clear" w:color="auto" w:fill="CFF0FC"/>
          </w:tcPr>
          <w:p>
            <w:pPr>
              <w:jc w:val="right"/>
              <w:ind w:right="1179"/>
              <w:spacing w:after="0"/>
              <w:rPr>
                <w:sz w:val="20"/>
                <w:szCs w:val="20"/>
                <w:color w:val="auto"/>
              </w:rPr>
            </w:pPr>
            <w:r>
              <w:rPr>
                <w:rFonts w:ascii="Arial" w:cs="Arial" w:eastAsia="Arial" w:hAnsi="Arial"/>
                <w:sz w:val="16"/>
                <w:szCs w:val="16"/>
                <w:b w:val="1"/>
                <w:bCs w:val="1"/>
                <w:color w:val="auto"/>
                <w:w w:val="89"/>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36</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8"/>
                <w:szCs w:val="18"/>
                <w:color w:val="auto"/>
              </w:rPr>
            </w:pPr>
          </w:p>
        </w:tc>
      </w:tr>
      <w:tr>
        <w:trPr>
          <w:trHeight w:val="223"/>
        </w:trPr>
        <w:tc>
          <w:tcPr>
            <w:tcW w:w="7660" w:type="dxa"/>
            <w:vAlign w:val="bottom"/>
          </w:tcPr>
          <w:p>
            <w:pPr>
              <w:ind w:left="20"/>
              <w:spacing w:after="0"/>
              <w:rPr>
                <w:sz w:val="20"/>
                <w:szCs w:val="20"/>
                <w:color w:val="auto"/>
              </w:rPr>
            </w:pPr>
            <w:r>
              <w:rPr>
                <w:rFonts w:ascii="Arial" w:cs="Arial" w:eastAsia="Arial" w:hAnsi="Arial"/>
                <w:sz w:val="16"/>
                <w:szCs w:val="16"/>
                <w:i w:val="1"/>
                <w:iCs w:val="1"/>
                <w:color w:val="auto"/>
              </w:rPr>
              <w:t>Other Liabilities</w:t>
            </w:r>
          </w:p>
        </w:tc>
        <w:tc>
          <w:tcPr>
            <w:tcW w:w="1360" w:type="dxa"/>
            <w:vAlign w:val="bottom"/>
          </w:tcPr>
          <w:p>
            <w:pPr>
              <w:jc w:val="right"/>
              <w:ind w:right="1179"/>
              <w:spacing w:after="0"/>
              <w:rPr>
                <w:sz w:val="20"/>
                <w:szCs w:val="20"/>
                <w:color w:val="auto"/>
              </w:rPr>
            </w:pPr>
            <w:r>
              <w:rPr>
                <w:rFonts w:ascii="Arial" w:cs="Arial" w:eastAsia="Arial" w:hAnsi="Arial"/>
                <w:sz w:val="16"/>
                <w:szCs w:val="16"/>
                <w:b w:val="1"/>
                <w:bCs w:val="1"/>
                <w:color w:val="auto"/>
                <w:w w:val="89"/>
              </w:rPr>
              <w: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67</w:t>
            </w:r>
          </w:p>
        </w:tc>
        <w:tc>
          <w:tcPr>
            <w:tcW w:w="4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9"/>
                <w:szCs w:val="19"/>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were determined using a model with inputs that are observable in the market or can be derived or corroborated by observable data.</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 xml:space="preserve">SLB had derivative contracts in place that hedged the price of oil related to approximately 75% of the projected oil production for each of 2023 and 2022 for one of its APS projects. During 2023, SLB entered into derivative contracts that hedge the price of oil relating to approximately 75% of the projected oil production for the first six months of 2024; approximately 65% for the third quarter of 2024; and approximately 30% of the projected oil production for the fourth quarter 2024 for the same project. These contracts are accounted for as cash flow hedges, with changes in the fair value of the hedge recorded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Amounts recorded in</w:t>
      </w:r>
      <w:r>
        <w:rPr>
          <w:rFonts w:ascii="Arial" w:cs="Arial" w:eastAsia="Arial" w:hAnsi="Arial"/>
          <w:sz w:val="16"/>
          <w:szCs w:val="16"/>
          <w:i w:val="1"/>
          <w:iCs w:val="1"/>
          <w:color w:val="auto"/>
        </w:rPr>
        <w:t xml:space="preserve"> Accumulated other comprehensive loss </w:t>
      </w:r>
      <w:r>
        <w:rPr>
          <w:rFonts w:ascii="Arial" w:cs="Arial" w:eastAsia="Arial" w:hAnsi="Arial"/>
          <w:sz w:val="16"/>
          <w:szCs w:val="16"/>
          <w:color w:val="auto"/>
        </w:rPr>
        <w:t>are reclassified to earnings in the same period or</w:t>
      </w:r>
      <w:r>
        <w:rPr>
          <w:rFonts w:ascii="Arial" w:cs="Arial" w:eastAsia="Arial" w:hAnsi="Arial"/>
          <w:sz w:val="16"/>
          <w:szCs w:val="16"/>
          <w:i w:val="1"/>
          <w:iCs w:val="1"/>
          <w:color w:val="auto"/>
        </w:rPr>
        <w:t xml:space="preserve"> </w:t>
      </w:r>
      <w:r>
        <w:rPr>
          <w:rFonts w:ascii="Arial" w:cs="Arial" w:eastAsia="Arial" w:hAnsi="Arial"/>
          <w:sz w:val="16"/>
          <w:szCs w:val="16"/>
          <w:color w:val="auto"/>
        </w:rPr>
        <w:t>periods that the hedged item is recognized in earnings.</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 is exposed to risks on future cash flows to the extent that the local currency is not the functional currency and expenses denominated in local currency are not equal to revenues denominated in local currency. SLB uses foreign currency forward contracts to provide a hedge against a portion of these cash flow risks. These contracts are accounted for as cash flow hedges.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 xml:space="preserve">SLB is also exposed to changes in the fair value of assets and liabilities denominated in currencies other than the functional currency. While SLB uses foreign currency forward contracts to economically hedge this exposure as it relates to certain currencies, these contracts are not designated as hedges for accounting purposes. Instead, the fair value of the derivative is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are recognized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as are changes in the fair value of the hedged item. Transaction losses of $154 million in 2023 (including $90 million related to the Argentina devaluation in 2023; see Note 3 – </w:t>
      </w:r>
      <w:r>
        <w:rPr>
          <w:rFonts w:ascii="Arial" w:cs="Arial" w:eastAsia="Arial" w:hAnsi="Arial"/>
          <w:sz w:val="16"/>
          <w:szCs w:val="16"/>
          <w:i w:val="1"/>
          <w:iCs w:val="1"/>
          <w:color w:val="auto"/>
        </w:rPr>
        <w:t>Charges and credits</w:t>
      </w:r>
      <w:r>
        <w:rPr>
          <w:rFonts w:ascii="Arial" w:cs="Arial" w:eastAsia="Arial" w:hAnsi="Arial"/>
          <w:sz w:val="16"/>
          <w:szCs w:val="16"/>
          <w:color w:val="auto"/>
        </w:rPr>
        <w:t xml:space="preserve"> for further details), $96 million in 2022, and $23 million in 2021 were recognized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net of related hedging activities.</w:t>
      </w:r>
    </w:p>
    <w:p>
      <w:pPr>
        <w:spacing w:after="0" w:line="15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Foreign currency forward contracts were outstanding for the US dollar equivalent of $5.4 billion and $2.1 billion in various foreign currencies as of December 31, 2023 and 2022, respectively.</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Other than the previously mentioned cross-currency interest rate swaps, the fair value of the other outstanding derivatives was not material as of December 31, 2023 and 2022.</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 xml:space="preserve">The effect of derivative instruments designated as hedges and those not designated as hedges on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was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Arial" w:cs="Arial" w:eastAsia="Arial" w:hAnsi="Arial"/>
                <w:sz w:val="14"/>
                <w:szCs w:val="14"/>
                <w:i w:val="1"/>
                <w:iCs w:val="1"/>
                <w:color w:val="auto"/>
              </w:rPr>
              <w:t>(Stated in millions)</w:t>
            </w:r>
          </w:p>
        </w:tc>
        <w:tc>
          <w:tcPr>
            <w:tcW w:w="2080" w:type="dxa"/>
            <w:vAlign w:val="bottom"/>
          </w:tcPr>
          <w:p>
            <w:pPr>
              <w:spacing w:after="0"/>
              <w:rPr>
                <w:sz w:val="16"/>
                <w:szCs w:val="16"/>
                <w:color w:val="auto"/>
              </w:rPr>
            </w:pPr>
          </w:p>
        </w:tc>
      </w:tr>
      <w:tr>
        <w:trPr>
          <w:trHeight w:val="440"/>
        </w:trPr>
        <w:tc>
          <w:tcPr>
            <w:tcW w:w="4740" w:type="dxa"/>
            <w:vAlign w:val="bottom"/>
          </w:tcPr>
          <w:p>
            <w:pPr>
              <w:spacing w:after="0"/>
              <w:rPr>
                <w:sz w:val="24"/>
                <w:szCs w:val="24"/>
                <w:color w:val="auto"/>
              </w:rPr>
            </w:pPr>
          </w:p>
        </w:tc>
        <w:tc>
          <w:tcPr>
            <w:tcW w:w="3800" w:type="dxa"/>
            <w:vAlign w:val="bottom"/>
            <w:tcBorders>
              <w:bottom w:val="single" w:sz="8" w:color="auto"/>
            </w:tcBorders>
            <w:gridSpan w:val="7"/>
          </w:tcPr>
          <w:p>
            <w:pPr>
              <w:ind w:left="760"/>
              <w:spacing w:after="0"/>
              <w:rPr>
                <w:sz w:val="20"/>
                <w:szCs w:val="20"/>
                <w:color w:val="auto"/>
              </w:rPr>
            </w:pPr>
            <w:r>
              <w:rPr>
                <w:rFonts w:ascii="Arial" w:cs="Arial" w:eastAsia="Arial" w:hAnsi="Arial"/>
                <w:sz w:val="16"/>
                <w:szCs w:val="16"/>
                <w:b w:val="1"/>
                <w:bCs w:val="1"/>
                <w:color w:val="auto"/>
              </w:rPr>
              <w:t>Gain (Loss) Recognized in Income</w:t>
            </w:r>
          </w:p>
        </w:tc>
        <w:tc>
          <w:tcPr>
            <w:tcW w:w="3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ind w:left="20"/>
              <w:spacing w:after="0"/>
              <w:rPr>
                <w:sz w:val="20"/>
                <w:szCs w:val="20"/>
                <w:color w:val="auto"/>
              </w:rPr>
            </w:pPr>
            <w:r>
              <w:rPr>
                <w:rFonts w:ascii="Arial" w:cs="Arial" w:eastAsia="Arial" w:hAnsi="Arial"/>
                <w:sz w:val="16"/>
                <w:szCs w:val="16"/>
                <w:color w:val="auto"/>
              </w:rPr>
              <w:t>Consolidated Statement</w:t>
            </w:r>
          </w:p>
        </w:tc>
      </w:tr>
      <w:tr>
        <w:trPr>
          <w:trHeight w:val="209"/>
        </w:trPr>
        <w:tc>
          <w:tcPr>
            <w:tcW w:w="47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w:t>
            </w:r>
          </w:p>
        </w:tc>
        <w:tc>
          <w:tcPr>
            <w:tcW w:w="4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2021</w:t>
            </w:r>
          </w:p>
        </w:tc>
        <w:tc>
          <w:tcPr>
            <w:tcW w:w="3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of Income Classification</w:t>
            </w:r>
          </w:p>
        </w:tc>
      </w:tr>
      <w:tr>
        <w:trPr>
          <w:trHeight w:val="210"/>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Derivatives designated as cash flow hedges:</w:t>
            </w:r>
          </w:p>
        </w:tc>
        <w:tc>
          <w:tcPr>
            <w:tcW w:w="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80" w:type="dxa"/>
            <w:vAlign w:val="bottom"/>
            <w:shd w:val="clear" w:color="auto" w:fill="CFF0FC"/>
          </w:tcPr>
          <w:p>
            <w:pPr>
              <w:spacing w:after="0"/>
              <w:rPr>
                <w:sz w:val="18"/>
                <w:szCs w:val="18"/>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6"/>
                <w:szCs w:val="16"/>
                <w:color w:val="auto"/>
              </w:rPr>
              <w:t>Cross-currency interest rate swaps</w:t>
            </w:r>
          </w:p>
        </w:tc>
        <w:tc>
          <w:tcPr>
            <w:tcW w:w="880" w:type="dxa"/>
            <w:vAlign w:val="bottom"/>
          </w:tcPr>
          <w:p>
            <w:pPr>
              <w:jc w:val="right"/>
              <w:ind w:right="6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173</w:t>
            </w:r>
          </w:p>
        </w:tc>
        <w:tc>
          <w:tcPr>
            <w:tcW w:w="260" w:type="dxa"/>
            <w:vAlign w:val="bottom"/>
          </w:tcPr>
          <w:p>
            <w:pPr>
              <w:spacing w:after="0"/>
              <w:rPr>
                <w:sz w:val="18"/>
                <w:szCs w:val="18"/>
                <w:color w:val="auto"/>
              </w:rPr>
            </w:pPr>
          </w:p>
        </w:tc>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(254 )</w:t>
            </w:r>
          </w:p>
        </w:tc>
        <w:tc>
          <w:tcPr>
            <w:tcW w:w="820" w:type="dxa"/>
            <w:vAlign w:val="bottom"/>
          </w:tcPr>
          <w:p>
            <w:pPr>
              <w:ind w:left="2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(422 )</w:t>
            </w:r>
          </w:p>
        </w:tc>
        <w:tc>
          <w:tcPr>
            <w:tcW w:w="2080" w:type="dxa"/>
            <w:vAlign w:val="bottom"/>
          </w:tcPr>
          <w:p>
            <w:pPr>
              <w:ind w:left="20"/>
              <w:spacing w:after="0"/>
              <w:rPr>
                <w:sz w:val="20"/>
                <w:szCs w:val="20"/>
                <w:color w:val="auto"/>
              </w:rPr>
            </w:pPr>
            <w:r>
              <w:rPr>
                <w:rFonts w:ascii="Arial" w:cs="Arial" w:eastAsia="Arial" w:hAnsi="Arial"/>
                <w:sz w:val="16"/>
                <w:szCs w:val="16"/>
                <w:i w:val="1"/>
                <w:iCs w:val="1"/>
                <w:color w:val="auto"/>
              </w:rPr>
              <w:t>Cost of services/sales</w:t>
            </w:r>
          </w:p>
        </w:tc>
      </w:tr>
      <w:tr>
        <w:trPr>
          <w:trHeight w:val="216"/>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Cross-currency interest rate swaps</w:t>
            </w:r>
          </w:p>
        </w:tc>
        <w:tc>
          <w:tcPr>
            <w:tcW w:w="8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(88 )</w:t>
            </w:r>
          </w:p>
        </w:tc>
        <w:tc>
          <w:tcPr>
            <w:tcW w:w="8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(88 )</w:t>
            </w:r>
          </w:p>
        </w:tc>
        <w:tc>
          <w:tcPr>
            <w:tcW w:w="8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(83 )</w:t>
            </w:r>
          </w:p>
        </w:tc>
        <w:tc>
          <w:tcPr>
            <w:tcW w:w="208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Interest expense</w:t>
            </w:r>
          </w:p>
        </w:tc>
      </w:tr>
      <w:tr>
        <w:trPr>
          <w:trHeight w:val="216"/>
        </w:trPr>
        <w:tc>
          <w:tcPr>
            <w:tcW w:w="4740" w:type="dxa"/>
            <w:vAlign w:val="bottom"/>
          </w:tcPr>
          <w:p>
            <w:pPr>
              <w:ind w:left="20"/>
              <w:spacing w:after="0"/>
              <w:rPr>
                <w:sz w:val="20"/>
                <w:szCs w:val="20"/>
                <w:color w:val="auto"/>
              </w:rPr>
            </w:pPr>
            <w:r>
              <w:rPr>
                <w:rFonts w:ascii="Arial" w:cs="Arial" w:eastAsia="Arial" w:hAnsi="Arial"/>
                <w:sz w:val="16"/>
                <w:szCs w:val="16"/>
                <w:color w:val="auto"/>
              </w:rPr>
              <w:t>Commodity contracts</w:t>
            </w:r>
          </w:p>
        </w:tc>
        <w:tc>
          <w:tcPr>
            <w:tcW w:w="8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(87 )</w:t>
            </w: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080" w:type="dxa"/>
            <w:vAlign w:val="bottom"/>
          </w:tcPr>
          <w:p>
            <w:pPr>
              <w:ind w:left="20"/>
              <w:spacing w:after="0"/>
              <w:rPr>
                <w:sz w:val="20"/>
                <w:szCs w:val="20"/>
                <w:color w:val="auto"/>
              </w:rPr>
            </w:pPr>
            <w:r>
              <w:rPr>
                <w:rFonts w:ascii="Arial" w:cs="Arial" w:eastAsia="Arial" w:hAnsi="Arial"/>
                <w:sz w:val="16"/>
                <w:szCs w:val="16"/>
                <w:i w:val="1"/>
                <w:iCs w:val="1"/>
                <w:color w:val="auto"/>
              </w:rPr>
              <w:t>Revenue</w:t>
            </w:r>
          </w:p>
        </w:tc>
      </w:tr>
      <w:tr>
        <w:trPr>
          <w:trHeight w:val="216"/>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Foreign exchange contracts</w:t>
            </w:r>
          </w:p>
        </w:tc>
        <w:tc>
          <w:tcPr>
            <w:tcW w:w="8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(30 )</w:t>
            </w: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40" w:type="dxa"/>
            <w:vAlign w:val="bottom"/>
            <w:shd w:val="clear" w:color="auto" w:fill="CFF0FC"/>
          </w:tcPr>
          <w:p>
            <w:pPr>
              <w:spacing w:after="0"/>
              <w:rPr>
                <w:sz w:val="18"/>
                <w:szCs w:val="18"/>
                <w:color w:val="auto"/>
              </w:rPr>
            </w:pPr>
          </w:p>
        </w:tc>
        <w:tc>
          <w:tcPr>
            <w:tcW w:w="208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Cost of services/sales</w:t>
            </w:r>
          </w:p>
        </w:tc>
      </w:tr>
      <w:tr>
        <w:trPr>
          <w:trHeight w:val="20"/>
        </w:trPr>
        <w:tc>
          <w:tcPr>
            <w:tcW w:w="47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80" w:type="dxa"/>
            <w:vAlign w:val="bottom"/>
            <w:shd w:val="clear" w:color="auto" w:fill="CFF0FC"/>
          </w:tcPr>
          <w:p>
            <w:pPr>
              <w:spacing w:after="0" w:line="20" w:lineRule="exact"/>
              <w:rPr>
                <w:sz w:val="1"/>
                <w:szCs w:val="1"/>
                <w:color w:val="auto"/>
              </w:rPr>
            </w:pPr>
          </w:p>
        </w:tc>
      </w:tr>
      <w:tr>
        <w:trPr>
          <w:trHeight w:val="209"/>
        </w:trPr>
        <w:tc>
          <w:tcPr>
            <w:tcW w:w="4740" w:type="dxa"/>
            <w:vAlign w:val="bottom"/>
          </w:tcPr>
          <w:p>
            <w:pPr>
              <w:spacing w:after="0"/>
              <w:rPr>
                <w:sz w:val="18"/>
                <w:szCs w:val="18"/>
                <w:color w:val="auto"/>
              </w:rPr>
            </w:pPr>
          </w:p>
        </w:tc>
        <w:tc>
          <w:tcPr>
            <w:tcW w:w="880" w:type="dxa"/>
            <w:vAlign w:val="bottom"/>
          </w:tcPr>
          <w:p>
            <w:pPr>
              <w:jc w:val="right"/>
              <w:ind w:right="6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103</w:t>
            </w:r>
          </w:p>
        </w:tc>
        <w:tc>
          <w:tcPr>
            <w:tcW w:w="260" w:type="dxa"/>
            <w:vAlign w:val="bottom"/>
          </w:tcPr>
          <w:p>
            <w:pPr>
              <w:spacing w:after="0"/>
              <w:rPr>
                <w:sz w:val="18"/>
                <w:szCs w:val="18"/>
                <w:color w:val="auto"/>
              </w:rPr>
            </w:pPr>
          </w:p>
        </w:tc>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(459 )</w:t>
            </w:r>
          </w:p>
        </w:tc>
        <w:tc>
          <w:tcPr>
            <w:tcW w:w="820" w:type="dxa"/>
            <w:vAlign w:val="bottom"/>
          </w:tcPr>
          <w:p>
            <w:pPr>
              <w:ind w:left="2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(500 )</w:t>
            </w:r>
          </w:p>
        </w:tc>
        <w:tc>
          <w:tcPr>
            <w:tcW w:w="208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7"/>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Derivatives not designated as hedges:</w:t>
            </w:r>
          </w:p>
        </w:tc>
        <w:tc>
          <w:tcPr>
            <w:tcW w:w="8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80" w:type="dxa"/>
            <w:vAlign w:val="bottom"/>
            <w:shd w:val="clear" w:color="auto" w:fill="CFF0FC"/>
          </w:tcPr>
          <w:p>
            <w:pPr>
              <w:spacing w:after="0"/>
              <w:rPr>
                <w:sz w:val="17"/>
                <w:szCs w:val="17"/>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6"/>
                <w:szCs w:val="16"/>
                <w:color w:val="auto"/>
              </w:rPr>
              <w:t>Foreign exchange contracts</w:t>
            </w:r>
          </w:p>
        </w:tc>
        <w:tc>
          <w:tcPr>
            <w:tcW w:w="880" w:type="dxa"/>
            <w:vAlign w:val="bottom"/>
          </w:tcPr>
          <w:p>
            <w:pPr>
              <w:jc w:val="right"/>
              <w:ind w:right="679"/>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(9 )</w:t>
            </w:r>
          </w:p>
        </w:tc>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42</w:t>
            </w:r>
          </w:p>
        </w:tc>
        <w:tc>
          <w:tcPr>
            <w:tcW w:w="2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(11 )</w:t>
            </w:r>
          </w:p>
        </w:tc>
        <w:tc>
          <w:tcPr>
            <w:tcW w:w="2080" w:type="dxa"/>
            <w:vAlign w:val="bottom"/>
          </w:tcPr>
          <w:p>
            <w:pPr>
              <w:ind w:left="20"/>
              <w:spacing w:after="0"/>
              <w:rPr>
                <w:sz w:val="20"/>
                <w:szCs w:val="20"/>
                <w:color w:val="auto"/>
              </w:rPr>
            </w:pPr>
            <w:r>
              <w:rPr>
                <w:rFonts w:ascii="Arial" w:cs="Arial" w:eastAsia="Arial" w:hAnsi="Arial"/>
                <w:sz w:val="16"/>
                <w:szCs w:val="16"/>
                <w:i w:val="1"/>
                <w:iCs w:val="1"/>
                <w:color w:val="auto"/>
              </w:rPr>
              <w:t>Cost of services/sales</w:t>
            </w:r>
          </w:p>
        </w:tc>
      </w:tr>
      <w:tr>
        <w:trPr>
          <w:trHeight w:val="20"/>
        </w:trPr>
        <w:tc>
          <w:tcPr>
            <w:tcW w:w="47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-471170</wp:posOffset>
            </wp:positionV>
            <wp:extent cx="768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-471170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-471170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During the fourth quarter of 2023, SLB issued a credit default swap (“CDS”) for a notional amount of $275 million to a third-party financial institution. The CDS relates to a secured borrowing provided by the financial institution to SLB’s primary customer in Mexico. The secured borrowing was utilized by this customer to pay certain of SLB’s outstanding receivables. The notional amount of the CDS, which was increased to $560 million in January 2024, will reduce on a monthly basis over its 26-month term. The fair value of this derivative liability was not material at December 31, 2023.</w:t>
      </w:r>
    </w:p>
    <w:p>
      <w:pPr>
        <w:spacing w:after="0" w:line="178"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Stockholders’ Equity</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SLB is authorized to issue 4,500,000,000 shares of common stock, par value $0.01 per share, of which 1,427,394,843 and 1,420,188,492 shares were outstanding on December 31, 2023 and 2022, respectively. Holders of common stock are entitled to one vote for each share of stock held. SLB is also authorized to issue 200,000,000 shares of preferred stock, par value $0.01 per share, which may be issued in series with terms and conditions determined by the SLB Board of Directors. No shares of preferred stock have been issued.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Accumulated Other Comprehensive Loss </w:t>
      </w:r>
      <w:r>
        <w:rPr>
          <w:rFonts w:ascii="Arial" w:cs="Arial" w:eastAsia="Arial" w:hAnsi="Arial"/>
          <w:sz w:val="16"/>
          <w:szCs w:val="16"/>
          <w:color w:val="auto"/>
        </w:rPr>
        <w:t>consists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0"/>
        </w:trPr>
        <w:tc>
          <w:tcPr>
            <w:tcW w:w="5360" w:type="dxa"/>
            <w:vAlign w:val="bottom"/>
          </w:tcPr>
          <w:p>
            <w:pPr>
              <w:spacing w:after="0"/>
              <w:rPr>
                <w:sz w:val="24"/>
                <w:szCs w:val="24"/>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2022</w:t>
            </w:r>
          </w:p>
        </w:tc>
        <w:tc>
          <w:tcPr>
            <w:tcW w:w="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0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4"/>
                <w:szCs w:val="24"/>
                <w:color w:val="auto"/>
              </w:rPr>
            </w:pPr>
          </w:p>
        </w:tc>
      </w:tr>
      <w:tr>
        <w:trPr>
          <w:trHeight w:val="210"/>
        </w:trPr>
        <w:tc>
          <w:tcPr>
            <w:tcW w:w="5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Currency translation adjustments</w:t>
            </w:r>
          </w:p>
        </w:tc>
        <w:tc>
          <w:tcPr>
            <w:tcW w:w="1160" w:type="dxa"/>
            <w:vAlign w:val="bottom"/>
            <w:shd w:val="clear" w:color="auto" w:fill="CFF0FC"/>
          </w:tcPr>
          <w:p>
            <w:pPr>
              <w:jc w:val="right"/>
              <w:ind w:right="979"/>
              <w:spacing w:after="0"/>
              <w:rPr>
                <w:sz w:val="20"/>
                <w:szCs w:val="20"/>
                <w:color w:val="auto"/>
              </w:rPr>
            </w:pPr>
            <w:r>
              <w:rPr>
                <w:rFonts w:ascii="Arial" w:cs="Arial" w:eastAsia="Arial" w:hAnsi="Arial"/>
                <w:sz w:val="16"/>
                <w:szCs w:val="16"/>
                <w:b w:val="1"/>
                <w:bCs w:val="1"/>
                <w:color w:val="auto"/>
                <w:w w:val="89"/>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(2,557 )</w:t>
            </w:r>
          </w:p>
        </w:tc>
        <w:tc>
          <w:tcPr>
            <w:tcW w:w="4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(2,444 )</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(2,419 )</w:t>
            </w:r>
          </w:p>
        </w:tc>
      </w:tr>
      <w:tr>
        <w:trPr>
          <w:trHeight w:val="216"/>
        </w:trPr>
        <w:tc>
          <w:tcPr>
            <w:tcW w:w="5360" w:type="dxa"/>
            <w:vAlign w:val="bottom"/>
          </w:tcPr>
          <w:p>
            <w:pPr>
              <w:ind w:left="20"/>
              <w:spacing w:after="0"/>
              <w:rPr>
                <w:sz w:val="20"/>
                <w:szCs w:val="20"/>
                <w:color w:val="auto"/>
              </w:rPr>
            </w:pPr>
            <w:r>
              <w:rPr>
                <w:rFonts w:ascii="Arial" w:cs="Arial" w:eastAsia="Arial" w:hAnsi="Arial"/>
                <w:sz w:val="16"/>
                <w:szCs w:val="16"/>
                <w:color w:val="auto"/>
              </w:rPr>
              <w:t>Pension and other postretirement benefit plans</w:t>
            </w:r>
          </w:p>
        </w:tc>
        <w:tc>
          <w:tcPr>
            <w:tcW w:w="1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(1,709 )</w:t>
            </w:r>
          </w:p>
        </w:tc>
        <w:tc>
          <w:tcPr>
            <w:tcW w:w="40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(1,295 )</w:t>
            </w:r>
          </w:p>
        </w:tc>
        <w:tc>
          <w:tcPr>
            <w:tcW w:w="30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6"/>
                <w:szCs w:val="16"/>
                <w:color w:val="auto"/>
              </w:rPr>
              <w:t>(1,066 )</w:t>
            </w:r>
          </w:p>
        </w:tc>
      </w:tr>
      <w:tr>
        <w:trPr>
          <w:trHeight w:val="216"/>
        </w:trPr>
        <w:tc>
          <w:tcPr>
            <w:tcW w:w="5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 hedges</w:t>
            </w:r>
          </w:p>
        </w:tc>
        <w:tc>
          <w:tcPr>
            <w:tcW w:w="1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42</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(116 )</w:t>
            </w:r>
          </w:p>
        </w:tc>
        <w:tc>
          <w:tcPr>
            <w:tcW w:w="3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(85 )</w:t>
            </w:r>
          </w:p>
        </w:tc>
      </w:tr>
      <w:tr>
        <w:trPr>
          <w:trHeight w:val="216"/>
        </w:trPr>
        <w:tc>
          <w:tcPr>
            <w:tcW w:w="5360" w:type="dxa"/>
            <w:vAlign w:val="bottom"/>
          </w:tcPr>
          <w:p>
            <w:pPr>
              <w:ind w:left="20"/>
              <w:spacing w:after="0"/>
              <w:rPr>
                <w:sz w:val="20"/>
                <w:szCs w:val="20"/>
                <w:color w:val="auto"/>
              </w:rPr>
            </w:pPr>
            <w:r>
              <w:rPr>
                <w:rFonts w:ascii="Arial" w:cs="Arial" w:eastAsia="Arial" w:hAnsi="Arial"/>
                <w:sz w:val="16"/>
                <w:szCs w:val="16"/>
                <w:color w:val="auto"/>
              </w:rPr>
              <w:t>Other</w:t>
            </w:r>
          </w:p>
        </w:tc>
        <w:tc>
          <w:tcPr>
            <w:tcW w:w="1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(30 )</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979"/>
              <w:spacing w:after="0"/>
              <w:rPr>
                <w:sz w:val="20"/>
                <w:szCs w:val="20"/>
                <w:color w:val="auto"/>
              </w:rPr>
            </w:pPr>
            <w:r>
              <w:rPr>
                <w:rFonts w:ascii="Arial" w:cs="Arial" w:eastAsia="Arial" w:hAnsi="Arial"/>
                <w:sz w:val="16"/>
                <w:szCs w:val="16"/>
                <w:b w:val="1"/>
                <w:bCs w:val="1"/>
                <w:color w:val="auto"/>
                <w:w w:val="89"/>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(4,254 )</w:t>
            </w:r>
          </w:p>
        </w:tc>
        <w:tc>
          <w:tcPr>
            <w:tcW w:w="4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(3,855 )</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(3,570 )</w:t>
            </w:r>
          </w:p>
        </w:tc>
      </w:tr>
      <w:tr>
        <w:trPr>
          <w:trHeight w:val="20"/>
        </w:trPr>
        <w:tc>
          <w:tcPr>
            <w:tcW w:w="536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-24765</wp:posOffset>
            </wp:positionV>
            <wp:extent cx="768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768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Stock-based Compensation Plans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SLB has three types of stock-based compensation programs: (i) a restricted stock unit and performance share unit program (collectively referred to as “restricted stock”), (ii) a discounted stock purchase plan (“DSPP”), and (iii) stock options.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Stock</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SLB grants performance share units to certain key employees. The number of shares earned is determined at the end of each performance period based on SLB’s achievement of certain predefined targets as described in the underlying performance share unit agreement. In the event SLB exceeds the predefined target, shares for up to a maximum of 250% of the target award may be awarded. In the event SLB falls below the predefined target, a reduced number of shares may be awarded. If SLB falls below the threshold award performance level, no shares will be awarded. As of December 31, 2023, 3.2 million performance share units were outstanding assuming the achievement of 100% of target.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All other restricted stock awards generally vest at the end of three years or vest ratably in equal tranches over a three-year period.</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Restricted stock awards do not pay dividends or have voting rights prior to vesting. Accordingly, the fair value of a restricted stock award is generally the quoted market price of SLB’s stock on the date of grant less the present value of the expected dividends not received prior to vesting.</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t>The following table summarizes information related to restricted stock activity:</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5"/>
          </w:tcPr>
          <w:p>
            <w:pPr>
              <w:jc w:val="center"/>
              <w:ind w:left="181"/>
              <w:spacing w:after="0"/>
              <w:rPr>
                <w:sz w:val="20"/>
                <w:szCs w:val="20"/>
                <w:color w:val="auto"/>
              </w:rPr>
            </w:pPr>
            <w:r>
              <w:rPr>
                <w:rFonts w:ascii="Arial" w:cs="Arial" w:eastAsia="Arial" w:hAnsi="Arial"/>
                <w:sz w:val="14"/>
                <w:szCs w:val="14"/>
                <w:i w:val="1"/>
                <w:iCs w:val="1"/>
                <w:color w:val="auto"/>
              </w:rPr>
              <w:t>(Shares stated in millions)</w:t>
            </w:r>
          </w:p>
        </w:tc>
      </w:tr>
      <w:tr>
        <w:trPr>
          <w:trHeight w:val="440"/>
        </w:trPr>
        <w:tc>
          <w:tcPr>
            <w:tcW w:w="454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20" w:type="dxa"/>
            <w:vAlign w:val="bottom"/>
            <w:gridSpan w:val="4"/>
          </w:tcPr>
          <w:p>
            <w:pPr>
              <w:jc w:val="right"/>
              <w:ind w:right="19"/>
              <w:spacing w:after="0"/>
              <w:rPr>
                <w:sz w:val="20"/>
                <w:szCs w:val="20"/>
                <w:color w:val="auto"/>
              </w:rPr>
            </w:pPr>
            <w:r>
              <w:rPr>
                <w:rFonts w:ascii="Arial" w:cs="Arial" w:eastAsia="Arial" w:hAnsi="Arial"/>
                <w:sz w:val="16"/>
                <w:szCs w:val="16"/>
                <w:color w:val="auto"/>
              </w:rPr>
              <w:t>2022</w:t>
            </w:r>
          </w:p>
        </w:tc>
        <w:tc>
          <w:tcPr>
            <w:tcW w:w="720" w:type="dxa"/>
            <w:vAlign w:val="bottom"/>
          </w:tcPr>
          <w:p>
            <w:pPr>
              <w:spacing w:after="0"/>
              <w:rPr>
                <w:sz w:val="24"/>
                <w:szCs w:val="24"/>
                <w:color w:val="auto"/>
              </w:rPr>
            </w:pPr>
          </w:p>
        </w:tc>
        <w:tc>
          <w:tcPr>
            <w:tcW w:w="1500" w:type="dxa"/>
            <w:vAlign w:val="bottom"/>
            <w:gridSpan w:val="4"/>
          </w:tcPr>
          <w:p>
            <w:pPr>
              <w:jc w:val="right"/>
              <w:spacing w:after="0"/>
              <w:rPr>
                <w:sz w:val="20"/>
                <w:szCs w:val="20"/>
                <w:color w:val="auto"/>
              </w:rPr>
            </w:pPr>
            <w:r>
              <w:rPr>
                <w:rFonts w:ascii="Arial" w:cs="Arial" w:eastAsia="Arial" w:hAnsi="Arial"/>
                <w:sz w:val="16"/>
                <w:szCs w:val="16"/>
                <w:color w:val="auto"/>
              </w:rPr>
              <w:t>2021</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45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Weighted-</w:t>
            </w:r>
          </w:p>
        </w:tc>
        <w:tc>
          <w:tcPr>
            <w:tcW w:w="2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rPr>
              <w:t>Weighted-</w:t>
            </w: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rPr>
              <w:t>Weighted-</w:t>
            </w:r>
          </w:p>
        </w:tc>
        <w:tc>
          <w:tcPr>
            <w:tcW w:w="100" w:type="dxa"/>
            <w:vAlign w:val="bottom"/>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ind w:right="19"/>
              <w:spacing w:after="0"/>
              <w:rPr>
                <w:sz w:val="20"/>
                <w:szCs w:val="20"/>
                <w:color w:val="auto"/>
              </w:rPr>
            </w:pPr>
            <w:r>
              <w:rPr>
                <w:rFonts w:ascii="Arial" w:cs="Arial" w:eastAsia="Arial" w:hAnsi="Arial"/>
                <w:sz w:val="16"/>
                <w:szCs w:val="16"/>
                <w:b w:val="1"/>
                <w:bCs w:val="1"/>
                <w:color w:val="auto"/>
                <w:w w:val="98"/>
              </w:rPr>
              <w:t>Average</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ind w:right="39"/>
              <w:spacing w:after="0"/>
              <w:rPr>
                <w:sz w:val="20"/>
                <w:szCs w:val="20"/>
                <w:color w:val="auto"/>
              </w:rPr>
            </w:pPr>
            <w:r>
              <w:rPr>
                <w:rFonts w:ascii="Arial" w:cs="Arial" w:eastAsia="Arial" w:hAnsi="Arial"/>
                <w:sz w:val="16"/>
                <w:szCs w:val="16"/>
                <w:color w:val="auto"/>
              </w:rPr>
              <w:t>Average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color w:val="auto"/>
              </w:rPr>
              <w:t>Average</w:t>
            </w:r>
          </w:p>
        </w:tc>
      </w:tr>
      <w:tr>
        <w:trPr>
          <w:trHeight w:val="216"/>
        </w:trPr>
        <w:tc>
          <w:tcPr>
            <w:tcW w:w="454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Restricted</w:t>
            </w: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Grant Date</w:t>
            </w:r>
          </w:p>
        </w:tc>
        <w:tc>
          <w:tcPr>
            <w:tcW w:w="2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Restricted</w:t>
            </w:r>
          </w:p>
        </w:tc>
        <w:tc>
          <w:tcPr>
            <w:tcW w:w="840" w:type="dxa"/>
            <w:vAlign w:val="bottom"/>
            <w:gridSpan w:val="2"/>
          </w:tcPr>
          <w:p>
            <w:pPr>
              <w:ind w:left="20"/>
              <w:spacing w:after="0"/>
              <w:rPr>
                <w:sz w:val="20"/>
                <w:szCs w:val="20"/>
                <w:color w:val="auto"/>
              </w:rPr>
            </w:pPr>
            <w:r>
              <w:rPr>
                <w:rFonts w:ascii="Arial" w:cs="Arial" w:eastAsia="Arial" w:hAnsi="Arial"/>
                <w:sz w:val="16"/>
                <w:szCs w:val="16"/>
                <w:color w:val="auto"/>
              </w:rPr>
              <w:t>Grant Date</w:t>
            </w:r>
          </w:p>
        </w:tc>
        <w:tc>
          <w:tcPr>
            <w:tcW w:w="2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Restricted</w:t>
            </w:r>
          </w:p>
        </w:tc>
        <w:tc>
          <w:tcPr>
            <w:tcW w:w="1000" w:type="dxa"/>
            <w:vAlign w:val="bottom"/>
            <w:gridSpan w:val="3"/>
          </w:tcPr>
          <w:p>
            <w:pPr>
              <w:jc w:val="center"/>
              <w:ind w:right="100"/>
              <w:spacing w:after="0"/>
              <w:rPr>
                <w:sz w:val="20"/>
                <w:szCs w:val="20"/>
                <w:color w:val="auto"/>
              </w:rPr>
            </w:pPr>
            <w:r>
              <w:rPr>
                <w:rFonts w:ascii="Arial" w:cs="Arial" w:eastAsia="Arial" w:hAnsi="Arial"/>
                <w:sz w:val="16"/>
                <w:szCs w:val="16"/>
                <w:color w:val="auto"/>
                <w:w w:val="99"/>
              </w:rPr>
              <w:t>Grant Date</w:t>
            </w:r>
          </w:p>
        </w:tc>
      </w:tr>
      <w:tr>
        <w:trPr>
          <w:trHeight w:val="217"/>
        </w:trPr>
        <w:tc>
          <w:tcPr>
            <w:tcW w:w="4540" w:type="dxa"/>
            <w:vAlign w:val="bottom"/>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Stock</w:t>
            </w:r>
          </w:p>
        </w:tc>
        <w:tc>
          <w:tcPr>
            <w:tcW w:w="240" w:type="dxa"/>
            <w:vAlign w:val="bottom"/>
          </w:tcPr>
          <w:p>
            <w:pPr>
              <w:spacing w:after="0"/>
              <w:rPr>
                <w:sz w:val="18"/>
                <w:szCs w:val="18"/>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Fair Value</w:t>
            </w:r>
          </w:p>
        </w:tc>
        <w:tc>
          <w:tcPr>
            <w:tcW w:w="240" w:type="dxa"/>
            <w:vAlign w:val="bottom"/>
          </w:tcPr>
          <w:p>
            <w:pPr>
              <w:spacing w:after="0"/>
              <w:rPr>
                <w:sz w:val="18"/>
                <w:szCs w:val="18"/>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Stock</w:t>
            </w:r>
          </w:p>
        </w:tc>
        <w:tc>
          <w:tcPr>
            <w:tcW w:w="200" w:type="dxa"/>
            <w:vAlign w:val="bottom"/>
          </w:tcPr>
          <w:p>
            <w:pPr>
              <w:spacing w:after="0"/>
              <w:rPr>
                <w:sz w:val="18"/>
                <w:szCs w:val="18"/>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8"/>
              </w:rPr>
              <w:t>Fair Value</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Stock</w:t>
            </w:r>
          </w:p>
        </w:tc>
        <w:tc>
          <w:tcPr>
            <w:tcW w:w="220" w:type="dxa"/>
            <w:vAlign w:val="bottom"/>
          </w:tcPr>
          <w:p>
            <w:pPr>
              <w:spacing w:after="0"/>
              <w:rPr>
                <w:sz w:val="18"/>
                <w:szCs w:val="18"/>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8"/>
              </w:rPr>
              <w:t>Fair Value</w:t>
            </w:r>
          </w:p>
        </w:tc>
        <w:tc>
          <w:tcPr>
            <w:tcW w:w="100" w:type="dxa"/>
            <w:vAlign w:val="bottom"/>
          </w:tcPr>
          <w:p>
            <w:pPr>
              <w:spacing w:after="0"/>
              <w:rPr>
                <w:sz w:val="18"/>
                <w:szCs w:val="18"/>
                <w:color w:val="auto"/>
              </w:rPr>
            </w:pPr>
          </w:p>
        </w:tc>
      </w:tr>
      <w:tr>
        <w:trPr>
          <w:trHeight w:val="209"/>
        </w:trPr>
        <w:tc>
          <w:tcPr>
            <w:tcW w:w="4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Unvested at beginning of year</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30.24</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35.24</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6"/>
                <w:szCs w:val="16"/>
                <w:color w:val="auto"/>
              </w:rPr>
              <w:t>Granted</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24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56.24</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36.16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25.16</w:t>
            </w: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for performance achieved</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32.47</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35.55</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6"/>
                <w:szCs w:val="16"/>
                <w:color w:val="auto"/>
              </w:rPr>
              <w:t>Vested</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(11 )</w:t>
            </w:r>
          </w:p>
        </w:tc>
        <w:tc>
          <w:tcPr>
            <w:tcW w:w="100" w:type="dxa"/>
            <w:vAlign w:val="bottom"/>
          </w:tcPr>
          <w:p>
            <w:pPr>
              <w:ind w:left="20"/>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29.82</w:t>
            </w:r>
          </w:p>
        </w:tc>
        <w:tc>
          <w:tcPr>
            <w:tcW w:w="1400" w:type="dxa"/>
            <w:vAlign w:val="bottom"/>
            <w:gridSpan w:val="3"/>
          </w:tcPr>
          <w:p>
            <w:pPr>
              <w:jc w:val="right"/>
              <w:ind w:right="140"/>
              <w:spacing w:after="0"/>
              <w:rPr>
                <w:sz w:val="20"/>
                <w:szCs w:val="20"/>
                <w:color w:val="auto"/>
              </w:rPr>
            </w:pPr>
            <w:r>
              <w:rPr>
                <w:rFonts w:ascii="Arial" w:cs="Arial" w:eastAsia="Arial" w:hAnsi="Arial"/>
                <w:sz w:val="16"/>
                <w:szCs w:val="16"/>
                <w:color w:val="auto"/>
              </w:rPr>
              <w:t>(13 )</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32.42</w:t>
            </w:r>
          </w:p>
        </w:tc>
        <w:tc>
          <w:tcPr>
            <w:tcW w:w="1380" w:type="dxa"/>
            <w:vAlign w:val="bottom"/>
            <w:gridSpan w:val="3"/>
          </w:tcPr>
          <w:p>
            <w:pPr>
              <w:jc w:val="right"/>
              <w:ind w:right="140"/>
              <w:spacing w:after="0"/>
              <w:rPr>
                <w:sz w:val="20"/>
                <w:szCs w:val="20"/>
                <w:color w:val="auto"/>
              </w:rPr>
            </w:pPr>
            <w:r>
              <w:rPr>
                <w:rFonts w:ascii="Arial" w:cs="Arial" w:eastAsia="Arial" w:hAnsi="Arial"/>
                <w:sz w:val="16"/>
                <w:szCs w:val="16"/>
                <w:color w:val="auto"/>
              </w:rPr>
              <w:t>(5 )</w:t>
            </w:r>
          </w:p>
        </w:tc>
        <w:tc>
          <w:tcPr>
            <w:tcW w:w="1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48.44</w:t>
            </w:r>
          </w:p>
        </w:tc>
        <w:tc>
          <w:tcPr>
            <w:tcW w:w="100" w:type="dxa"/>
            <w:vAlign w:val="bottom"/>
          </w:tcPr>
          <w:p>
            <w:pPr>
              <w:spacing w:after="0"/>
              <w:rPr>
                <w:sz w:val="18"/>
                <w:szCs w:val="18"/>
                <w:color w:val="auto"/>
              </w:rPr>
            </w:pPr>
          </w:p>
        </w:tc>
      </w:tr>
      <w:tr>
        <w:trPr>
          <w:trHeight w:val="249"/>
        </w:trPr>
        <w:tc>
          <w:tcPr>
            <w:tcW w:w="45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Unvested at year-end</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39.88</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30.24</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29.03</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-25400</wp:posOffset>
            </wp:positionV>
            <wp:extent cx="774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-7620</wp:posOffset>
            </wp:positionV>
            <wp:extent cx="77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-170815</wp:posOffset>
            </wp:positionV>
            <wp:extent cx="774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-25400</wp:posOffset>
            </wp:positionV>
            <wp:extent cx="774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774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-170815</wp:posOffset>
            </wp:positionV>
            <wp:extent cx="774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-25400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-170815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-25400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-170815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Discounted Stock Purchase Plan</w:t>
      </w:r>
    </w:p>
    <w:p>
      <w:pPr>
        <w:spacing w:after="0" w:line="111" w:lineRule="exact"/>
        <w:rPr>
          <w:sz w:val="20"/>
          <w:szCs w:val="20"/>
          <w:color w:val="auto"/>
        </w:rPr>
      </w:pPr>
    </w:p>
    <w:p>
      <w:pPr>
        <w:jc w:val="both"/>
        <w:ind w:right="40"/>
        <w:spacing w:after="0" w:line="259" w:lineRule="auto"/>
        <w:rPr>
          <w:sz w:val="20"/>
          <w:szCs w:val="20"/>
          <w:color w:val="auto"/>
        </w:rPr>
      </w:pPr>
      <w:r>
        <w:rPr>
          <w:rFonts w:ascii="Arial" w:cs="Arial" w:eastAsia="Arial" w:hAnsi="Arial"/>
          <w:sz w:val="16"/>
          <w:szCs w:val="16"/>
          <w:color w:val="auto"/>
        </w:rPr>
        <w:t>Under the terms of the DSPP, employees can choose to have a portion of their earnings withheld, subject to certain restrictions, to purchase SLB common stock. Until July 1, 2022, the purchase price of the stock was 92.5% of the lower of the stock price at the beginning or end of the plan period at six-month intervals. Effective July 1, 2022, the purchase price of the stock was changed to 85% of the lower of the stock price at the beginning or end of the plan period at six-month intervals.</w:t>
      </w:r>
    </w:p>
    <w:p>
      <w:pPr>
        <w:spacing w:after="0" w:line="151"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The fair value of the employees’ purchase rights under the DSPP was estimated using the Black-Scholes model with the following assumptions and resulting weighted-average fair value per share: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2021</w:t>
            </w:r>
          </w:p>
        </w:tc>
        <w:tc>
          <w:tcPr>
            <w:tcW w:w="140" w:type="dxa"/>
            <w:vAlign w:val="bottom"/>
          </w:tcPr>
          <w:p>
            <w:pPr>
              <w:spacing w:after="0"/>
              <w:rPr>
                <w:sz w:val="18"/>
                <w:szCs w:val="18"/>
                <w:color w:val="auto"/>
              </w:rPr>
            </w:pPr>
          </w:p>
        </w:tc>
      </w:tr>
      <w:tr>
        <w:trPr>
          <w:trHeight w:val="209"/>
        </w:trPr>
        <w:tc>
          <w:tcPr>
            <w:tcW w:w="652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1.7 %</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1.8 %</w:t>
            </w:r>
          </w:p>
        </w:tc>
        <w:tc>
          <w:tcPr>
            <w:tcW w:w="3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2.0 %</w:t>
            </w:r>
          </w:p>
        </w:tc>
      </w:tr>
      <w:tr>
        <w:trPr>
          <w:trHeight w:val="216"/>
        </w:trPr>
        <w:tc>
          <w:tcPr>
            <w:tcW w:w="652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50 %</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47 %</w:t>
            </w:r>
          </w:p>
        </w:tc>
        <w:tc>
          <w:tcPr>
            <w:tcW w:w="3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67 %</w:t>
            </w:r>
          </w:p>
        </w:tc>
      </w:tr>
      <w:tr>
        <w:trPr>
          <w:trHeight w:val="216"/>
        </w:trPr>
        <w:tc>
          <w:tcPr>
            <w:tcW w:w="652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5.13 %</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1.32 %</w:t>
            </w:r>
          </w:p>
        </w:tc>
        <w:tc>
          <w:tcPr>
            <w:tcW w:w="3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0.07 %</w:t>
            </w:r>
          </w:p>
        </w:tc>
      </w:tr>
      <w:tr>
        <w:trPr>
          <w:trHeight w:val="223"/>
        </w:trPr>
        <w:tc>
          <w:tcPr>
            <w:tcW w:w="6520" w:type="dxa"/>
            <w:vAlign w:val="bottom"/>
          </w:tcPr>
          <w:p>
            <w:pPr>
              <w:ind w:left="20"/>
              <w:spacing w:after="0"/>
              <w:rPr>
                <w:sz w:val="20"/>
                <w:szCs w:val="20"/>
                <w:color w:val="auto"/>
              </w:rPr>
            </w:pPr>
            <w:r>
              <w:rPr>
                <w:rFonts w:ascii="Arial" w:cs="Arial" w:eastAsia="Arial" w:hAnsi="Arial"/>
                <w:sz w:val="16"/>
                <w:szCs w:val="16"/>
                <w:color w:val="auto"/>
              </w:rPr>
              <w:t>Weighted-average fair value per share</w:t>
            </w:r>
          </w:p>
        </w:tc>
        <w:tc>
          <w:tcPr>
            <w:tcW w:w="940" w:type="dxa"/>
            <w:vAlign w:val="bottom"/>
          </w:tcPr>
          <w:p>
            <w:pPr>
              <w:jc w:val="right"/>
              <w:ind w:right="739"/>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14.93</w:t>
            </w:r>
          </w:p>
        </w:tc>
        <w:tc>
          <w:tcPr>
            <w:tcW w:w="220" w:type="dxa"/>
            <w:vAlign w:val="bottom"/>
          </w:tcPr>
          <w:p>
            <w:pPr>
              <w:spacing w:after="0"/>
              <w:rPr>
                <w:sz w:val="19"/>
                <w:szCs w:val="19"/>
                <w:color w:val="auto"/>
              </w:rPr>
            </w:pP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8.05</w:t>
            </w:r>
          </w:p>
        </w:tc>
        <w:tc>
          <w:tcPr>
            <w:tcW w:w="2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6.72</w:t>
            </w: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-552450</wp:posOffset>
            </wp:positionV>
            <wp:extent cx="7132320" cy="1371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1371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Options</w:t>
      </w:r>
    </w:p>
    <w:p>
      <w:pPr>
        <w:spacing w:after="0" w:line="11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Key employees may be granted stock options under SLB stock option plans. The exercise price equals the average of the high and low sales prices of SLB stock on the date of grant. The maximum term is 10 years, and the options generally vest in increments over five years.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stock option activity:</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5"/>
          </w:tcPr>
          <w:p>
            <w:pPr>
              <w:jc w:val="center"/>
              <w:ind w:left="182"/>
              <w:spacing w:after="0"/>
              <w:rPr>
                <w:sz w:val="20"/>
                <w:szCs w:val="20"/>
                <w:color w:val="auto"/>
              </w:rPr>
            </w:pPr>
            <w:r>
              <w:rPr>
                <w:rFonts w:ascii="Arial" w:cs="Arial" w:eastAsia="Arial" w:hAnsi="Arial"/>
                <w:sz w:val="14"/>
                <w:szCs w:val="14"/>
                <w:i w:val="1"/>
                <w:iCs w:val="1"/>
                <w:color w:val="auto"/>
              </w:rPr>
              <w:t>(Shares stated in millions)</w:t>
            </w:r>
          </w:p>
        </w:tc>
      </w:tr>
      <w:tr>
        <w:trPr>
          <w:trHeight w:val="440"/>
        </w:trPr>
        <w:tc>
          <w:tcPr>
            <w:tcW w:w="4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20" w:type="dxa"/>
            <w:vAlign w:val="bottom"/>
            <w:gridSpan w:val="4"/>
          </w:tcPr>
          <w:p>
            <w:pPr>
              <w:jc w:val="right"/>
              <w:ind w:right="19"/>
              <w:spacing w:after="0"/>
              <w:rPr>
                <w:sz w:val="20"/>
                <w:szCs w:val="20"/>
                <w:color w:val="auto"/>
              </w:rPr>
            </w:pPr>
            <w:r>
              <w:rPr>
                <w:rFonts w:ascii="Arial" w:cs="Arial" w:eastAsia="Arial" w:hAnsi="Arial"/>
                <w:sz w:val="16"/>
                <w:szCs w:val="16"/>
                <w:color w:val="auto"/>
              </w:rPr>
              <w:t>2022</w:t>
            </w:r>
          </w:p>
        </w:tc>
        <w:tc>
          <w:tcPr>
            <w:tcW w:w="720" w:type="dxa"/>
            <w:vAlign w:val="bottom"/>
          </w:tcPr>
          <w:p>
            <w:pPr>
              <w:spacing w:after="0"/>
              <w:rPr>
                <w:sz w:val="24"/>
                <w:szCs w:val="24"/>
                <w:color w:val="auto"/>
              </w:rPr>
            </w:pPr>
          </w:p>
        </w:tc>
        <w:tc>
          <w:tcPr>
            <w:tcW w:w="1500" w:type="dxa"/>
            <w:vAlign w:val="bottom"/>
            <w:gridSpan w:val="4"/>
          </w:tcPr>
          <w:p>
            <w:pPr>
              <w:jc w:val="right"/>
              <w:spacing w:after="0"/>
              <w:rPr>
                <w:sz w:val="20"/>
                <w:szCs w:val="20"/>
                <w:color w:val="auto"/>
              </w:rPr>
            </w:pPr>
            <w:r>
              <w:rPr>
                <w:rFonts w:ascii="Arial" w:cs="Arial" w:eastAsia="Arial" w:hAnsi="Arial"/>
                <w:sz w:val="16"/>
                <w:szCs w:val="16"/>
                <w:color w:val="auto"/>
              </w:rPr>
              <w:t>2021</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45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Weighted-</w:t>
            </w:r>
          </w:p>
        </w:tc>
        <w:tc>
          <w:tcPr>
            <w:tcW w:w="2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rPr>
              <w:t>Weighted-</w:t>
            </w: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rPr>
              <w:t>Weighted-</w:t>
            </w:r>
          </w:p>
        </w:tc>
        <w:tc>
          <w:tcPr>
            <w:tcW w:w="100" w:type="dxa"/>
            <w:vAlign w:val="bottom"/>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ind w:right="19"/>
              <w:spacing w:after="0"/>
              <w:rPr>
                <w:sz w:val="20"/>
                <w:szCs w:val="20"/>
                <w:color w:val="auto"/>
              </w:rPr>
            </w:pPr>
            <w:r>
              <w:rPr>
                <w:rFonts w:ascii="Arial" w:cs="Arial" w:eastAsia="Arial" w:hAnsi="Arial"/>
                <w:sz w:val="16"/>
                <w:szCs w:val="16"/>
                <w:b w:val="1"/>
                <w:bCs w:val="1"/>
                <w:color w:val="auto"/>
                <w:w w:val="98"/>
              </w:rPr>
              <w:t>Average</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ind w:right="39"/>
              <w:spacing w:after="0"/>
              <w:rPr>
                <w:sz w:val="20"/>
                <w:szCs w:val="20"/>
                <w:color w:val="auto"/>
              </w:rPr>
            </w:pPr>
            <w:r>
              <w:rPr>
                <w:rFonts w:ascii="Arial" w:cs="Arial" w:eastAsia="Arial" w:hAnsi="Arial"/>
                <w:sz w:val="16"/>
                <w:szCs w:val="16"/>
                <w:color w:val="auto"/>
              </w:rPr>
              <w:t>Average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color w:val="auto"/>
              </w:rPr>
              <w:t>Average</w:t>
            </w:r>
          </w:p>
        </w:tc>
      </w:tr>
      <w:tr>
        <w:trPr>
          <w:trHeight w:val="216"/>
        </w:trPr>
        <w:tc>
          <w:tcPr>
            <w:tcW w:w="4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Arial" w:cs="Arial" w:eastAsia="Arial" w:hAnsi="Arial"/>
                <w:sz w:val="16"/>
                <w:szCs w:val="16"/>
                <w:b w:val="1"/>
                <w:bCs w:val="1"/>
                <w:color w:val="auto"/>
              </w:rPr>
              <w:t>Exercise</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ind w:right="19"/>
              <w:spacing w:after="0"/>
              <w:rPr>
                <w:sz w:val="20"/>
                <w:szCs w:val="20"/>
                <w:color w:val="auto"/>
              </w:rPr>
            </w:pPr>
            <w:r>
              <w:rPr>
                <w:rFonts w:ascii="Arial" w:cs="Arial" w:eastAsia="Arial" w:hAnsi="Arial"/>
                <w:sz w:val="16"/>
                <w:szCs w:val="16"/>
                <w:color w:val="auto"/>
              </w:rPr>
              <w:t>Exercise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color w:val="auto"/>
              </w:rPr>
              <w:t>Exercise</w:t>
            </w:r>
          </w:p>
        </w:tc>
      </w:tr>
      <w:tr>
        <w:trPr>
          <w:trHeight w:val="217"/>
        </w:trPr>
        <w:tc>
          <w:tcPr>
            <w:tcW w:w="4540" w:type="dxa"/>
            <w:vAlign w:val="bottom"/>
          </w:tcPr>
          <w:p>
            <w:pPr>
              <w:spacing w:after="0"/>
              <w:rPr>
                <w:sz w:val="18"/>
                <w:szCs w:val="18"/>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Shares</w:t>
            </w:r>
          </w:p>
        </w:tc>
        <w:tc>
          <w:tcPr>
            <w:tcW w:w="2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6"/>
              </w:rPr>
              <w:t>Price</w:t>
            </w:r>
          </w:p>
        </w:tc>
        <w:tc>
          <w:tcPr>
            <w:tcW w:w="240" w:type="dxa"/>
            <w:vAlign w:val="bottom"/>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Shares</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Price</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Shares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Price</w:t>
            </w:r>
          </w:p>
        </w:tc>
        <w:tc>
          <w:tcPr>
            <w:tcW w:w="100" w:type="dxa"/>
            <w:vAlign w:val="bottom"/>
          </w:tcPr>
          <w:p>
            <w:pPr>
              <w:spacing w:after="0"/>
              <w:rPr>
                <w:sz w:val="18"/>
                <w:szCs w:val="18"/>
                <w:color w:val="auto"/>
              </w:rPr>
            </w:pPr>
          </w:p>
        </w:tc>
      </w:tr>
      <w:tr>
        <w:trPr>
          <w:trHeight w:val="210"/>
        </w:trPr>
        <w:tc>
          <w:tcPr>
            <w:tcW w:w="53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Outstanding at beginning of year</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35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70.31</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68.95</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70.37</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Exercised</w:t>
            </w:r>
          </w:p>
        </w:tc>
        <w:tc>
          <w:tcPr>
            <w:tcW w:w="4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9"/>
              </w:rPr>
              <w:t>(2 )</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40.02</w:t>
            </w:r>
          </w:p>
        </w:tc>
        <w:tc>
          <w:tcPr>
            <w:tcW w:w="1400" w:type="dxa"/>
            <w:vAlign w:val="bottom"/>
            <w:gridSpan w:val="3"/>
          </w:tcPr>
          <w:p>
            <w:pPr>
              <w:jc w:val="right"/>
              <w:ind w:right="140"/>
              <w:spacing w:after="0"/>
              <w:rPr>
                <w:sz w:val="20"/>
                <w:szCs w:val="20"/>
                <w:color w:val="auto"/>
              </w:rPr>
            </w:pPr>
            <w:r>
              <w:rPr>
                <w:rFonts w:ascii="Arial" w:cs="Arial" w:eastAsia="Arial" w:hAnsi="Arial"/>
                <w:sz w:val="16"/>
                <w:szCs w:val="16"/>
                <w:color w:val="auto"/>
              </w:rPr>
              <w:t>(2 )</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40.04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Forfeited / Expired</w:t>
            </w:r>
          </w:p>
        </w:tc>
        <w:tc>
          <w:tcPr>
            <w:tcW w:w="7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w w:val="99"/>
              </w:rPr>
              <w:t>(5 )</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73.18</w:t>
            </w:r>
          </w:p>
        </w:tc>
        <w:tc>
          <w:tcPr>
            <w:tcW w:w="140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(5 )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71.45</w:t>
            </w:r>
          </w:p>
        </w:tc>
        <w:tc>
          <w:tcPr>
            <w:tcW w:w="13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(6 )</w:t>
            </w:r>
          </w:p>
        </w:tc>
        <w:tc>
          <w:tcPr>
            <w:tcW w:w="1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80.46</w:t>
            </w:r>
          </w:p>
        </w:tc>
        <w:tc>
          <w:tcPr>
            <w:tcW w:w="100" w:type="dxa"/>
            <w:vAlign w:val="bottom"/>
            <w:shd w:val="clear" w:color="auto" w:fill="CFF0FC"/>
          </w:tcPr>
          <w:p>
            <w:pPr>
              <w:spacing w:after="0"/>
              <w:rPr>
                <w:sz w:val="18"/>
                <w:szCs w:val="18"/>
                <w:color w:val="auto"/>
              </w:rPr>
            </w:pPr>
          </w:p>
        </w:tc>
      </w:tr>
      <w:tr>
        <w:trPr>
          <w:trHeight w:val="210"/>
        </w:trPr>
        <w:tc>
          <w:tcPr>
            <w:tcW w:w="454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Outstanding at year-end</w:t>
            </w:r>
          </w:p>
        </w:tc>
        <w:tc>
          <w:tcPr>
            <w:tcW w:w="7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28</w:t>
            </w:r>
          </w:p>
        </w:tc>
        <w:tc>
          <w:tcPr>
            <w:tcW w:w="24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72.33</w:t>
            </w:r>
          </w:p>
        </w:tc>
        <w:tc>
          <w:tcPr>
            <w:tcW w:w="240" w:type="dxa"/>
            <w:vAlign w:val="bottom"/>
            <w:tcBorders>
              <w:top w:val="single" w:sz="8" w:color="CFF0FC"/>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70.31</w:t>
            </w:r>
          </w:p>
        </w:tc>
        <w:tc>
          <w:tcPr>
            <w:tcW w:w="220" w:type="dxa"/>
            <w:vAlign w:val="bottom"/>
            <w:tcBorders>
              <w:top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68.95</w:t>
            </w:r>
          </w:p>
        </w:tc>
        <w:tc>
          <w:tcPr>
            <w:tcW w:w="100" w:type="dxa"/>
            <w:vAlign w:val="bottom"/>
            <w:tcBorders>
              <w:top w:val="single" w:sz="8" w:color="CFF0FC"/>
            </w:tcBorders>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3"/>
        </w:trPr>
        <w:tc>
          <w:tcPr>
            <w:tcW w:w="4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43"/>
        </w:trPr>
        <w:tc>
          <w:tcPr>
            <w:tcW w:w="45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-993775</wp:posOffset>
            </wp:positionV>
            <wp:extent cx="774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-993775</wp:posOffset>
            </wp:positionV>
            <wp:extent cx="774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-993775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-993775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-993775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530" w:right="29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The following table summarizes information related to options outstanding and options exercisable as of December 31, 2023:</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3"/>
          </w:tcPr>
          <w:p>
            <w:pPr>
              <w:jc w:val="right"/>
              <w:spacing w:after="0"/>
              <w:rPr>
                <w:sz w:val="20"/>
                <w:szCs w:val="20"/>
                <w:color w:val="auto"/>
              </w:rPr>
            </w:pPr>
            <w:r>
              <w:rPr>
                <w:rFonts w:ascii="Arial" w:cs="Arial" w:eastAsia="Arial" w:hAnsi="Arial"/>
                <w:sz w:val="14"/>
                <w:szCs w:val="14"/>
                <w:i w:val="1"/>
                <w:iCs w:val="1"/>
                <w:color w:val="auto"/>
              </w:rPr>
              <w:t>(Shares stated in millions)</w:t>
            </w: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580" w:type="dxa"/>
            <w:vAlign w:val="bottom"/>
            <w:tcBorders>
              <w:bottom w:val="single" w:sz="8" w:color="auto"/>
            </w:tcBorders>
            <w:gridSpan w:val="5"/>
          </w:tcPr>
          <w:p>
            <w:pPr>
              <w:jc w:val="center"/>
              <w:ind w:left="979"/>
              <w:spacing w:after="0"/>
              <w:rPr>
                <w:sz w:val="20"/>
                <w:szCs w:val="20"/>
                <w:color w:val="auto"/>
              </w:rPr>
            </w:pPr>
            <w:r>
              <w:rPr>
                <w:rFonts w:ascii="Arial" w:cs="Arial" w:eastAsia="Arial" w:hAnsi="Arial"/>
                <w:sz w:val="16"/>
                <w:szCs w:val="16"/>
                <w:color w:val="auto"/>
              </w:rPr>
              <w:t>Options Outstanding</w:t>
            </w: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color w:val="auto"/>
              </w:rPr>
              <w:t>Options Exercisable</w:t>
            </w: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6"/>
                <w:szCs w:val="16"/>
                <w:color w:val="auto"/>
              </w:rPr>
              <w:t>Weighted-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6"/>
                <w:szCs w:val="16"/>
                <w:color w:val="auto"/>
              </w:rPr>
              <w:t>Average</w:t>
            </w:r>
          </w:p>
        </w:tc>
        <w:tc>
          <w:tcPr>
            <w:tcW w:w="1080" w:type="dxa"/>
            <w:vAlign w:val="bottom"/>
          </w:tcPr>
          <w:p>
            <w:pPr>
              <w:jc w:val="center"/>
              <w:spacing w:after="0"/>
              <w:rPr>
                <w:sz w:val="20"/>
                <w:szCs w:val="20"/>
                <w:color w:val="auto"/>
              </w:rPr>
            </w:pPr>
            <w:r>
              <w:rPr>
                <w:rFonts w:ascii="Arial" w:cs="Arial" w:eastAsia="Arial" w:hAnsi="Arial"/>
                <w:sz w:val="16"/>
                <w:szCs w:val="16"/>
                <w:color w:val="auto"/>
              </w:rPr>
              <w:t>Weighted-</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8"/>
              </w:rPr>
              <w:t>Weighted-</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140" w:type="dxa"/>
            <w:vAlign w:val="bottom"/>
          </w:tcPr>
          <w:p>
            <w:pPr>
              <w:jc w:val="right"/>
              <w:ind w:right="219"/>
              <w:spacing w:after="0"/>
              <w:rPr>
                <w:sz w:val="20"/>
                <w:szCs w:val="20"/>
                <w:color w:val="auto"/>
              </w:rPr>
            </w:pPr>
            <w:r>
              <w:rPr>
                <w:rFonts w:ascii="Arial" w:cs="Arial" w:eastAsia="Arial" w:hAnsi="Arial"/>
                <w:sz w:val="16"/>
                <w:szCs w:val="16"/>
                <w:color w:val="auto"/>
              </w:rPr>
              <w:t>Options</w:t>
            </w:r>
          </w:p>
        </w:tc>
        <w:tc>
          <w:tcPr>
            <w:tcW w:w="120" w:type="dxa"/>
            <w:vAlign w:val="bottom"/>
          </w:tcPr>
          <w:p>
            <w:pPr>
              <w:spacing w:after="0"/>
              <w:rPr>
                <w:sz w:val="18"/>
                <w:szCs w:val="18"/>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6"/>
                <w:szCs w:val="16"/>
                <w:color w:val="auto"/>
              </w:rPr>
              <w:t>Remaining Life</w:t>
            </w:r>
          </w:p>
        </w:tc>
        <w:tc>
          <w:tcPr>
            <w:tcW w:w="1080" w:type="dxa"/>
            <w:vAlign w:val="bottom"/>
          </w:tcPr>
          <w:p>
            <w:pPr>
              <w:jc w:val="center"/>
              <w:spacing w:after="0"/>
              <w:rPr>
                <w:sz w:val="20"/>
                <w:szCs w:val="20"/>
                <w:color w:val="auto"/>
              </w:rPr>
            </w:pPr>
            <w:r>
              <w:rPr>
                <w:rFonts w:ascii="Arial" w:cs="Arial" w:eastAsia="Arial" w:hAnsi="Arial"/>
                <w:sz w:val="16"/>
                <w:szCs w:val="16"/>
                <w:color w:val="auto"/>
              </w:rPr>
              <w:t>Average</w:t>
            </w:r>
          </w:p>
        </w:tc>
        <w:tc>
          <w:tcPr>
            <w:tcW w:w="120" w:type="dxa"/>
            <w:vAlign w:val="bottom"/>
          </w:tcPr>
          <w:p>
            <w:pPr>
              <w:spacing w:after="0"/>
              <w:rPr>
                <w:sz w:val="18"/>
                <w:szCs w:val="18"/>
                <w:color w:val="auto"/>
              </w:rPr>
            </w:pPr>
          </w:p>
        </w:tc>
        <w:tc>
          <w:tcPr>
            <w:tcW w:w="1120" w:type="dxa"/>
            <w:vAlign w:val="bottom"/>
          </w:tcPr>
          <w:p>
            <w:pPr>
              <w:jc w:val="right"/>
              <w:ind w:right="201"/>
              <w:spacing w:after="0"/>
              <w:rPr>
                <w:sz w:val="20"/>
                <w:szCs w:val="20"/>
                <w:color w:val="auto"/>
              </w:rPr>
            </w:pPr>
            <w:r>
              <w:rPr>
                <w:rFonts w:ascii="Arial" w:cs="Arial" w:eastAsia="Arial" w:hAnsi="Arial"/>
                <w:sz w:val="16"/>
                <w:szCs w:val="16"/>
                <w:color w:val="auto"/>
              </w:rPr>
              <w:t>Options</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Average</w:t>
            </w:r>
          </w:p>
        </w:tc>
      </w:tr>
      <w:tr>
        <w:trPr>
          <w:trHeight w:val="191"/>
        </w:trPr>
        <w:tc>
          <w:tcPr>
            <w:tcW w:w="5100" w:type="dxa"/>
            <w:vAlign w:val="bottom"/>
            <w:gridSpan w:val="4"/>
          </w:tcPr>
          <w:p>
            <w:pPr>
              <w:ind w:left="20"/>
              <w:spacing w:after="0"/>
              <w:rPr>
                <w:sz w:val="20"/>
                <w:szCs w:val="20"/>
                <w:color w:val="auto"/>
              </w:rPr>
            </w:pPr>
            <w:r>
              <w:rPr>
                <w:rFonts w:ascii="Arial" w:cs="Arial" w:eastAsia="Arial" w:hAnsi="Arial"/>
                <w:sz w:val="16"/>
                <w:szCs w:val="16"/>
                <w:color w:val="auto"/>
              </w:rPr>
              <w:t>Exercise prices range</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Outstanding</w:t>
            </w:r>
          </w:p>
        </w:tc>
        <w:tc>
          <w:tcPr>
            <w:tcW w:w="120" w:type="dxa"/>
            <w:vAlign w:val="bottom"/>
          </w:tcPr>
          <w:p>
            <w:pPr>
              <w:spacing w:after="0"/>
              <w:rPr>
                <w:sz w:val="16"/>
                <w:szCs w:val="16"/>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6"/>
                <w:szCs w:val="16"/>
                <w:color w:val="auto"/>
              </w:rPr>
              <w:t>(in years)</w:t>
            </w:r>
          </w:p>
        </w:tc>
        <w:tc>
          <w:tcPr>
            <w:tcW w:w="1080" w:type="dxa"/>
            <w:vAlign w:val="bottom"/>
          </w:tcPr>
          <w:p>
            <w:pPr>
              <w:jc w:val="center"/>
              <w:spacing w:after="0"/>
              <w:rPr>
                <w:sz w:val="20"/>
                <w:szCs w:val="20"/>
                <w:color w:val="auto"/>
              </w:rPr>
            </w:pPr>
            <w:r>
              <w:rPr>
                <w:rFonts w:ascii="Arial" w:cs="Arial" w:eastAsia="Arial" w:hAnsi="Arial"/>
                <w:sz w:val="16"/>
                <w:szCs w:val="16"/>
                <w:color w:val="auto"/>
              </w:rPr>
              <w:t>Exercise Price</w:t>
            </w:r>
          </w:p>
        </w:tc>
        <w:tc>
          <w:tcPr>
            <w:tcW w:w="120" w:type="dxa"/>
            <w:vAlign w:val="bottom"/>
          </w:tcPr>
          <w:p>
            <w:pPr>
              <w:spacing w:after="0"/>
              <w:rPr>
                <w:sz w:val="16"/>
                <w:szCs w:val="16"/>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Exercisable</w:t>
            </w: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Exercise Price</w:t>
            </w: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7"/>
        </w:trPr>
        <w:tc>
          <w:tcPr>
            <w:tcW w:w="5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$38.75</w:t>
            </w:r>
          </w:p>
        </w:tc>
        <w:tc>
          <w:tcPr>
            <w:tcW w:w="1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 $41.47</w:t>
            </w:r>
          </w:p>
        </w:tc>
        <w:tc>
          <w:tcPr>
            <w:tcW w:w="35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$39.76</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$40.08</w:t>
            </w:r>
          </w:p>
        </w:tc>
      </w:tr>
      <w:tr>
        <w:trPr>
          <w:trHeight w:val="215"/>
        </w:trPr>
        <w:tc>
          <w:tcPr>
            <w:tcW w:w="540" w:type="dxa"/>
            <w:vAlign w:val="bottom"/>
            <w:gridSpan w:val="2"/>
          </w:tcPr>
          <w:p>
            <w:pPr>
              <w:ind w:left="20"/>
              <w:spacing w:after="0"/>
              <w:rPr>
                <w:sz w:val="20"/>
                <w:szCs w:val="20"/>
                <w:color w:val="auto"/>
              </w:rPr>
            </w:pPr>
            <w:r>
              <w:rPr>
                <w:rFonts w:ascii="Arial" w:cs="Arial" w:eastAsia="Arial" w:hAnsi="Arial"/>
                <w:sz w:val="16"/>
                <w:szCs w:val="16"/>
                <w:color w:val="auto"/>
              </w:rPr>
              <w:t>$47.55</w:t>
            </w:r>
          </w:p>
        </w:tc>
        <w:tc>
          <w:tcPr>
            <w:tcW w:w="1040" w:type="dxa"/>
            <w:vAlign w:val="bottom"/>
          </w:tcPr>
          <w:p>
            <w:pPr>
              <w:ind w:left="20"/>
              <w:spacing w:after="0"/>
              <w:rPr>
                <w:sz w:val="20"/>
                <w:szCs w:val="20"/>
                <w:color w:val="auto"/>
              </w:rPr>
            </w:pPr>
            <w:r>
              <w:rPr>
                <w:rFonts w:ascii="Arial" w:cs="Arial" w:eastAsia="Arial" w:hAnsi="Arial"/>
                <w:sz w:val="16"/>
                <w:szCs w:val="16"/>
                <w:color w:val="auto"/>
              </w:rPr>
              <w:t>- $79.85</w:t>
            </w:r>
          </w:p>
        </w:tc>
        <w:tc>
          <w:tcPr>
            <w:tcW w:w="35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$71.46</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$71.49</w:t>
            </w:r>
          </w:p>
        </w:tc>
      </w:tr>
      <w:tr>
        <w:trPr>
          <w:trHeight w:val="217"/>
        </w:trPr>
        <w:tc>
          <w:tcPr>
            <w:tcW w:w="5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$80.53</w:t>
            </w:r>
          </w:p>
        </w:tc>
        <w:tc>
          <w:tcPr>
            <w:tcW w:w="1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 $88.77</w:t>
            </w:r>
          </w:p>
        </w:tc>
        <w:tc>
          <w:tcPr>
            <w:tcW w:w="35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$84.44</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$84.44</w:t>
            </w:r>
          </w:p>
        </w:tc>
      </w:tr>
      <w:tr>
        <w:trPr>
          <w:trHeight w:val="216"/>
        </w:trPr>
        <w:tc>
          <w:tcPr>
            <w:tcW w:w="540" w:type="dxa"/>
            <w:vAlign w:val="bottom"/>
            <w:gridSpan w:val="2"/>
          </w:tcPr>
          <w:p>
            <w:pPr>
              <w:ind w:left="20"/>
              <w:spacing w:after="0"/>
              <w:rPr>
                <w:sz w:val="20"/>
                <w:szCs w:val="20"/>
                <w:color w:val="auto"/>
              </w:rPr>
            </w:pPr>
            <w:r>
              <w:rPr>
                <w:rFonts w:ascii="Arial" w:cs="Arial" w:eastAsia="Arial" w:hAnsi="Arial"/>
                <w:sz w:val="16"/>
                <w:szCs w:val="16"/>
                <w:color w:val="auto"/>
              </w:rPr>
              <w:t>$91.28</w:t>
            </w:r>
          </w:p>
        </w:tc>
        <w:tc>
          <w:tcPr>
            <w:tcW w:w="1040" w:type="dxa"/>
            <w:vAlign w:val="bottom"/>
          </w:tcPr>
          <w:p>
            <w:pPr>
              <w:ind w:left="20"/>
              <w:spacing w:after="0"/>
              <w:rPr>
                <w:sz w:val="20"/>
                <w:szCs w:val="20"/>
                <w:color w:val="auto"/>
              </w:rPr>
            </w:pPr>
            <w:r>
              <w:rPr>
                <w:rFonts w:ascii="Arial" w:cs="Arial" w:eastAsia="Arial" w:hAnsi="Arial"/>
                <w:sz w:val="16"/>
                <w:szCs w:val="16"/>
                <w:color w:val="auto"/>
              </w:rPr>
              <w:t>- $114.83</w:t>
            </w:r>
          </w:p>
        </w:tc>
        <w:tc>
          <w:tcPr>
            <w:tcW w:w="35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$96.31</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$96.31</w:t>
            </w: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35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$72.33</w:t>
            </w:r>
          </w:p>
        </w:tc>
        <w:tc>
          <w:tcPr>
            <w:tcW w:w="1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-24765</wp:posOffset>
            </wp:positionV>
            <wp:extent cx="857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857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-24765</wp:posOffset>
            </wp:positionV>
            <wp:extent cx="857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857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768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768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768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768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remaining contractual life of stock options exercisable as of December 31, 2023 was 2.4 years.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aggregate intrinsic value of stock options outstanding and stock options exercisable as of December 31, 2023 was $90 million and $44 million,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Total Stock-based Compensation Expense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stock-based compensation expense recognized in income: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i w:val="1"/>
                <w:iCs w:val="1"/>
                <w:color w:val="auto"/>
              </w:rPr>
              <w:t>(Stated in millions)</w:t>
            </w:r>
          </w:p>
        </w:tc>
      </w:tr>
      <w:tr>
        <w:trPr>
          <w:trHeight w:val="427"/>
        </w:trPr>
        <w:tc>
          <w:tcPr>
            <w:tcW w:w="6560" w:type="dxa"/>
            <w:vAlign w:val="bottom"/>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4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2022</w:t>
            </w: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4"/>
                <w:szCs w:val="24"/>
                <w:color w:val="auto"/>
              </w:rPr>
            </w:pPr>
          </w:p>
        </w:tc>
      </w:tr>
      <w:tr>
        <w:trPr>
          <w:trHeight w:val="209"/>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Restricted stock</w:t>
            </w: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225</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6"/>
                <w:szCs w:val="16"/>
                <w:color w:val="auto"/>
              </w:rPr>
              <w:t>DSPP</w:t>
            </w:r>
          </w:p>
        </w:tc>
        <w:tc>
          <w:tcPr>
            <w:tcW w:w="9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56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r>
      <w:tr>
        <w:trPr>
          <w:trHeight w:val="216"/>
        </w:trPr>
        <w:tc>
          <w:tcPr>
            <w:tcW w:w="6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Stock options</w:t>
            </w:r>
          </w:p>
        </w:tc>
        <w:tc>
          <w:tcPr>
            <w:tcW w:w="96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6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293</w:t>
            </w: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313</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-170815</wp:posOffset>
            </wp:positionV>
            <wp:extent cx="7747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At December 31, 2023, there was $278 million of total unrecognized compensation cost related to nonvested stock-based compensation arrangements, of which $164 million is expected to be recognized in 2024, $89 million in 2025, $21 million in 2026, and $4 million in 2027.</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December 31, 2023, approximately 24 million shares of SLB common stock were available for future grants under SLB’s stock-based compensation programs.</w:t>
      </w:r>
    </w:p>
    <w:p>
      <w:pPr>
        <w:spacing w:after="0" w:line="156"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Income Taxes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Income before taxes </w:t>
      </w:r>
      <w:r>
        <w:rPr>
          <w:rFonts w:ascii="Arial" w:cs="Arial" w:eastAsia="Arial" w:hAnsi="Arial"/>
          <w:sz w:val="16"/>
          <w:szCs w:val="16"/>
          <w:color w:val="auto"/>
        </w:rPr>
        <w:t>subject to United States and non-United States income taxes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i w:val="1"/>
                <w:iCs w:val="1"/>
                <w:color w:val="auto"/>
              </w:rPr>
              <w:t>(Stated in millions)</w:t>
            </w:r>
          </w:p>
        </w:tc>
      </w:tr>
      <w:tr>
        <w:trPr>
          <w:trHeight w:val="440"/>
        </w:trPr>
        <w:tc>
          <w:tcPr>
            <w:tcW w:w="614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2022</w:t>
            </w: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4"/>
                <w:szCs w:val="24"/>
                <w:color w:val="auto"/>
              </w:rPr>
            </w:pPr>
          </w:p>
        </w:tc>
      </w:tr>
      <w:tr>
        <w:trPr>
          <w:trHeight w:val="209"/>
        </w:trPr>
        <w:tc>
          <w:tcPr>
            <w:tcW w:w="6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United States</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355</w:t>
            </w:r>
          </w:p>
        </w:tc>
        <w:tc>
          <w:tcPr>
            <w:tcW w:w="64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ind w:left="20"/>
              <w:spacing w:after="0"/>
              <w:rPr>
                <w:sz w:val="20"/>
                <w:szCs w:val="20"/>
                <w:color w:val="auto"/>
              </w:rPr>
            </w:pPr>
            <w:r>
              <w:rPr>
                <w:rFonts w:ascii="Arial" w:cs="Arial" w:eastAsia="Arial" w:hAnsi="Arial"/>
                <w:sz w:val="16"/>
                <w:szCs w:val="16"/>
                <w:color w:val="auto"/>
              </w:rPr>
              <w:t>Outside United States</w:t>
            </w:r>
          </w:p>
        </w:tc>
        <w:tc>
          <w:tcPr>
            <w:tcW w:w="10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4,927</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3,671</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2,344</w:t>
            </w:r>
          </w:p>
        </w:tc>
        <w:tc>
          <w:tcPr>
            <w:tcW w:w="100" w:type="dxa"/>
            <w:vAlign w:val="bottom"/>
          </w:tcPr>
          <w:p>
            <w:pPr>
              <w:spacing w:after="0"/>
              <w:rPr>
                <w:sz w:val="18"/>
                <w:szCs w:val="18"/>
                <w:color w:val="auto"/>
              </w:rPr>
            </w:pPr>
          </w:p>
        </w:tc>
      </w:tr>
      <w:tr>
        <w:trPr>
          <w:trHeight w:val="250"/>
        </w:trPr>
        <w:tc>
          <w:tcPr>
            <w:tcW w:w="61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5,282</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4,271</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2,374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-24765</wp:posOffset>
            </wp:positionV>
            <wp:extent cx="774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-8255</wp:posOffset>
            </wp:positionV>
            <wp:extent cx="7747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SLB recorded net pretax charges of $110 million in 2023 ($2 million of net credits in the US and $112 million of charges outside the US); $347 million in 2022 ($379 million of net credits in the US and $32 million of net charges outside the US); and net pretax credits of $65 million in 2021 ($75 million of credits in the US and $10 million of charges outside the US). These charges and credits are included in the table above and are more fully described in Note 3 – </w:t>
      </w:r>
      <w:r>
        <w:rPr>
          <w:rFonts w:ascii="Arial" w:cs="Arial" w:eastAsia="Arial" w:hAnsi="Arial"/>
          <w:sz w:val="16"/>
          <w:szCs w:val="16"/>
          <w:i w:val="1"/>
          <w:iCs w:val="1"/>
          <w:color w:val="auto"/>
        </w:rPr>
        <w:t>Charges and Credits</w:t>
      </w:r>
      <w:r>
        <w:rPr>
          <w:rFonts w:ascii="Arial" w:cs="Arial" w:eastAsia="Arial" w:hAnsi="Arial"/>
          <w:sz w:val="16"/>
          <w:szCs w:val="16"/>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t>The components of net deferred tax liabilities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0"/>
        </w:trPr>
        <w:tc>
          <w:tcPr>
            <w:tcW w:w="7660" w:type="dxa"/>
            <w:vAlign w:val="bottom"/>
          </w:tcPr>
          <w:p>
            <w:pPr>
              <w:spacing w:after="0"/>
              <w:rPr>
                <w:sz w:val="24"/>
                <w:szCs w:val="24"/>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4"/>
                <w:szCs w:val="24"/>
                <w:color w:val="auto"/>
              </w:rPr>
            </w:pPr>
          </w:p>
        </w:tc>
      </w:tr>
      <w:tr>
        <w:trPr>
          <w:trHeight w:val="210"/>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Intangible assets</w:t>
            </w:r>
          </w:p>
        </w:tc>
        <w:tc>
          <w:tcPr>
            <w:tcW w:w="1120" w:type="dxa"/>
            <w:vAlign w:val="bottom"/>
            <w:shd w:val="clear" w:color="auto" w:fill="CFF0FC"/>
          </w:tcPr>
          <w:p>
            <w:pPr>
              <w:jc w:val="right"/>
              <w:ind w:right="939"/>
              <w:spacing w:after="0"/>
              <w:rPr>
                <w:sz w:val="20"/>
                <w:szCs w:val="20"/>
                <w:color w:val="auto"/>
              </w:rPr>
            </w:pPr>
            <w:r>
              <w:rPr>
                <w:rFonts w:ascii="Arial" w:cs="Arial" w:eastAsia="Arial" w:hAnsi="Arial"/>
                <w:sz w:val="16"/>
                <w:szCs w:val="16"/>
                <w:b w:val="1"/>
                <w:bCs w:val="1"/>
                <w:color w:val="auto"/>
                <w:w w:val="89"/>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(844 )</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(780 )</w:t>
            </w: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Net operating losses</w:t>
            </w:r>
          </w:p>
        </w:tc>
        <w:tc>
          <w:tcPr>
            <w:tcW w:w="1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214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Fixed assets, net</w:t>
            </w:r>
          </w:p>
        </w:tc>
        <w:tc>
          <w:tcPr>
            <w:tcW w:w="11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190</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Research and development credits</w:t>
            </w:r>
          </w:p>
        </w:tc>
        <w:tc>
          <w:tcPr>
            <w:tcW w:w="1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162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Capitalized research and development costs</w:t>
            </w:r>
          </w:p>
        </w:tc>
        <w:tc>
          <w:tcPr>
            <w:tcW w:w="11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155</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Pension and other postretirement benefits</w:t>
            </w:r>
          </w:p>
        </w:tc>
        <w:tc>
          <w:tcPr>
            <w:tcW w:w="1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(94 )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(114 )</w:t>
            </w:r>
          </w:p>
        </w:tc>
      </w:tr>
      <w:tr>
        <w:trPr>
          <w:trHeight w:val="216"/>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net</w:t>
            </w:r>
          </w:p>
        </w:tc>
        <w:tc>
          <w:tcPr>
            <w:tcW w:w="112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77</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60" w:type="dxa"/>
            <w:vAlign w:val="bottom"/>
          </w:tcPr>
          <w:p>
            <w:pPr>
              <w:spacing w:after="0"/>
              <w:rPr>
                <w:sz w:val="18"/>
                <w:szCs w:val="18"/>
                <w:color w:val="auto"/>
              </w:rPr>
            </w:pPr>
          </w:p>
        </w:tc>
        <w:tc>
          <w:tcPr>
            <w:tcW w:w="1120" w:type="dxa"/>
            <w:vAlign w:val="bottom"/>
          </w:tcPr>
          <w:p>
            <w:pPr>
              <w:jc w:val="right"/>
              <w:ind w:right="939"/>
              <w:spacing w:after="0"/>
              <w:rPr>
                <w:sz w:val="20"/>
                <w:szCs w:val="20"/>
                <w:color w:val="auto"/>
              </w:rPr>
            </w:pPr>
            <w:r>
              <w:rPr>
                <w:rFonts w:ascii="Arial" w:cs="Arial" w:eastAsia="Arial" w:hAnsi="Arial"/>
                <w:sz w:val="16"/>
                <w:szCs w:val="16"/>
                <w:b w:val="1"/>
                <w:bCs w:val="1"/>
                <w:color w:val="auto"/>
                <w:w w:val="89"/>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(140 )</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(61 )</w:t>
            </w:r>
          </w:p>
        </w:tc>
      </w:tr>
      <w:tr>
        <w:trPr>
          <w:trHeight w:val="20"/>
        </w:trPr>
        <w:tc>
          <w:tcPr>
            <w:tcW w:w="76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$194 million of the $214 million deferred tax asset relating to net operating losses at December 31, 2023 can be carried forward indefinitely.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majority of the remaining balance expires at various dates between 2032 and 2041.</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deferred tax balance at December 31, 2023 and 2022 was net of valuation allowances relating to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0"/>
        </w:trPr>
        <w:tc>
          <w:tcPr>
            <w:tcW w:w="6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20"/>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4"/>
                <w:szCs w:val="24"/>
                <w:color w:val="auto"/>
              </w:rPr>
            </w:pPr>
          </w:p>
        </w:tc>
      </w:tr>
      <w:tr>
        <w:trPr>
          <w:trHeight w:val="210"/>
        </w:trPr>
        <w:tc>
          <w:tcPr>
            <w:tcW w:w="6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Foreign tax credits</w:t>
            </w:r>
          </w:p>
        </w:tc>
        <w:tc>
          <w:tcPr>
            <w:tcW w:w="3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188</w:t>
            </w:r>
          </w:p>
        </w:tc>
        <w:tc>
          <w:tcPr>
            <w:tcW w:w="34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jc w:val="right"/>
              <w:ind w:right="122"/>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FF0FC"/>
          </w:tcPr>
          <w:p>
            <w:pPr>
              <w:spacing w:after="0"/>
              <w:rPr>
                <w:sz w:val="18"/>
                <w:szCs w:val="18"/>
                <w:color w:val="auto"/>
              </w:rPr>
            </w:pPr>
          </w:p>
        </w:tc>
      </w:tr>
      <w:tr>
        <w:trPr>
          <w:trHeight w:val="223"/>
        </w:trPr>
        <w:tc>
          <w:tcPr>
            <w:tcW w:w="6140" w:type="dxa"/>
            <w:vAlign w:val="bottom"/>
          </w:tcPr>
          <w:p>
            <w:pPr>
              <w:ind w:left="20"/>
              <w:spacing w:after="0"/>
              <w:rPr>
                <w:sz w:val="20"/>
                <w:szCs w:val="20"/>
                <w:color w:val="auto"/>
              </w:rPr>
            </w:pPr>
            <w:r>
              <w:rPr>
                <w:rFonts w:ascii="Arial" w:cs="Arial" w:eastAsia="Arial" w:hAnsi="Arial"/>
                <w:sz w:val="16"/>
                <w:szCs w:val="16"/>
                <w:color w:val="auto"/>
              </w:rPr>
              <w:t>Net operating losses</w:t>
            </w:r>
          </w:p>
        </w:tc>
        <w:tc>
          <w:tcPr>
            <w:tcW w:w="3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106</w:t>
            </w:r>
          </w:p>
        </w:tc>
        <w:tc>
          <w:tcPr>
            <w:tcW w:w="340" w:type="dxa"/>
            <w:vAlign w:val="bottom"/>
          </w:tcPr>
          <w:p>
            <w:pPr>
              <w:spacing w:after="0"/>
              <w:rPr>
                <w:sz w:val="19"/>
                <w:szCs w:val="19"/>
                <w:color w:val="auto"/>
              </w:rPr>
            </w:pPr>
          </w:p>
        </w:tc>
        <w:tc>
          <w:tcPr>
            <w:tcW w:w="280" w:type="dxa"/>
            <w:vAlign w:val="bottom"/>
          </w:tcPr>
          <w:p>
            <w:pPr>
              <w:jc w:val="right"/>
              <w:ind w:right="122"/>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9"/>
                <w:szCs w:val="19"/>
                <w:color w:val="auto"/>
              </w:rPr>
            </w:pPr>
          </w:p>
        </w:tc>
      </w:tr>
      <w:tr>
        <w:trPr>
          <w:trHeight w:val="383"/>
        </w:trPr>
        <w:tc>
          <w:tcPr>
            <w:tcW w:w="6140" w:type="dxa"/>
            <w:vAlign w:val="bottom"/>
          </w:tcPr>
          <w:p>
            <w:pPr>
              <w:spacing w:after="0"/>
              <w:rPr>
                <w:sz w:val="20"/>
                <w:szCs w:val="20"/>
                <w:color w:val="auto"/>
              </w:rPr>
            </w:pPr>
            <w:r>
              <w:rPr>
                <w:rFonts w:ascii="Arial" w:cs="Arial" w:eastAsia="Arial" w:hAnsi="Arial"/>
                <w:sz w:val="16"/>
                <w:szCs w:val="16"/>
                <w:color w:val="auto"/>
              </w:rPr>
              <w:t xml:space="preserve">The components of </w:t>
            </w:r>
            <w:r>
              <w:rPr>
                <w:rFonts w:ascii="Arial" w:cs="Arial" w:eastAsia="Arial" w:hAnsi="Arial"/>
                <w:sz w:val="16"/>
                <w:szCs w:val="16"/>
                <w:i w:val="1"/>
                <w:iCs w:val="1"/>
                <w:color w:val="auto"/>
              </w:rPr>
              <w:t>Tax expense</w:t>
            </w:r>
            <w:r>
              <w:rPr>
                <w:rFonts w:ascii="Arial" w:cs="Arial" w:eastAsia="Arial" w:hAnsi="Arial"/>
                <w:sz w:val="16"/>
                <w:szCs w:val="16"/>
                <w:color w:val="auto"/>
              </w:rPr>
              <w:t xml:space="preserve"> were as follows:</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6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27"/>
        </w:trPr>
        <w:tc>
          <w:tcPr>
            <w:tcW w:w="6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2022</w:t>
            </w:r>
          </w:p>
        </w:tc>
        <w:tc>
          <w:tcPr>
            <w:tcW w:w="3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4"/>
                <w:szCs w:val="24"/>
                <w:color w:val="auto"/>
              </w:rPr>
            </w:pPr>
          </w:p>
        </w:tc>
      </w:tr>
      <w:tr>
        <w:trPr>
          <w:trHeight w:val="209"/>
        </w:trPr>
        <w:tc>
          <w:tcPr>
            <w:tcW w:w="6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w:t>
            </w: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ind w:left="20"/>
              <w:spacing w:after="0"/>
              <w:rPr>
                <w:sz w:val="20"/>
                <w:szCs w:val="20"/>
                <w:color w:val="auto"/>
              </w:rPr>
            </w:pPr>
            <w:r>
              <w:rPr>
                <w:rFonts w:ascii="Arial" w:cs="Arial" w:eastAsia="Arial" w:hAnsi="Arial"/>
                <w:sz w:val="16"/>
                <w:szCs w:val="16"/>
                <w:color w:val="auto"/>
              </w:rPr>
              <w:t>United States-Federal</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44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(23 )</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(32 )</w:t>
            </w:r>
          </w:p>
        </w:tc>
      </w:tr>
      <w:tr>
        <w:trPr>
          <w:trHeight w:val="216"/>
        </w:trPr>
        <w:tc>
          <w:tcPr>
            <w:tcW w:w="6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United States-State</w:t>
            </w:r>
          </w:p>
        </w:tc>
        <w:tc>
          <w:tcPr>
            <w:tcW w:w="3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5</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ind w:left="20"/>
              <w:spacing w:after="0"/>
              <w:rPr>
                <w:sz w:val="20"/>
                <w:szCs w:val="20"/>
                <w:color w:val="auto"/>
              </w:rPr>
            </w:pPr>
            <w:r>
              <w:rPr>
                <w:rFonts w:ascii="Arial" w:cs="Arial" w:eastAsia="Arial" w:hAnsi="Arial"/>
                <w:sz w:val="16"/>
                <w:szCs w:val="16"/>
                <w:color w:val="auto"/>
              </w:rPr>
              <w:t>Outside United States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997</w:t>
            </w:r>
          </w:p>
        </w:tc>
        <w:tc>
          <w:tcPr>
            <w:tcW w:w="3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813</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18"/>
                <w:szCs w:val="18"/>
                <w:color w:val="auto"/>
              </w:rPr>
            </w:pPr>
          </w:p>
        </w:tc>
      </w:tr>
      <w:tr>
        <w:trPr>
          <w:trHeight w:val="210"/>
        </w:trPr>
        <w:tc>
          <w:tcPr>
            <w:tcW w:w="6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979</w:t>
            </w:r>
          </w:p>
        </w:tc>
        <w:tc>
          <w:tcPr>
            <w:tcW w:w="3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818</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40" w:type="dxa"/>
            <w:vAlign w:val="bottom"/>
          </w:tcPr>
          <w:p>
            <w:pPr>
              <w:ind w:left="20"/>
              <w:spacing w:after="0"/>
              <w:rPr>
                <w:sz w:val="20"/>
                <w:szCs w:val="20"/>
                <w:color w:val="auto"/>
              </w:rPr>
            </w:pPr>
            <w:r>
              <w:rPr>
                <w:rFonts w:ascii="Arial" w:cs="Arial" w:eastAsia="Arial" w:hAnsi="Arial"/>
                <w:sz w:val="16"/>
                <w:szCs w:val="16"/>
                <w:color w:val="auto"/>
              </w:rPr>
              <w:t>Deferred:</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6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United States-Federal</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44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(77 )</w:t>
            </w:r>
          </w:p>
        </w:tc>
        <w:tc>
          <w:tcPr>
            <w:tcW w:w="5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98</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(132 )</w:t>
            </w:r>
          </w:p>
        </w:tc>
      </w:tr>
      <w:tr>
        <w:trPr>
          <w:trHeight w:val="216"/>
        </w:trPr>
        <w:tc>
          <w:tcPr>
            <w:tcW w:w="6140" w:type="dxa"/>
            <w:vAlign w:val="bottom"/>
          </w:tcPr>
          <w:p>
            <w:pPr>
              <w:ind w:left="20"/>
              <w:spacing w:after="0"/>
              <w:rPr>
                <w:sz w:val="20"/>
                <w:szCs w:val="20"/>
                <w:color w:val="auto"/>
              </w:rPr>
            </w:pPr>
            <w:r>
              <w:rPr>
                <w:rFonts w:ascii="Arial" w:cs="Arial" w:eastAsia="Arial" w:hAnsi="Arial"/>
                <w:sz w:val="16"/>
                <w:szCs w:val="16"/>
                <w:color w:val="auto"/>
              </w:rPr>
              <w:t>United States-State</w:t>
            </w:r>
          </w:p>
        </w:tc>
        <w:tc>
          <w:tcPr>
            <w:tcW w:w="3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6</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Outside United States</w:t>
            </w:r>
          </w:p>
        </w:tc>
        <w:tc>
          <w:tcPr>
            <w:tcW w:w="3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104</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122"/>
              <w:spacing w:after="0"/>
              <w:rPr>
                <w:sz w:val="20"/>
                <w:szCs w:val="20"/>
                <w:color w:val="auto"/>
              </w:rPr>
            </w:pPr>
            <w:r>
              <w:rPr>
                <w:rFonts w:ascii="Arial" w:cs="Arial" w:eastAsia="Arial" w:hAnsi="Arial"/>
                <w:sz w:val="16"/>
                <w:szCs w:val="16"/>
                <w:color w:val="auto"/>
              </w:rPr>
              <w:t>(70 )</w:t>
            </w:r>
          </w:p>
        </w:tc>
        <w:tc>
          <w:tcPr>
            <w:tcW w:w="1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(15 )</w:t>
            </w:r>
          </w:p>
        </w:tc>
      </w:tr>
      <w:tr>
        <w:trPr>
          <w:trHeight w:val="216"/>
        </w:trPr>
        <w:tc>
          <w:tcPr>
            <w:tcW w:w="6140" w:type="dxa"/>
            <w:vAlign w:val="bottom"/>
          </w:tcPr>
          <w:p>
            <w:pPr>
              <w:ind w:left="20"/>
              <w:spacing w:after="0"/>
              <w:rPr>
                <w:sz w:val="20"/>
                <w:szCs w:val="20"/>
                <w:color w:val="auto"/>
              </w:rPr>
            </w:pPr>
            <w:r>
              <w:rPr>
                <w:rFonts w:ascii="Arial" w:cs="Arial" w:eastAsia="Arial" w:hAnsi="Arial"/>
                <w:sz w:val="16"/>
                <w:szCs w:val="16"/>
                <w:color w:val="auto"/>
              </w:rPr>
              <w:t>Valuation allowance</w:t>
            </w:r>
          </w:p>
        </w:tc>
        <w:tc>
          <w:tcPr>
            <w:tcW w:w="340" w:type="dxa"/>
            <w:vAlign w:val="bottom"/>
          </w:tcPr>
          <w:p>
            <w:pPr>
              <w:spacing w:after="0"/>
              <w:rPr>
                <w:sz w:val="18"/>
                <w:szCs w:val="18"/>
                <w:color w:val="auto"/>
              </w:rPr>
            </w:pPr>
          </w:p>
        </w:tc>
        <w:tc>
          <w:tcPr>
            <w:tcW w:w="144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(5 )</w:t>
            </w:r>
          </w:p>
        </w:tc>
        <w:tc>
          <w:tcPr>
            <w:tcW w:w="500" w:type="dxa"/>
            <w:vAlign w:val="bottom"/>
          </w:tcPr>
          <w:p>
            <w:pPr>
              <w:spacing w:after="0"/>
              <w:rPr>
                <w:sz w:val="18"/>
                <w:szCs w:val="18"/>
                <w:color w:val="auto"/>
              </w:rPr>
            </w:pPr>
          </w:p>
        </w:tc>
        <w:tc>
          <w:tcPr>
            <w:tcW w:w="1260" w:type="dxa"/>
            <w:vAlign w:val="bottom"/>
            <w:gridSpan w:val="3"/>
          </w:tcPr>
          <w:p>
            <w:pPr>
              <w:jc w:val="right"/>
              <w:ind w:right="122"/>
              <w:spacing w:after="0"/>
              <w:rPr>
                <w:sz w:val="20"/>
                <w:szCs w:val="20"/>
                <w:color w:val="auto"/>
              </w:rPr>
            </w:pPr>
            <w:r>
              <w:rPr>
                <w:rFonts w:ascii="Arial" w:cs="Arial" w:eastAsia="Arial" w:hAnsi="Arial"/>
                <w:sz w:val="16"/>
                <w:szCs w:val="16"/>
                <w:color w:val="auto"/>
              </w:rPr>
              <w:t>(80 )</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28</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122"/>
              <w:spacing w:after="0"/>
              <w:rPr>
                <w:sz w:val="20"/>
                <w:szCs w:val="20"/>
                <w:color w:val="auto"/>
              </w:rPr>
            </w:pPr>
            <w:r>
              <w:rPr>
                <w:rFonts w:ascii="Arial" w:cs="Arial" w:eastAsia="Arial" w:hAnsi="Arial"/>
                <w:sz w:val="16"/>
                <w:szCs w:val="16"/>
                <w:color w:val="auto"/>
              </w:rPr>
              <w:t>(39 )</w:t>
            </w:r>
          </w:p>
        </w:tc>
        <w:tc>
          <w:tcPr>
            <w:tcW w:w="1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(31 )</w:t>
            </w:r>
          </w:p>
        </w:tc>
      </w:tr>
      <w:tr>
        <w:trPr>
          <w:trHeight w:val="210"/>
        </w:trPr>
        <w:tc>
          <w:tcPr>
            <w:tcW w:w="614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1,007</w:t>
            </w:r>
          </w:p>
        </w:tc>
        <w:tc>
          <w:tcPr>
            <w:tcW w:w="300" w:type="dxa"/>
            <w:vAlign w:val="bottom"/>
            <w:tcBorders>
              <w:top w:val="single" w:sz="8" w:color="CFF0FC"/>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779</w:t>
            </w:r>
          </w:p>
        </w:tc>
        <w:tc>
          <w:tcPr>
            <w:tcW w:w="28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Borders>
              <w:top w:val="single" w:sz="8" w:color="CFF0FC"/>
            </w:tcBorders>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-1010920</wp:posOffset>
            </wp:positionV>
            <wp:extent cx="7747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-1010920</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-170815</wp:posOffset>
            </wp:positionV>
            <wp:extent cx="7747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United States statutory federal tax rate to the consolidated effective tax rate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00" w:type="dxa"/>
            <w:vAlign w:val="bottom"/>
          </w:tcPr>
          <w:p>
            <w:pPr>
              <w:spacing w:after="0"/>
              <w:rPr>
                <w:sz w:val="18"/>
                <w:szCs w:val="18"/>
                <w:color w:val="auto"/>
              </w:rPr>
            </w:pPr>
          </w:p>
        </w:tc>
        <w:tc>
          <w:tcPr>
            <w:tcW w:w="15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6100" w:type="dxa"/>
            <w:vAlign w:val="bottom"/>
          </w:tcPr>
          <w:p>
            <w:pPr>
              <w:ind w:left="20"/>
              <w:spacing w:after="0"/>
              <w:rPr>
                <w:sz w:val="20"/>
                <w:szCs w:val="20"/>
                <w:color w:val="auto"/>
              </w:rPr>
            </w:pPr>
            <w:r>
              <w:rPr>
                <w:rFonts w:ascii="Arial" w:cs="Arial" w:eastAsia="Arial" w:hAnsi="Arial"/>
                <w:sz w:val="16"/>
                <w:szCs w:val="16"/>
                <w:color w:val="auto"/>
              </w:rPr>
              <w:t>US federal statutory rate</w:t>
            </w:r>
          </w:p>
        </w:tc>
        <w:tc>
          <w:tcPr>
            <w:tcW w:w="17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21 %</w:t>
            </w:r>
          </w:p>
        </w:tc>
        <w:tc>
          <w:tcPr>
            <w:tcW w:w="1740" w:type="dxa"/>
            <w:vAlign w:val="bottom"/>
            <w:gridSpan w:val="2"/>
          </w:tcPr>
          <w:p>
            <w:pPr>
              <w:jc w:val="right"/>
              <w:ind w:right="80"/>
              <w:spacing w:after="0"/>
              <w:rPr>
                <w:sz w:val="20"/>
                <w:szCs w:val="20"/>
                <w:color w:val="auto"/>
              </w:rPr>
            </w:pPr>
            <w:r>
              <w:rPr>
                <w:rFonts w:ascii="Arial" w:cs="Arial" w:eastAsia="Arial" w:hAnsi="Arial"/>
                <w:sz w:val="16"/>
                <w:szCs w:val="16"/>
                <w:color w:val="auto"/>
              </w:rPr>
              <w:t>21 %</w:t>
            </w:r>
          </w:p>
        </w:tc>
        <w:tc>
          <w:tcPr>
            <w:tcW w:w="1660" w:type="dxa"/>
            <w:vAlign w:val="bottom"/>
            <w:gridSpan w:val="3"/>
          </w:tcPr>
          <w:p>
            <w:pPr>
              <w:jc w:val="right"/>
              <w:spacing w:after="0"/>
              <w:rPr>
                <w:sz w:val="20"/>
                <w:szCs w:val="20"/>
                <w:color w:val="auto"/>
              </w:rPr>
            </w:pPr>
            <w:r>
              <w:rPr>
                <w:rFonts w:ascii="Arial" w:cs="Arial" w:eastAsia="Arial" w:hAnsi="Arial"/>
                <w:sz w:val="16"/>
                <w:szCs w:val="16"/>
                <w:color w:val="auto"/>
              </w:rPr>
              <w:t>21 %</w:t>
            </w:r>
          </w:p>
        </w:tc>
      </w:tr>
      <w:tr>
        <w:trPr>
          <w:trHeight w:val="216"/>
        </w:trPr>
        <w:tc>
          <w:tcPr>
            <w:tcW w:w="6100" w:type="dxa"/>
            <w:vAlign w:val="bottom"/>
          </w:tcPr>
          <w:p>
            <w:pPr>
              <w:ind w:left="20"/>
              <w:spacing w:after="0"/>
              <w:rPr>
                <w:sz w:val="20"/>
                <w:szCs w:val="20"/>
                <w:color w:val="auto"/>
              </w:rPr>
            </w:pPr>
            <w:r>
              <w:rPr>
                <w:rFonts w:ascii="Arial" w:cs="Arial" w:eastAsia="Arial" w:hAnsi="Arial"/>
                <w:sz w:val="16"/>
                <w:szCs w:val="16"/>
                <w:color w:val="auto"/>
              </w:rPr>
              <w:t>Charges and credits (See Note 3)</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6"/>
                <w:szCs w:val="16"/>
                <w:color w:val="auto"/>
              </w:rPr>
              <w:t>(1 )</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17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(2 )</w:t>
            </w: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(2 )</w:t>
            </w: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(2 )</w:t>
            </w:r>
          </w:p>
        </w:tc>
        <w:tc>
          <w:tcPr>
            <w:tcW w:w="40" w:type="dxa"/>
            <w:vAlign w:val="bottom"/>
          </w:tcPr>
          <w:p>
            <w:pPr>
              <w:spacing w:after="0"/>
              <w:rPr>
                <w:sz w:val="18"/>
                <w:szCs w:val="18"/>
                <w:color w:val="auto"/>
              </w:rPr>
            </w:pPr>
          </w:p>
        </w:tc>
      </w:tr>
      <w:tr>
        <w:trPr>
          <w:trHeight w:val="20"/>
        </w:trPr>
        <w:tc>
          <w:tcPr>
            <w:tcW w:w="610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100" w:type="dxa"/>
            <w:vAlign w:val="bottom"/>
          </w:tcPr>
          <w:p>
            <w:pPr>
              <w:spacing w:after="0"/>
              <w:rPr>
                <w:sz w:val="18"/>
                <w:szCs w:val="18"/>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19 %</w:t>
            </w:r>
          </w:p>
        </w:tc>
        <w:tc>
          <w:tcPr>
            <w:tcW w:w="1740" w:type="dxa"/>
            <w:vAlign w:val="bottom"/>
            <w:gridSpan w:val="2"/>
          </w:tcPr>
          <w:p>
            <w:pPr>
              <w:jc w:val="right"/>
              <w:ind w:right="80"/>
              <w:spacing w:after="0"/>
              <w:rPr>
                <w:sz w:val="20"/>
                <w:szCs w:val="20"/>
                <w:color w:val="auto"/>
              </w:rPr>
            </w:pPr>
            <w:r>
              <w:rPr>
                <w:rFonts w:ascii="Arial" w:cs="Arial" w:eastAsia="Arial" w:hAnsi="Arial"/>
                <w:sz w:val="16"/>
                <w:szCs w:val="16"/>
                <w:color w:val="auto"/>
              </w:rPr>
              <w:t>18 %</w:t>
            </w:r>
          </w:p>
        </w:tc>
        <w:tc>
          <w:tcPr>
            <w:tcW w:w="1660" w:type="dxa"/>
            <w:vAlign w:val="bottom"/>
            <w:gridSpan w:val="3"/>
          </w:tcPr>
          <w:p>
            <w:pPr>
              <w:jc w:val="right"/>
              <w:spacing w:after="0"/>
              <w:rPr>
                <w:sz w:val="20"/>
                <w:szCs w:val="20"/>
                <w:color w:val="auto"/>
              </w:rPr>
            </w:pPr>
            <w:r>
              <w:rPr>
                <w:rFonts w:ascii="Arial" w:cs="Arial" w:eastAsia="Arial" w:hAnsi="Arial"/>
                <w:sz w:val="16"/>
                <w:szCs w:val="16"/>
                <w:color w:val="auto"/>
              </w:rPr>
              <w:t>19 %</w:t>
            </w:r>
          </w:p>
        </w:tc>
      </w:tr>
      <w:tr>
        <w:trPr>
          <w:trHeight w:val="20"/>
        </w:trPr>
        <w:tc>
          <w:tcPr>
            <w:tcW w:w="6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371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-170815</wp:posOffset>
            </wp:positionV>
            <wp:extent cx="768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ind w:right="40"/>
        <w:spacing w:after="0" w:line="259" w:lineRule="auto"/>
        <w:rPr>
          <w:sz w:val="20"/>
          <w:szCs w:val="20"/>
          <w:color w:val="auto"/>
        </w:rPr>
      </w:pPr>
      <w:r>
        <w:rPr>
          <w:rFonts w:ascii="Arial" w:cs="Arial" w:eastAsia="Arial" w:hAnsi="Arial"/>
          <w:sz w:val="16"/>
          <w:szCs w:val="16"/>
          <w:color w:val="auto"/>
        </w:rPr>
        <w:t>A number of the jurisdictions in which SLB operates have tax laws that are not fully defined and are evolving. SLB’s tax filings are subject to regular audit by the tax authorities. These audits may result in assessments for additional taxes that are resolved with the tax authorities or, potentially, through the courts. Tax liabilities are recorded based on estimates of additional taxes that will be due upon the conclusion of these audits. Due to the uncertain and complex application of tax regulations, the ultimate resolution of audits may result in liabilities which could be materially different from these estimates.</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449" w:right="299" w:bottom="1440" w:gutter="0" w:footer="0" w:header="0"/>
        </w:sectPr>
      </w:pPr>
    </w:p>
    <w:bookmarkStart w:id="46" w:name="page47"/>
    <w:bookmarkEnd w:id="46"/>
    <w:p>
      <w:pPr>
        <w:spacing w:after="0"/>
        <w:rPr>
          <w:sz w:val="20"/>
          <w:szCs w:val="20"/>
          <w:color w:val="auto"/>
        </w:rPr>
      </w:pPr>
      <w:r>
        <w:rPr>
          <w:rFonts w:ascii="Arial" w:cs="Arial" w:eastAsia="Arial" w:hAnsi="Arial"/>
          <w:sz w:val="16"/>
          <w:szCs w:val="16"/>
          <w:color w:val="auto"/>
        </w:rPr>
        <w:t>A reconciliation of the beginning and ending amount of liabilities associated with uncertain tax positions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0"/>
        </w:trPr>
        <w:tc>
          <w:tcPr>
            <w:tcW w:w="656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w:t>
            </w:r>
          </w:p>
        </w:tc>
        <w:tc>
          <w:tcPr>
            <w:tcW w:w="4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4"/>
                <w:szCs w:val="24"/>
                <w:color w:val="auto"/>
              </w:rPr>
            </w:pPr>
          </w:p>
        </w:tc>
      </w:tr>
      <w:tr>
        <w:trPr>
          <w:trHeight w:val="209"/>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beginning of year</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6"/>
                <w:szCs w:val="16"/>
                <w:b w:val="1"/>
                <w:bCs w:val="1"/>
                <w:color w:val="auto"/>
                <w:w w:val="8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893</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69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1,271</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the current year</w:t>
            </w: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66</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Additions for tax positions of prior years</w:t>
            </w: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91</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6"/>
                <w:szCs w:val="16"/>
                <w:color w:val="auto"/>
              </w:rPr>
              <w:t>Impact of changes in exchange rates</w:t>
            </w:r>
          </w:p>
        </w:tc>
        <w:tc>
          <w:tcPr>
            <w:tcW w:w="9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(25 )</w:t>
            </w:r>
          </w:p>
        </w:tc>
        <w:tc>
          <w:tcPr>
            <w:tcW w:w="8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(38 )</w:t>
            </w:r>
          </w:p>
        </w:tc>
        <w:tc>
          <w:tcPr>
            <w:tcW w:w="1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(24 )</w:t>
            </w:r>
          </w:p>
        </w:tc>
      </w:tr>
      <w:tr>
        <w:trPr>
          <w:trHeight w:val="216"/>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Settlements with tax authorities</w:t>
            </w:r>
          </w:p>
        </w:tc>
        <w:tc>
          <w:tcPr>
            <w:tcW w:w="9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(36 )</w:t>
            </w:r>
          </w:p>
        </w:tc>
        <w:tc>
          <w:tcPr>
            <w:tcW w:w="8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(37 )</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(49 )</w:t>
            </w:r>
          </w:p>
        </w:tc>
      </w:tr>
      <w:tr>
        <w:trPr>
          <w:trHeight w:val="216"/>
        </w:trPr>
        <w:tc>
          <w:tcPr>
            <w:tcW w:w="6560" w:type="dxa"/>
            <w:vAlign w:val="bottom"/>
          </w:tcPr>
          <w:p>
            <w:pPr>
              <w:ind w:left="20"/>
              <w:spacing w:after="0"/>
              <w:rPr>
                <w:sz w:val="20"/>
                <w:szCs w:val="20"/>
                <w:color w:val="auto"/>
              </w:rPr>
            </w:pPr>
            <w:r>
              <w:rPr>
                <w:rFonts w:ascii="Arial" w:cs="Arial" w:eastAsia="Arial" w:hAnsi="Arial"/>
                <w:sz w:val="16"/>
                <w:szCs w:val="16"/>
                <w:color w:val="auto"/>
              </w:rPr>
              <w:t>Reductions for tax positions of prior years</w:t>
            </w:r>
          </w:p>
        </w:tc>
        <w:tc>
          <w:tcPr>
            <w:tcW w:w="9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(176 )</w:t>
            </w:r>
          </w:p>
        </w:tc>
        <w:tc>
          <w:tcPr>
            <w:tcW w:w="8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(94 )</w:t>
            </w:r>
          </w:p>
        </w:tc>
        <w:tc>
          <w:tcPr>
            <w:tcW w:w="1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(228 )</w:t>
            </w:r>
          </w:p>
        </w:tc>
      </w:tr>
      <w:tr>
        <w:trPr>
          <w:trHeight w:val="216"/>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Reductions due to the lapse of statute of limitations</w:t>
            </w:r>
          </w:p>
        </w:tc>
        <w:tc>
          <w:tcPr>
            <w:tcW w:w="9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(30 )</w:t>
            </w:r>
          </w:p>
        </w:tc>
        <w:tc>
          <w:tcPr>
            <w:tcW w:w="8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(44 )</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(26 )</w:t>
            </w:r>
          </w:p>
        </w:tc>
      </w:tr>
      <w:tr>
        <w:trPr>
          <w:trHeight w:val="210"/>
        </w:trPr>
        <w:tc>
          <w:tcPr>
            <w:tcW w:w="6560" w:type="dxa"/>
            <w:vAlign w:val="bottom"/>
            <w:tcBorders>
              <w:top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783</w:t>
            </w:r>
          </w:p>
        </w:tc>
        <w:tc>
          <w:tcPr>
            <w:tcW w:w="280" w:type="dxa"/>
            <w:vAlign w:val="bottom"/>
            <w:tcBorders>
              <w:top w:val="single" w:sz="8" w:color="CFF0FC"/>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893</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1,001</w:t>
            </w:r>
          </w:p>
        </w:tc>
        <w:tc>
          <w:tcPr>
            <w:tcW w:w="100" w:type="dxa"/>
            <w:vAlign w:val="bottom"/>
            <w:tcBorders>
              <w:top w:val="single" w:sz="8" w:color="CFF0FC"/>
            </w:tcBorders>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-170815</wp:posOffset>
            </wp:positionV>
            <wp:extent cx="7747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amounts above exclude accrued interest and penalties of $155 million at both December 31, 2023 and 2022, and $164 million at December 31, 2021, respectively. SLB classifies interest and penalties relating to uncertain tax positions within </w:t>
      </w:r>
      <w:r>
        <w:rPr>
          <w:rFonts w:ascii="Arial" w:cs="Arial" w:eastAsia="Arial" w:hAnsi="Arial"/>
          <w:sz w:val="16"/>
          <w:szCs w:val="16"/>
          <w:i w:val="1"/>
          <w:iCs w:val="1"/>
          <w:color w:val="auto"/>
        </w:rPr>
        <w:t>Tax expense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2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following table summarizes the tax years that are either currently under audit or remain open and subject to examination by the tax authorities in the most significant jurisdictions in which SLB operates: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Canada</w:t>
            </w:r>
          </w:p>
        </w:tc>
        <w:tc>
          <w:tcPr>
            <w:tcW w:w="4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2017 - 2023</w:t>
            </w:r>
          </w:p>
        </w:tc>
      </w:tr>
      <w:tr>
        <w:trPr>
          <w:trHeight w:val="215"/>
        </w:trPr>
        <w:tc>
          <w:tcPr>
            <w:tcW w:w="4640" w:type="dxa"/>
            <w:vAlign w:val="bottom"/>
          </w:tcPr>
          <w:p>
            <w:pPr>
              <w:ind w:left="20"/>
              <w:spacing w:after="0"/>
              <w:rPr>
                <w:sz w:val="20"/>
                <w:szCs w:val="20"/>
                <w:color w:val="auto"/>
              </w:rPr>
            </w:pPr>
            <w:r>
              <w:rPr>
                <w:rFonts w:ascii="Arial" w:cs="Arial" w:eastAsia="Arial" w:hAnsi="Arial"/>
                <w:sz w:val="16"/>
                <w:szCs w:val="16"/>
                <w:color w:val="auto"/>
              </w:rPr>
              <w:t>Ecuador</w:t>
            </w:r>
          </w:p>
        </w:tc>
        <w:tc>
          <w:tcPr>
            <w:tcW w:w="4340" w:type="dxa"/>
            <w:vAlign w:val="bottom"/>
          </w:tcPr>
          <w:p>
            <w:pPr>
              <w:jc w:val="right"/>
              <w:spacing w:after="0"/>
              <w:rPr>
                <w:sz w:val="20"/>
                <w:szCs w:val="20"/>
                <w:color w:val="auto"/>
              </w:rPr>
            </w:pPr>
            <w:r>
              <w:rPr>
                <w:rFonts w:ascii="Arial" w:cs="Arial" w:eastAsia="Arial" w:hAnsi="Arial"/>
                <w:sz w:val="16"/>
                <w:szCs w:val="16"/>
                <w:color w:val="auto"/>
              </w:rPr>
              <w:t>2019 - 2023</w:t>
            </w:r>
          </w:p>
        </w:tc>
      </w:tr>
      <w:tr>
        <w:trPr>
          <w:trHeight w:val="217"/>
        </w:trPr>
        <w:tc>
          <w:tcPr>
            <w:tcW w:w="4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Mexico</w:t>
            </w:r>
          </w:p>
        </w:tc>
        <w:tc>
          <w:tcPr>
            <w:tcW w:w="4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2016 - 2023</w:t>
            </w:r>
          </w:p>
        </w:tc>
      </w:tr>
      <w:tr>
        <w:trPr>
          <w:trHeight w:val="215"/>
        </w:trPr>
        <w:tc>
          <w:tcPr>
            <w:tcW w:w="4640" w:type="dxa"/>
            <w:vAlign w:val="bottom"/>
          </w:tcPr>
          <w:p>
            <w:pPr>
              <w:ind w:left="20"/>
              <w:spacing w:after="0"/>
              <w:rPr>
                <w:sz w:val="20"/>
                <w:szCs w:val="20"/>
                <w:color w:val="auto"/>
              </w:rPr>
            </w:pPr>
            <w:r>
              <w:rPr>
                <w:rFonts w:ascii="Arial" w:cs="Arial" w:eastAsia="Arial" w:hAnsi="Arial"/>
                <w:sz w:val="16"/>
                <w:szCs w:val="16"/>
                <w:color w:val="auto"/>
              </w:rPr>
              <w:t>Norway</w:t>
            </w:r>
          </w:p>
        </w:tc>
        <w:tc>
          <w:tcPr>
            <w:tcW w:w="4340" w:type="dxa"/>
            <w:vAlign w:val="bottom"/>
          </w:tcPr>
          <w:p>
            <w:pPr>
              <w:jc w:val="right"/>
              <w:spacing w:after="0"/>
              <w:rPr>
                <w:sz w:val="20"/>
                <w:szCs w:val="20"/>
                <w:color w:val="auto"/>
              </w:rPr>
            </w:pPr>
            <w:r>
              <w:rPr>
                <w:rFonts w:ascii="Arial" w:cs="Arial" w:eastAsia="Arial" w:hAnsi="Arial"/>
                <w:sz w:val="16"/>
                <w:szCs w:val="16"/>
                <w:color w:val="auto"/>
              </w:rPr>
              <w:t>2018 - 2023</w:t>
            </w:r>
          </w:p>
        </w:tc>
      </w:tr>
      <w:tr>
        <w:trPr>
          <w:trHeight w:val="217"/>
        </w:trPr>
        <w:tc>
          <w:tcPr>
            <w:tcW w:w="4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Russia</w:t>
            </w:r>
          </w:p>
        </w:tc>
        <w:tc>
          <w:tcPr>
            <w:tcW w:w="4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2021 - 2023</w:t>
            </w:r>
          </w:p>
        </w:tc>
      </w:tr>
      <w:tr>
        <w:trPr>
          <w:trHeight w:val="215"/>
        </w:trPr>
        <w:tc>
          <w:tcPr>
            <w:tcW w:w="4640" w:type="dxa"/>
            <w:vAlign w:val="bottom"/>
          </w:tcPr>
          <w:p>
            <w:pPr>
              <w:ind w:left="20"/>
              <w:spacing w:after="0"/>
              <w:rPr>
                <w:sz w:val="20"/>
                <w:szCs w:val="20"/>
                <w:color w:val="auto"/>
              </w:rPr>
            </w:pPr>
            <w:r>
              <w:rPr>
                <w:rFonts w:ascii="Arial" w:cs="Arial" w:eastAsia="Arial" w:hAnsi="Arial"/>
                <w:sz w:val="16"/>
                <w:szCs w:val="16"/>
                <w:color w:val="auto"/>
              </w:rPr>
              <w:t>Saudi Arabia</w:t>
            </w:r>
          </w:p>
        </w:tc>
        <w:tc>
          <w:tcPr>
            <w:tcW w:w="4340" w:type="dxa"/>
            <w:vAlign w:val="bottom"/>
          </w:tcPr>
          <w:p>
            <w:pPr>
              <w:jc w:val="right"/>
              <w:spacing w:after="0"/>
              <w:rPr>
                <w:sz w:val="20"/>
                <w:szCs w:val="20"/>
                <w:color w:val="auto"/>
              </w:rPr>
            </w:pPr>
            <w:r>
              <w:rPr>
                <w:rFonts w:ascii="Arial" w:cs="Arial" w:eastAsia="Arial" w:hAnsi="Arial"/>
                <w:sz w:val="16"/>
                <w:szCs w:val="16"/>
                <w:color w:val="auto"/>
              </w:rPr>
              <w:t>2016 - 2023</w:t>
            </w:r>
          </w:p>
        </w:tc>
      </w:tr>
      <w:tr>
        <w:trPr>
          <w:trHeight w:val="217"/>
        </w:trPr>
        <w:tc>
          <w:tcPr>
            <w:tcW w:w="4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United Kingdom</w:t>
            </w:r>
          </w:p>
        </w:tc>
        <w:tc>
          <w:tcPr>
            <w:tcW w:w="4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2017 - 2023</w:t>
            </w:r>
          </w:p>
        </w:tc>
      </w:tr>
      <w:tr>
        <w:trPr>
          <w:trHeight w:val="215"/>
        </w:trPr>
        <w:tc>
          <w:tcPr>
            <w:tcW w:w="464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4340" w:type="dxa"/>
            <w:vAlign w:val="bottom"/>
          </w:tcPr>
          <w:p>
            <w:pPr>
              <w:jc w:val="right"/>
              <w:spacing w:after="0"/>
              <w:rPr>
                <w:sz w:val="20"/>
                <w:szCs w:val="20"/>
                <w:color w:val="auto"/>
              </w:rPr>
            </w:pPr>
            <w:r>
              <w:rPr>
                <w:rFonts w:ascii="Arial" w:cs="Arial" w:eastAsia="Arial" w:hAnsi="Arial"/>
                <w:sz w:val="16"/>
                <w:szCs w:val="16"/>
                <w:color w:val="auto"/>
              </w:rPr>
              <w:t>2020 - 2023</w:t>
            </w:r>
          </w:p>
        </w:tc>
      </w:tr>
    </w:tbl>
    <w:p>
      <w:pPr>
        <w:spacing w:after="0" w:line="392"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Leases</w:t>
      </w:r>
    </w:p>
    <w:p>
      <w:pPr>
        <w:spacing w:after="0" w:line="11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SLB’s leasing activities primarily consist of operating leases for administrative offices, manufacturing facilities, research centers, service centers, sales offices, and certain equipment. Total operating lease expense, which approximates cash paid and includes short-term leases, was $1.4 billion in 2023 and $1.2 billion in both 2022 and 2021.</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Maturities of operating lease liabilities as of December 31, 2023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(Stated in millions)</w:t>
            </w:r>
          </w:p>
        </w:tc>
      </w:tr>
      <w:tr>
        <w:trPr>
          <w:trHeight w:val="224"/>
        </w:trPr>
        <w:tc>
          <w:tcPr>
            <w:tcW w:w="7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2024</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w:t>
            </w:r>
          </w:p>
        </w:tc>
        <w:tc>
          <w:tcPr>
            <w:tcW w:w="80" w:type="dxa"/>
            <w:vAlign w:val="bottom"/>
            <w:shd w:val="clear" w:color="auto" w:fill="CFF0FC"/>
          </w:tcPr>
          <w:p>
            <w:pPr>
              <w:spacing w:after="0"/>
              <w:rPr>
                <w:sz w:val="18"/>
                <w:szCs w:val="18"/>
                <w:color w:val="auto"/>
              </w:rPr>
            </w:pPr>
          </w:p>
        </w:tc>
      </w:tr>
      <w:tr>
        <w:trPr>
          <w:trHeight w:val="215"/>
        </w:trPr>
        <w:tc>
          <w:tcPr>
            <w:tcW w:w="7360" w:type="dxa"/>
            <w:vAlign w:val="bottom"/>
          </w:tcPr>
          <w:p>
            <w:pPr>
              <w:ind w:left="20"/>
              <w:spacing w:after="0"/>
              <w:rPr>
                <w:sz w:val="20"/>
                <w:szCs w:val="20"/>
                <w:color w:val="auto"/>
              </w:rPr>
            </w:pPr>
            <w:r>
              <w:rPr>
                <w:rFonts w:ascii="Arial" w:cs="Arial" w:eastAsia="Arial" w:hAnsi="Arial"/>
                <w:sz w:val="16"/>
                <w:szCs w:val="16"/>
                <w:color w:val="auto"/>
              </w:rPr>
              <w:t>2025</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170</w:t>
            </w:r>
          </w:p>
        </w:tc>
        <w:tc>
          <w:tcPr>
            <w:tcW w:w="80" w:type="dxa"/>
            <w:vAlign w:val="bottom"/>
          </w:tcPr>
          <w:p>
            <w:pPr>
              <w:spacing w:after="0"/>
              <w:rPr>
                <w:sz w:val="18"/>
                <w:szCs w:val="18"/>
                <w:color w:val="auto"/>
              </w:rPr>
            </w:pPr>
          </w:p>
        </w:tc>
      </w:tr>
      <w:tr>
        <w:trPr>
          <w:trHeight w:val="217"/>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2026</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w:t>
            </w:r>
          </w:p>
        </w:tc>
        <w:tc>
          <w:tcPr>
            <w:tcW w:w="80" w:type="dxa"/>
            <w:vAlign w:val="bottom"/>
            <w:shd w:val="clear" w:color="auto" w:fill="CFF0FC"/>
          </w:tcPr>
          <w:p>
            <w:pPr>
              <w:spacing w:after="0"/>
              <w:rPr>
                <w:sz w:val="18"/>
                <w:szCs w:val="18"/>
                <w:color w:val="auto"/>
              </w:rPr>
            </w:pPr>
          </w:p>
        </w:tc>
      </w:tr>
      <w:tr>
        <w:trPr>
          <w:trHeight w:val="215"/>
        </w:trPr>
        <w:tc>
          <w:tcPr>
            <w:tcW w:w="7360" w:type="dxa"/>
            <w:vAlign w:val="bottom"/>
          </w:tcPr>
          <w:p>
            <w:pPr>
              <w:ind w:left="20"/>
              <w:spacing w:after="0"/>
              <w:rPr>
                <w:sz w:val="20"/>
                <w:szCs w:val="20"/>
                <w:color w:val="auto"/>
              </w:rPr>
            </w:pPr>
            <w:r>
              <w:rPr>
                <w:rFonts w:ascii="Arial" w:cs="Arial" w:eastAsia="Arial" w:hAnsi="Arial"/>
                <w:sz w:val="16"/>
                <w:szCs w:val="16"/>
                <w:color w:val="auto"/>
              </w:rPr>
              <w:t>2027</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98</w:t>
            </w:r>
          </w:p>
        </w:tc>
        <w:tc>
          <w:tcPr>
            <w:tcW w:w="80" w:type="dxa"/>
            <w:vAlign w:val="bottom"/>
          </w:tcPr>
          <w:p>
            <w:pPr>
              <w:spacing w:after="0"/>
              <w:rPr>
                <w:sz w:val="18"/>
                <w:szCs w:val="18"/>
                <w:color w:val="auto"/>
              </w:rPr>
            </w:pPr>
          </w:p>
        </w:tc>
      </w:tr>
      <w:tr>
        <w:trPr>
          <w:trHeight w:val="217"/>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2028</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80" w:type="dxa"/>
            <w:vAlign w:val="bottom"/>
            <w:shd w:val="clear" w:color="auto" w:fill="CFF0FC"/>
          </w:tcPr>
          <w:p>
            <w:pPr>
              <w:spacing w:after="0"/>
              <w:rPr>
                <w:sz w:val="18"/>
                <w:szCs w:val="18"/>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80" w:type="dxa"/>
            <w:vAlign w:val="bottom"/>
          </w:tcPr>
          <w:p>
            <w:pPr>
              <w:spacing w:after="0"/>
              <w:rPr>
                <w:sz w:val="18"/>
                <w:szCs w:val="18"/>
                <w:color w:val="auto"/>
              </w:rPr>
            </w:pPr>
          </w:p>
        </w:tc>
      </w:tr>
      <w:tr>
        <w:trPr>
          <w:trHeight w:val="210"/>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lease payments</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944</w:t>
            </w:r>
          </w:p>
        </w:tc>
        <w:tc>
          <w:tcPr>
            <w:tcW w:w="80" w:type="dxa"/>
            <w:vAlign w:val="bottom"/>
            <w:shd w:val="clear" w:color="auto" w:fill="CFF0FC"/>
          </w:tcPr>
          <w:p>
            <w:pPr>
              <w:spacing w:after="0"/>
              <w:rPr>
                <w:sz w:val="18"/>
                <w:szCs w:val="18"/>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6"/>
                <w:szCs w:val="16"/>
                <w:color w:val="auto"/>
              </w:rPr>
              <w:t>Less: Interest</w:t>
            </w:r>
          </w:p>
        </w:tc>
        <w:tc>
          <w:tcPr>
            <w:tcW w:w="2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(134 )</w:t>
            </w:r>
          </w:p>
        </w:tc>
      </w:tr>
      <w:tr>
        <w:trPr>
          <w:trHeight w:val="249"/>
        </w:trPr>
        <w:tc>
          <w:tcPr>
            <w:tcW w:w="73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97"/>
        </w:trPr>
        <w:tc>
          <w:tcPr>
            <w:tcW w:w="73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Amounts recognized in balance sheet:</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Accounts payable and accrued liabilities</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w:t>
            </w:r>
          </w:p>
        </w:tc>
        <w:tc>
          <w:tcPr>
            <w:tcW w:w="80" w:type="dxa"/>
            <w:vAlign w:val="bottom"/>
            <w:shd w:val="clear" w:color="auto" w:fill="CFF0FC"/>
          </w:tcPr>
          <w:p>
            <w:pPr>
              <w:spacing w:after="0"/>
              <w:rPr>
                <w:sz w:val="18"/>
                <w:szCs w:val="18"/>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6"/>
                <w:szCs w:val="16"/>
                <w:i w:val="1"/>
                <w:iCs w:val="1"/>
                <w:color w:val="auto"/>
              </w:rPr>
              <w:t>Other Liabilities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w:t>
            </w:r>
          </w:p>
        </w:tc>
        <w:tc>
          <w:tcPr>
            <w:tcW w:w="80" w:type="dxa"/>
            <w:vAlign w:val="bottom"/>
          </w:tcPr>
          <w:p>
            <w:pPr>
              <w:spacing w:after="0"/>
              <w:rPr>
                <w:sz w:val="18"/>
                <w:szCs w:val="18"/>
                <w:color w:val="auto"/>
              </w:rPr>
            </w:pPr>
          </w:p>
        </w:tc>
      </w:tr>
      <w:tr>
        <w:trPr>
          <w:trHeight w:val="249"/>
        </w:trPr>
        <w:tc>
          <w:tcPr>
            <w:tcW w:w="73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-607695</wp:posOffset>
            </wp:positionV>
            <wp:extent cx="514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-590550</wp:posOffset>
            </wp:positionV>
            <wp:extent cx="514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514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514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weighted-average remaining lease term as of December 31, 2023 was 9 years. The weighted-average discount rate used to determine the operating lease liability as of December 31, 2023 was 3.6%.</w:t>
      </w:r>
    </w:p>
    <w:p>
      <w:pPr>
        <w:spacing w:after="0" w:line="156"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Contingencies</w:t>
      </w:r>
    </w:p>
    <w:p>
      <w:pPr>
        <w:spacing w:after="0" w:line="11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SLB is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ind w:left="320" w:hanging="312"/>
        <w:spacing w:after="0"/>
        <w:tabs>
          <w:tab w:leader="none" w:pos="320"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Segment Information</w:t>
      </w:r>
    </w:p>
    <w:p>
      <w:pPr>
        <w:spacing w:after="0" w:line="1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SLB is organized under four Divisions that combine and integrate SLB’s technologies, enhancing the Company’s ability to support the emerging long-term growth opportunities in each of these market segments.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four Divisions, representing SLB’s segments, are:</w:t>
      </w:r>
    </w:p>
    <w:p>
      <w:pPr>
        <w:spacing w:after="0" w:line="113" w:lineRule="exact"/>
        <w:rPr>
          <w:sz w:val="20"/>
          <w:szCs w:val="20"/>
          <w:color w:val="auto"/>
        </w:rPr>
      </w:pPr>
    </w:p>
    <w:p>
      <w:pPr>
        <w:ind w:left="760" w:hanging="378"/>
        <w:spacing w:after="0" w:line="256" w:lineRule="auto"/>
        <w:tabs>
          <w:tab w:leader="none" w:pos="76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 xml:space="preserve">Digital &amp; Integration </w:t>
      </w:r>
      <w:r>
        <w:rPr>
          <w:rFonts w:ascii="Arial" w:cs="Arial" w:eastAsia="Arial" w:hAnsi="Arial"/>
          <w:sz w:val="16"/>
          <w:szCs w:val="16"/>
          <w:color w:val="auto"/>
        </w:rPr>
        <w:t>– Combines SLB’s industry-leading digital solutions and data products with its integrated offering of Asset Performance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w:t>
      </w:r>
    </w:p>
    <w:p>
      <w:pPr>
        <w:ind w:left="760" w:hanging="378"/>
        <w:spacing w:after="0" w:line="246" w:lineRule="auto"/>
        <w:tabs>
          <w:tab w:leader="none" w:pos="76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 xml:space="preserve">Reservoir Performance </w:t>
      </w:r>
      <w:r>
        <w:rPr>
          <w:rFonts w:ascii="Arial" w:cs="Arial" w:eastAsia="Arial" w:hAnsi="Arial"/>
          <w:sz w:val="16"/>
          <w:szCs w:val="16"/>
          <w:color w:val="auto"/>
        </w:rPr>
        <w:t>– Consists of reservoir-centric technologies and services that are critical to optimizing reservoir productivity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w:t>
      </w:r>
    </w:p>
    <w:p>
      <w:pPr>
        <w:ind w:left="760" w:hanging="378"/>
        <w:spacing w:after="0" w:line="246" w:lineRule="auto"/>
        <w:tabs>
          <w:tab w:leader="none" w:pos="76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 xml:space="preserve">Well Construction </w:t>
      </w:r>
      <w:r>
        <w:rPr>
          <w:rFonts w:ascii="Arial" w:cs="Arial" w:eastAsia="Arial" w:hAnsi="Arial"/>
          <w:sz w:val="16"/>
          <w:szCs w:val="16"/>
          <w:color w:val="auto"/>
        </w:rPr>
        <w:t>– Combines the full portfolio of products and services to optimize well placement and performance, maximize drilling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efficiency, and improve wellbore assurance.</w:t>
      </w:r>
    </w:p>
    <w:p>
      <w:pPr>
        <w:ind w:left="760" w:right="20" w:hanging="378"/>
        <w:spacing w:after="0" w:line="264" w:lineRule="auto"/>
        <w:tabs>
          <w:tab w:leader="none" w:pos="76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 xml:space="preserve">Production Systems </w:t>
      </w:r>
      <w:r>
        <w:rPr>
          <w:rFonts w:ascii="Arial" w:cs="Arial" w:eastAsia="Arial" w:hAnsi="Arial"/>
          <w:sz w:val="16"/>
          <w:szCs w:val="16"/>
          <w:color w:val="auto"/>
        </w:rPr>
        <w:t>– Develops technologies and provides expertise that enhance production and recovery from subsurface reservoirs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surface, into pipelines, and to refineries.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Financial information by segment is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60" w:type="dxa"/>
            <w:vAlign w:val="bottom"/>
            <w:gridSpan w:val="4"/>
          </w:tcPr>
          <w:p>
            <w:pPr>
              <w:ind w:left="160"/>
              <w:spacing w:after="0"/>
              <w:rPr>
                <w:sz w:val="20"/>
                <w:szCs w:val="20"/>
                <w:color w:val="auto"/>
              </w:rPr>
            </w:pPr>
            <w:r>
              <w:rPr>
                <w:rFonts w:ascii="Arial" w:cs="Arial" w:eastAsia="Arial" w:hAnsi="Arial"/>
                <w:sz w:val="14"/>
                <w:szCs w:val="14"/>
                <w:i w:val="1"/>
                <w:iCs w:val="1"/>
                <w:color w:val="auto"/>
              </w:rPr>
              <w:t>(Stated in millions)</w:t>
            </w:r>
          </w:p>
        </w:tc>
      </w:tr>
      <w:tr>
        <w:trPr>
          <w:trHeight w:val="440"/>
        </w:trPr>
        <w:tc>
          <w:tcPr>
            <w:tcW w:w="45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9"/>
              <w:spacing w:after="0"/>
              <w:rPr>
                <w:sz w:val="20"/>
                <w:szCs w:val="20"/>
                <w:color w:val="auto"/>
              </w:rPr>
            </w:pPr>
            <w:r>
              <w:rPr>
                <w:rFonts w:ascii="Arial" w:cs="Arial" w:eastAsia="Arial" w:hAnsi="Arial"/>
                <w:sz w:val="16"/>
                <w:szCs w:val="16"/>
                <w:b w:val="1"/>
                <w:bCs w:val="1"/>
                <w:color w:val="auto"/>
              </w:rPr>
              <w:t>Depreciation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8"/>
              </w:rPr>
              <w:t>Pretax</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and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Capital</w:t>
            </w:r>
          </w:p>
        </w:tc>
      </w:tr>
      <w:tr>
        <w:trPr>
          <w:trHeight w:val="217"/>
        </w:trPr>
        <w:tc>
          <w:tcPr>
            <w:tcW w:w="4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Revenue</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9"/>
              </w:rPr>
              <w:t>Income</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Investments</w:t>
            </w:r>
          </w:p>
        </w:tc>
        <w:tc>
          <w:tcPr>
            <w:tcW w:w="100" w:type="dxa"/>
            <w:vAlign w:val="bottom"/>
          </w:tcPr>
          <w:p>
            <w:pPr>
              <w:spacing w:after="0"/>
              <w:rPr>
                <w:sz w:val="18"/>
                <w:szCs w:val="18"/>
                <w:color w:val="auto"/>
              </w:rPr>
            </w:pPr>
          </w:p>
        </w:tc>
      </w:tr>
      <w:tr>
        <w:trPr>
          <w:trHeight w:val="209"/>
        </w:trPr>
        <w:tc>
          <w:tcPr>
            <w:tcW w:w="4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3,871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1,257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3,089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578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660</w:t>
            </w: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6,561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1,263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3,491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387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514</w:t>
            </w:r>
          </w:p>
        </w:tc>
        <w:tc>
          <w:tcPr>
            <w:tcW w:w="100" w:type="dxa"/>
            <w:vAlign w:val="bottom"/>
          </w:tcPr>
          <w:p>
            <w:pPr>
              <w:spacing w:after="0"/>
              <w:rPr>
                <w:sz w:val="18"/>
                <w:szCs w:val="18"/>
                <w:color w:val="auto"/>
              </w:rPr>
            </w:pPr>
          </w:p>
        </w:tc>
      </w:tr>
      <w:tr>
        <w:trPr>
          <w:trHeight w:val="216"/>
        </w:trPr>
        <w:tc>
          <w:tcPr>
            <w:tcW w:w="4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13,478</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2,932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7,129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587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908</w:t>
            </w: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9,831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1,245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6,640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384</w:t>
            </w:r>
          </w:p>
        </w:tc>
        <w:tc>
          <w:tcPr>
            <w:tcW w:w="100" w:type="dxa"/>
            <w:vAlign w:val="bottom"/>
          </w:tcPr>
          <w:p>
            <w:pPr>
              <w:spacing w:after="0"/>
              <w:rPr>
                <w:sz w:val="18"/>
                <w:szCs w:val="18"/>
                <w:color w:val="auto"/>
              </w:rPr>
            </w:pPr>
          </w:p>
        </w:tc>
      </w:tr>
      <w:tr>
        <w:trPr>
          <w:trHeight w:val="216"/>
        </w:trPr>
        <w:tc>
          <w:tcPr>
            <w:tcW w:w="4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(606 )</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(174 )</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1,352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277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133</w:t>
            </w:r>
          </w:p>
        </w:tc>
        <w:tc>
          <w:tcPr>
            <w:tcW w:w="100" w:type="dxa"/>
            <w:vAlign w:val="bottom"/>
            <w:shd w:val="clear" w:color="auto" w:fill="CFF0FC"/>
          </w:tcPr>
          <w:p>
            <w:pPr>
              <w:spacing w:after="0"/>
              <w:rPr>
                <w:sz w:val="18"/>
                <w:szCs w:val="18"/>
                <w:color w:val="auto"/>
              </w:rPr>
            </w:pPr>
          </w:p>
        </w:tc>
      </w:tr>
      <w:tr>
        <w:trPr>
          <w:trHeight w:val="209"/>
        </w:trPr>
        <w:tc>
          <w:tcPr>
            <w:tcW w:w="4500" w:type="dxa"/>
            <w:vAlign w:val="bottom"/>
            <w:tcBorders>
              <w:top w:val="single" w:sz="8" w:color="CFF0FC"/>
            </w:tcBorders>
          </w:tcPr>
          <w:p>
            <w:pPr>
              <w:ind w:left="200"/>
              <w:spacing w:after="0"/>
              <w:rPr>
                <w:sz w:val="20"/>
                <w:szCs w:val="20"/>
                <w:color w:val="auto"/>
              </w:rPr>
            </w:pPr>
            <w:r>
              <w:rPr>
                <w:rFonts w:ascii="Arial" w:cs="Arial" w:eastAsia="Arial" w:hAnsi="Arial"/>
                <w:sz w:val="16"/>
                <w:szCs w:val="16"/>
                <w:color w:val="auto"/>
              </w:rPr>
              <w:t>Pretax segment operating income</w:t>
            </w:r>
          </w:p>
        </w:tc>
        <w:tc>
          <w:tcPr>
            <w:tcW w:w="140" w:type="dxa"/>
            <w:vAlign w:val="bottom"/>
            <w:tcBorders>
              <w:top w:val="single" w:sz="8" w:color="CFF0FC"/>
            </w:tcBorders>
          </w:tcPr>
          <w:p>
            <w:pPr>
              <w:spacing w:after="0"/>
              <w:rPr>
                <w:sz w:val="18"/>
                <w:szCs w:val="18"/>
                <w:color w:val="auto"/>
              </w:rPr>
            </w:pPr>
          </w:p>
        </w:tc>
        <w:tc>
          <w:tcPr>
            <w:tcW w:w="92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6,523</w:t>
            </w: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92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12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4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Goodwill and intangible assets</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17,323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6"/>
                <w:szCs w:val="16"/>
                <w:color w:val="auto"/>
              </w:rPr>
              <w:t>Cash and short-term investments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3,989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All other assets</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4,944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(729 )</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(489 )</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Charges &amp; credits </w:t>
            </w:r>
            <w:r>
              <w:rPr>
                <w:rFonts w:ascii="Arial" w:cs="Arial" w:eastAsia="Arial" w:hAnsi="Arial"/>
                <w:sz w:val="21"/>
                <w:szCs w:val="21"/>
                <w:color w:val="auto"/>
                <w:vertAlign w:val="superscript"/>
              </w:rPr>
              <w:t>(4)</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(110 )</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9"/>
        </w:trPr>
        <w:tc>
          <w:tcPr>
            <w:tcW w:w="45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33,135</w:t>
            </w: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5,282</w:t>
            </w: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47,957</w:t>
            </w: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2,312</w:t>
            </w: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2,599</w:t>
            </w:r>
          </w:p>
        </w:tc>
        <w:tc>
          <w:tcPr>
            <w:tcW w:w="100" w:type="dxa"/>
            <w:vAlign w:val="bottom"/>
            <w:tcBorders>
              <w:top w:val="single" w:sz="8" w:color="CFF0FC"/>
            </w:tcBorders>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10"/>
        </w:trPr>
        <w:tc>
          <w:tcPr>
            <w:tcW w:w="4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gridSpan w:val="4"/>
          </w:tcPr>
          <w:p>
            <w:pPr>
              <w:ind w:left="160"/>
              <w:spacing w:after="0"/>
              <w:rPr>
                <w:sz w:val="20"/>
                <w:szCs w:val="20"/>
                <w:color w:val="auto"/>
              </w:rPr>
            </w:pPr>
            <w:r>
              <w:rPr>
                <w:rFonts w:ascii="Arial" w:cs="Arial" w:eastAsia="Arial" w:hAnsi="Arial"/>
                <w:sz w:val="14"/>
                <w:szCs w:val="14"/>
                <w:i w:val="1"/>
                <w:iCs w:val="1"/>
                <w:color w:val="auto"/>
              </w:rPr>
              <w:t>(Stated in millions)</w:t>
            </w:r>
          </w:p>
        </w:tc>
      </w:tr>
      <w:tr>
        <w:trPr>
          <w:trHeight w:val="439"/>
        </w:trPr>
        <w:tc>
          <w:tcPr>
            <w:tcW w:w="45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2022</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color w:val="auto"/>
              </w:rPr>
              <w:t>Pretax</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color w:val="auto"/>
              </w:rPr>
              <w:t>and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rPr>
              <w:t>Capital</w:t>
            </w:r>
          </w:p>
        </w:tc>
      </w:tr>
      <w:tr>
        <w:trPr>
          <w:trHeight w:val="217"/>
        </w:trPr>
        <w:tc>
          <w:tcPr>
            <w:tcW w:w="4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Revenue</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w w:val="99"/>
              </w:rPr>
              <w:t>Income</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Assets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Amortization</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Investments</w:t>
            </w:r>
          </w:p>
        </w:tc>
        <w:tc>
          <w:tcPr>
            <w:tcW w:w="100" w:type="dxa"/>
            <w:vAlign w:val="bottom"/>
          </w:tcPr>
          <w:p>
            <w:pPr>
              <w:spacing w:after="0"/>
              <w:rPr>
                <w:sz w:val="18"/>
                <w:szCs w:val="18"/>
                <w:color w:val="auto"/>
              </w:rPr>
            </w:pPr>
          </w:p>
        </w:tc>
      </w:tr>
      <w:tr>
        <w:trPr>
          <w:trHeight w:val="210"/>
        </w:trPr>
        <w:tc>
          <w:tcPr>
            <w:tcW w:w="4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3,725</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689</w:t>
            </w:r>
          </w:p>
        </w:tc>
        <w:tc>
          <w:tcPr>
            <w:tcW w:w="100" w:type="dxa"/>
            <w:vAlign w:val="bottom"/>
            <w:shd w:val="clear" w:color="auto" w:fill="CFF0FC"/>
          </w:tcPr>
          <w:p>
            <w:pPr>
              <w:spacing w:after="0"/>
              <w:rPr>
                <w:sz w:val="18"/>
                <w:szCs w:val="18"/>
                <w:color w:val="auto"/>
              </w:rPr>
            </w:pPr>
          </w:p>
        </w:tc>
      </w:tr>
      <w:tr>
        <w:trPr>
          <w:trHeight w:val="215"/>
        </w:trPr>
        <w:tc>
          <w:tcPr>
            <w:tcW w:w="450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5,553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478</w:t>
            </w:r>
          </w:p>
        </w:tc>
        <w:tc>
          <w:tcPr>
            <w:tcW w:w="100" w:type="dxa"/>
            <w:vAlign w:val="bottom"/>
          </w:tcPr>
          <w:p>
            <w:pPr>
              <w:spacing w:after="0"/>
              <w:rPr>
                <w:sz w:val="18"/>
                <w:szCs w:val="18"/>
                <w:color w:val="auto"/>
              </w:rPr>
            </w:pPr>
          </w:p>
        </w:tc>
      </w:tr>
      <w:tr>
        <w:trPr>
          <w:trHeight w:val="217"/>
        </w:trPr>
        <w:tc>
          <w:tcPr>
            <w:tcW w:w="4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11,397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687</w:t>
            </w:r>
          </w:p>
        </w:tc>
        <w:tc>
          <w:tcPr>
            <w:tcW w:w="100" w:type="dxa"/>
            <w:vAlign w:val="bottom"/>
            <w:shd w:val="clear" w:color="auto" w:fill="CFF0FC"/>
          </w:tcPr>
          <w:p>
            <w:pPr>
              <w:spacing w:after="0"/>
              <w:rPr>
                <w:sz w:val="18"/>
                <w:szCs w:val="18"/>
                <w:color w:val="auto"/>
              </w:rPr>
            </w:pPr>
          </w:p>
        </w:tc>
      </w:tr>
      <w:tr>
        <w:trPr>
          <w:trHeight w:val="215"/>
        </w:trPr>
        <w:tc>
          <w:tcPr>
            <w:tcW w:w="450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7,862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5,603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8"/>
                <w:szCs w:val="18"/>
                <w:color w:val="auto"/>
              </w:rPr>
            </w:pPr>
          </w:p>
        </w:tc>
      </w:tr>
      <w:tr>
        <w:trPr>
          <w:trHeight w:val="217"/>
        </w:trPr>
        <w:tc>
          <w:tcPr>
            <w:tcW w:w="4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(446 )</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(177 )</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FF0FC"/>
          </w:tcPr>
          <w:p>
            <w:pPr>
              <w:spacing w:after="0"/>
              <w:rPr>
                <w:sz w:val="18"/>
                <w:szCs w:val="18"/>
                <w:color w:val="auto"/>
              </w:rPr>
            </w:pPr>
          </w:p>
        </w:tc>
      </w:tr>
      <w:tr>
        <w:trPr>
          <w:trHeight w:val="209"/>
        </w:trPr>
        <w:tc>
          <w:tcPr>
            <w:tcW w:w="4500" w:type="dxa"/>
            <w:vAlign w:val="bottom"/>
            <w:tcBorders>
              <w:top w:val="single" w:sz="8" w:color="CFF0FC"/>
            </w:tcBorders>
          </w:tcPr>
          <w:p>
            <w:pPr>
              <w:ind w:left="200"/>
              <w:spacing w:after="0"/>
              <w:rPr>
                <w:sz w:val="20"/>
                <w:szCs w:val="20"/>
                <w:color w:val="auto"/>
              </w:rPr>
            </w:pPr>
            <w:r>
              <w:rPr>
                <w:rFonts w:ascii="Arial" w:cs="Arial" w:eastAsia="Arial" w:hAnsi="Arial"/>
                <w:sz w:val="16"/>
                <w:szCs w:val="16"/>
                <w:color w:val="auto"/>
              </w:rPr>
              <w:t>Pretax segment operating income</w:t>
            </w:r>
          </w:p>
        </w:tc>
        <w:tc>
          <w:tcPr>
            <w:tcW w:w="140" w:type="dxa"/>
            <w:vAlign w:val="bottom"/>
            <w:tcBorders>
              <w:top w:val="single" w:sz="8" w:color="CFF0FC"/>
            </w:tcBorders>
          </w:tcPr>
          <w:p>
            <w:pPr>
              <w:spacing w:after="0"/>
              <w:rPr>
                <w:sz w:val="18"/>
                <w:szCs w:val="18"/>
                <w:color w:val="auto"/>
              </w:rPr>
            </w:pPr>
          </w:p>
        </w:tc>
        <w:tc>
          <w:tcPr>
            <w:tcW w:w="92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5,011</w:t>
            </w: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92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12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7"/>
        </w:trPr>
        <w:tc>
          <w:tcPr>
            <w:tcW w:w="4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Goodwill and intangible assets</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15,974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4500" w:type="dxa"/>
            <w:vAlign w:val="bottom"/>
          </w:tcPr>
          <w:p>
            <w:pPr>
              <w:ind w:left="20"/>
              <w:spacing w:after="0"/>
              <w:rPr>
                <w:sz w:val="20"/>
                <w:szCs w:val="20"/>
                <w:color w:val="auto"/>
              </w:rPr>
            </w:pPr>
            <w:r>
              <w:rPr>
                <w:rFonts w:ascii="Arial" w:cs="Arial" w:eastAsia="Arial" w:hAnsi="Arial"/>
                <w:sz w:val="16"/>
                <w:szCs w:val="16"/>
                <w:color w:val="auto"/>
              </w:rPr>
              <w:t>Cash and short-term investments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2,897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4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All other assets</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4,463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(637 )</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(477 )</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Borders>
              <w:bottom w:val="single" w:sz="8" w:color="CFF0FC"/>
            </w:tcBorders>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Charges &amp; credits </w:t>
            </w:r>
            <w:r>
              <w:rPr>
                <w:rFonts w:ascii="Arial" w:cs="Arial" w:eastAsia="Arial" w:hAnsi="Arial"/>
                <w:sz w:val="21"/>
                <w:szCs w:val="21"/>
                <w:color w:val="auto"/>
                <w:vertAlign w:val="superscript"/>
              </w:rPr>
              <w:t>(4)</w:t>
            </w: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347</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5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28,091</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4,271</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43,135</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2,147</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2,302</w:t>
            </w:r>
          </w:p>
        </w:tc>
        <w:tc>
          <w:tcPr>
            <w:tcW w:w="10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03"/>
        </w:trPr>
        <w:tc>
          <w:tcPr>
            <w:tcW w:w="4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48</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43"/>
        </w:trPr>
        <w:tc>
          <w:tcPr>
            <w:tcW w:w="4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-5417185</wp:posOffset>
            </wp:positionV>
            <wp:extent cx="768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-4311015</wp:posOffset>
            </wp:positionV>
            <wp:extent cx="768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-4311015</wp:posOffset>
            </wp:positionV>
            <wp:extent cx="768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-4311015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-4311015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-4311015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-2219325</wp:posOffset>
            </wp:positionV>
            <wp:extent cx="768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-1113790</wp:posOffset>
            </wp:positionV>
            <wp:extent cx="7683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-1113790</wp:posOffset>
            </wp:positionV>
            <wp:extent cx="7683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-1113790</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-1113790</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88"/>
        </w:trPr>
        <w:tc>
          <w:tcPr>
            <w:tcW w:w="4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60" w:type="dxa"/>
            <w:vAlign w:val="bottom"/>
            <w:gridSpan w:val="4"/>
          </w:tcPr>
          <w:p>
            <w:pPr>
              <w:ind w:left="160"/>
              <w:spacing w:after="0"/>
              <w:rPr>
                <w:sz w:val="20"/>
                <w:szCs w:val="20"/>
                <w:color w:val="auto"/>
              </w:rPr>
            </w:pPr>
            <w:r>
              <w:rPr>
                <w:rFonts w:ascii="Arial" w:cs="Arial" w:eastAsia="Arial" w:hAnsi="Arial"/>
                <w:sz w:val="14"/>
                <w:szCs w:val="14"/>
                <w:i w:val="1"/>
                <w:iCs w:val="1"/>
                <w:color w:val="auto"/>
              </w:rPr>
              <w:t>(Stated in millions)</w:t>
            </w:r>
          </w:p>
        </w:tc>
      </w:tr>
      <w:tr>
        <w:trPr>
          <w:trHeight w:val="439"/>
        </w:trPr>
        <w:tc>
          <w:tcPr>
            <w:tcW w:w="4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2021</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4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6"/>
                <w:szCs w:val="16"/>
                <w:color w:val="auto"/>
              </w:rPr>
              <w:t>Pretax</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color w:val="auto"/>
              </w:rPr>
              <w:t>and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Arial" w:cs="Arial" w:eastAsia="Arial" w:hAnsi="Arial"/>
                <w:sz w:val="16"/>
                <w:szCs w:val="16"/>
                <w:color w:val="auto"/>
              </w:rPr>
              <w:t>Capital</w:t>
            </w:r>
          </w:p>
        </w:tc>
      </w:tr>
      <w:tr>
        <w:trPr>
          <w:trHeight w:val="217"/>
        </w:trPr>
        <w:tc>
          <w:tcPr>
            <w:tcW w:w="4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Revenue</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Income</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Assets</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Amortization</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9"/>
              </w:rPr>
              <w:t>Investments</w:t>
            </w:r>
          </w:p>
        </w:tc>
        <w:tc>
          <w:tcPr>
            <w:tcW w:w="100" w:type="dxa"/>
            <w:vAlign w:val="bottom"/>
          </w:tcPr>
          <w:p>
            <w:pPr>
              <w:spacing w:after="0"/>
              <w:rPr>
                <w:sz w:val="18"/>
                <w:szCs w:val="18"/>
                <w:color w:val="auto"/>
              </w:rPr>
            </w:pPr>
          </w:p>
        </w:tc>
      </w:tr>
      <w:tr>
        <w:trPr>
          <w:trHeight w:val="211"/>
        </w:trPr>
        <w:tc>
          <w:tcPr>
            <w:tcW w:w="4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3,134</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446</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516</w:t>
            </w:r>
          </w:p>
        </w:tc>
        <w:tc>
          <w:tcPr>
            <w:tcW w:w="100" w:type="dxa"/>
            <w:vAlign w:val="bottom"/>
            <w:shd w:val="clear" w:color="auto" w:fill="CFF0FC"/>
          </w:tcPr>
          <w:p>
            <w:pPr>
              <w:spacing w:after="0"/>
              <w:rPr>
                <w:sz w:val="18"/>
                <w:szCs w:val="18"/>
                <w:color w:val="auto"/>
              </w:rPr>
            </w:pPr>
          </w:p>
        </w:tc>
      </w:tr>
      <w:tr>
        <w:trPr>
          <w:trHeight w:val="215"/>
        </w:trPr>
        <w:tc>
          <w:tcPr>
            <w:tcW w:w="450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4,599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8"/>
                <w:szCs w:val="18"/>
                <w:color w:val="auto"/>
              </w:rPr>
            </w:pPr>
          </w:p>
        </w:tc>
      </w:tr>
      <w:tr>
        <w:trPr>
          <w:trHeight w:val="217"/>
        </w:trPr>
        <w:tc>
          <w:tcPr>
            <w:tcW w:w="4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8,706</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FF0FC"/>
          </w:tcPr>
          <w:p>
            <w:pPr>
              <w:spacing w:after="0"/>
              <w:rPr>
                <w:sz w:val="18"/>
                <w:szCs w:val="18"/>
                <w:color w:val="auto"/>
              </w:rPr>
            </w:pPr>
          </w:p>
        </w:tc>
      </w:tr>
      <w:tr>
        <w:trPr>
          <w:trHeight w:val="215"/>
        </w:trPr>
        <w:tc>
          <w:tcPr>
            <w:tcW w:w="450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6,710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4,684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8"/>
                <w:szCs w:val="18"/>
                <w:color w:val="auto"/>
              </w:rPr>
            </w:pPr>
          </w:p>
        </w:tc>
      </w:tr>
      <w:tr>
        <w:trPr>
          <w:trHeight w:val="217"/>
        </w:trPr>
        <w:tc>
          <w:tcPr>
            <w:tcW w:w="4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(376 )</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(253 )</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FF0FC"/>
          </w:tcPr>
          <w:p>
            <w:pPr>
              <w:spacing w:after="0"/>
              <w:rPr>
                <w:sz w:val="18"/>
                <w:szCs w:val="18"/>
                <w:color w:val="auto"/>
              </w:rPr>
            </w:pPr>
          </w:p>
        </w:tc>
      </w:tr>
      <w:tr>
        <w:trPr>
          <w:trHeight w:val="209"/>
        </w:trPr>
        <w:tc>
          <w:tcPr>
            <w:tcW w:w="4500" w:type="dxa"/>
            <w:vAlign w:val="bottom"/>
            <w:tcBorders>
              <w:top w:val="single" w:sz="8" w:color="CFF0FC"/>
            </w:tcBorders>
          </w:tcPr>
          <w:p>
            <w:pPr>
              <w:ind w:left="200"/>
              <w:spacing w:after="0"/>
              <w:rPr>
                <w:sz w:val="20"/>
                <w:szCs w:val="20"/>
                <w:color w:val="auto"/>
              </w:rPr>
            </w:pPr>
            <w:r>
              <w:rPr>
                <w:rFonts w:ascii="Arial" w:cs="Arial" w:eastAsia="Arial" w:hAnsi="Arial"/>
                <w:sz w:val="16"/>
                <w:szCs w:val="16"/>
                <w:color w:val="auto"/>
              </w:rPr>
              <w:t>Pretax segment operating income</w:t>
            </w:r>
          </w:p>
        </w:tc>
        <w:tc>
          <w:tcPr>
            <w:tcW w:w="160" w:type="dxa"/>
            <w:vAlign w:val="bottom"/>
            <w:tcBorders>
              <w:top w:val="single" w:sz="8" w:color="CFF0FC"/>
            </w:tcBorders>
          </w:tcPr>
          <w:p>
            <w:pPr>
              <w:spacing w:after="0"/>
              <w:rPr>
                <w:sz w:val="18"/>
                <w:szCs w:val="18"/>
                <w:color w:val="auto"/>
              </w:rPr>
            </w:pPr>
          </w:p>
        </w:tc>
        <w:tc>
          <w:tcPr>
            <w:tcW w:w="90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3,365</w:t>
            </w: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92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7"/>
        </w:trPr>
        <w:tc>
          <w:tcPr>
            <w:tcW w:w="4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Goodwill and intangible assets</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16,201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4500" w:type="dxa"/>
            <w:vAlign w:val="bottom"/>
          </w:tcPr>
          <w:p>
            <w:pPr>
              <w:ind w:left="20"/>
              <w:spacing w:after="0"/>
              <w:rPr>
                <w:sz w:val="20"/>
                <w:szCs w:val="20"/>
                <w:color w:val="auto"/>
              </w:rPr>
            </w:pPr>
            <w:r>
              <w:rPr>
                <w:rFonts w:ascii="Arial" w:cs="Arial" w:eastAsia="Arial" w:hAnsi="Arial"/>
                <w:sz w:val="16"/>
                <w:szCs w:val="16"/>
                <w:color w:val="auto"/>
              </w:rPr>
              <w:t>Cash and short-term investments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4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All other assets</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5,215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(573 )</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(514 )</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Borders>
              <w:bottom w:val="single" w:sz="8" w:color="CFF0FC"/>
            </w:tcBorders>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Charges &amp; credits </w:t>
            </w:r>
            <w:r>
              <w:rPr>
                <w:rFonts w:ascii="Arial" w:cs="Arial" w:eastAsia="Arial" w:hAnsi="Arial"/>
                <w:sz w:val="21"/>
                <w:szCs w:val="21"/>
                <w:color w:val="auto"/>
                <w:vertAlign w:val="superscript"/>
              </w:rPr>
              <w:t>(4)</w:t>
            </w: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5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22,929</w:t>
            </w:r>
          </w:p>
        </w:tc>
        <w:tc>
          <w:tcPr>
            <w:tcW w:w="2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2,374</w:t>
            </w:r>
          </w:p>
        </w:tc>
        <w:tc>
          <w:tcPr>
            <w:tcW w:w="22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41,511</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2,120</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1,654</w:t>
            </w:r>
          </w:p>
        </w:tc>
        <w:tc>
          <w:tcPr>
            <w:tcW w:w="10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-1276350</wp:posOffset>
            </wp:positionV>
            <wp:extent cx="768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-170815</wp:posOffset>
            </wp:positionV>
            <wp:extent cx="768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768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-170815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-170815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ind w:left="380" w:right="520" w:hanging="372"/>
        <w:spacing w:after="0" w:line="285" w:lineRule="auto"/>
        <w:tabs>
          <w:tab w:leader="none" w:pos="380" w:val="left"/>
        </w:tabs>
        <w:numPr>
          <w:ilvl w:val="0"/>
          <w:numId w:val="50"/>
        </w:numPr>
        <w:rPr>
          <w:rFonts w:ascii="Arial" w:cs="Arial" w:eastAsia="Arial" w:hAnsi="Arial"/>
          <w:sz w:val="11"/>
          <w:szCs w:val="11"/>
          <w:color w:val="auto"/>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49" w:lineRule="exact"/>
        <w:rPr>
          <w:rFonts w:ascii="Arial" w:cs="Arial" w:eastAsia="Arial" w:hAnsi="Arial"/>
          <w:sz w:val="11"/>
          <w:szCs w:val="11"/>
          <w:color w:val="auto"/>
        </w:rPr>
      </w:pPr>
    </w:p>
    <w:p>
      <w:pPr>
        <w:ind w:left="380" w:hanging="372"/>
        <w:spacing w:after="0"/>
        <w:tabs>
          <w:tab w:leader="none" w:pos="380" w:val="left"/>
        </w:tabs>
        <w:numPr>
          <w:ilvl w:val="0"/>
          <w:numId w:val="50"/>
        </w:numPr>
        <w:rPr>
          <w:rFonts w:ascii="Arial" w:cs="Arial" w:eastAsia="Arial" w:hAnsi="Arial"/>
          <w:sz w:val="11"/>
          <w:szCs w:val="11"/>
          <w:color w:val="auto"/>
        </w:rPr>
      </w:pPr>
      <w:r>
        <w:rPr>
          <w:rFonts w:ascii="Arial" w:cs="Arial" w:eastAsia="Arial" w:hAnsi="Arial"/>
          <w:sz w:val="14"/>
          <w:szCs w:val="14"/>
          <w:color w:val="auto"/>
        </w:rPr>
        <w:t>Interest income excludes amounts which are included in the segments’ income (2023: $12 million; 2022: $72 million; 2021: $2 million).</w:t>
      </w:r>
    </w:p>
    <w:p>
      <w:pPr>
        <w:spacing w:after="0" w:line="109" w:lineRule="exact"/>
        <w:rPr>
          <w:rFonts w:ascii="Arial" w:cs="Arial" w:eastAsia="Arial" w:hAnsi="Arial"/>
          <w:sz w:val="11"/>
          <w:szCs w:val="11"/>
          <w:color w:val="auto"/>
        </w:rPr>
      </w:pPr>
    </w:p>
    <w:p>
      <w:pPr>
        <w:ind w:left="380" w:hanging="372"/>
        <w:spacing w:after="0" w:line="285" w:lineRule="auto"/>
        <w:tabs>
          <w:tab w:leader="none" w:pos="380" w:val="left"/>
        </w:tabs>
        <w:numPr>
          <w:ilvl w:val="0"/>
          <w:numId w:val="50"/>
        </w:numPr>
        <w:rPr>
          <w:rFonts w:ascii="Arial" w:cs="Arial" w:eastAsia="Arial" w:hAnsi="Arial"/>
          <w:sz w:val="11"/>
          <w:szCs w:val="11"/>
          <w:color w:val="auto"/>
        </w:rPr>
      </w:pPr>
      <w:r>
        <w:rPr>
          <w:rFonts w:ascii="Arial" w:cs="Arial" w:eastAsia="Arial" w:hAnsi="Arial"/>
          <w:sz w:val="14"/>
          <w:szCs w:val="14"/>
          <w:color w:val="auto"/>
        </w:rPr>
        <w:t>Interest expense excludes amounts which are included in the segments’ income (2023: $14 million; 2022: $13 million; 2021: $15 million) and $10 million interest expense included in Charges and credits in 2021.</w:t>
      </w:r>
    </w:p>
    <w:p>
      <w:pPr>
        <w:spacing w:after="0" w:line="49" w:lineRule="exact"/>
        <w:rPr>
          <w:rFonts w:ascii="Arial" w:cs="Arial" w:eastAsia="Arial" w:hAnsi="Arial"/>
          <w:sz w:val="11"/>
          <w:szCs w:val="11"/>
          <w:color w:val="auto"/>
        </w:rPr>
      </w:pPr>
    </w:p>
    <w:p>
      <w:pPr>
        <w:ind w:left="380" w:hanging="372"/>
        <w:spacing w:after="0"/>
        <w:tabs>
          <w:tab w:leader="none" w:pos="380" w:val="left"/>
        </w:tabs>
        <w:numPr>
          <w:ilvl w:val="0"/>
          <w:numId w:val="50"/>
        </w:numPr>
        <w:rPr>
          <w:rFonts w:ascii="Arial" w:cs="Arial" w:eastAsia="Arial" w:hAnsi="Arial"/>
          <w:sz w:val="11"/>
          <w:szCs w:val="11"/>
          <w:color w:val="auto"/>
        </w:rPr>
      </w:pPr>
      <w:r>
        <w:rPr>
          <w:rFonts w:ascii="Arial" w:cs="Arial" w:eastAsia="Arial" w:hAnsi="Arial"/>
          <w:sz w:val="14"/>
          <w:szCs w:val="14"/>
          <w:color w:val="auto"/>
        </w:rPr>
        <w:t xml:space="preserve">See Note 3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Segment assets consist of receivables, inventories, fixed assets, exploration data, and APS investments.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Capital investments includes capital expenditures, APS investments, and exploration data cost capitalized.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includes depreciation of fixed assets and amortization of intangible assets, exploration data costs, and APS investments.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by geographic area for the years ended December 31, 2023, 2022, and 2021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i w:val="1"/>
                <w:iCs w:val="1"/>
                <w:color w:val="auto"/>
              </w:rPr>
              <w:t>(Stated in millions)</w:t>
            </w:r>
          </w:p>
        </w:tc>
      </w:tr>
      <w:tr>
        <w:trPr>
          <w:trHeight w:val="440"/>
        </w:trPr>
        <w:tc>
          <w:tcPr>
            <w:tcW w:w="6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2022</w:t>
            </w: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4"/>
                <w:szCs w:val="24"/>
                <w:color w:val="auto"/>
              </w:rPr>
            </w:pPr>
          </w:p>
        </w:tc>
      </w:tr>
      <w:tr>
        <w:trPr>
          <w:trHeight w:val="210"/>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North America</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6,727</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5,995</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4,466</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6"/>
                <w:szCs w:val="16"/>
                <w:color w:val="auto"/>
              </w:rPr>
              <w:t>Latin America</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6,645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5,661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4,459</w:t>
            </w: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Europe &amp; Africa *</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8,524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7,201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5,778</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6"/>
                <w:szCs w:val="16"/>
                <w:color w:val="auto"/>
              </w:rPr>
              <w:t>Middle East &amp; Asia</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11,019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9,033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8,059</w:t>
            </w:r>
          </w:p>
        </w:tc>
        <w:tc>
          <w:tcPr>
            <w:tcW w:w="100" w:type="dxa"/>
            <w:vAlign w:val="bottom"/>
          </w:tcPr>
          <w:p>
            <w:pPr>
              <w:spacing w:after="0"/>
              <w:rPr>
                <w:sz w:val="18"/>
                <w:szCs w:val="18"/>
                <w:color w:val="auto"/>
              </w:rPr>
            </w:pPr>
          </w:p>
        </w:tc>
      </w:tr>
      <w:tr>
        <w:trPr>
          <w:trHeight w:val="216"/>
        </w:trPr>
        <w:tc>
          <w:tcPr>
            <w:tcW w:w="6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220</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201</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6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33,135</w:t>
            </w: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28,091</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22,929</w:t>
            </w:r>
          </w:p>
        </w:tc>
        <w:tc>
          <w:tcPr>
            <w:tcW w:w="100" w:type="dxa"/>
            <w:vAlign w:val="bottom"/>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-170815</wp:posOffset>
            </wp:positionV>
            <wp:extent cx="7747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 Includes Russia and the Caspian region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Revenue is based on the location where services are provided and products are sold.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During each of the three years ended December 31, 2023, 2022, and 2021, no single customer exceeded 10% of consolidated revenue.</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SLB did not have revenue from third-party customers in its country of domicile during the last three years. Revenue in the United States in 2023, 2022, and 2021 was $5.4 billion, $4.6 billion, and $3.4 billion, respectively.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North America and International revenue disaggregated by segment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40"/>
        </w:trPr>
        <w:tc>
          <w:tcPr>
            <w:tcW w:w="57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740" w:type="dxa"/>
            <w:vAlign w:val="bottom"/>
          </w:tcPr>
          <w:p>
            <w:pPr>
              <w:spacing w:after="0"/>
              <w:rPr>
                <w:sz w:val="18"/>
                <w:szCs w:val="18"/>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North America</w:t>
            </w:r>
          </w:p>
        </w:tc>
        <w:tc>
          <w:tcPr>
            <w:tcW w:w="260" w:type="dxa"/>
            <w:vAlign w:val="bottom"/>
          </w:tcPr>
          <w:p>
            <w:pPr>
              <w:spacing w:after="0"/>
              <w:rPr>
                <w:sz w:val="18"/>
                <w:szCs w:val="18"/>
                <w:color w:val="auto"/>
              </w:rPr>
            </w:pPr>
          </w:p>
        </w:tc>
        <w:tc>
          <w:tcPr>
            <w:tcW w:w="11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International</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Other</w:t>
            </w: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4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984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2,881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6</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3,871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498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6,057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4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2,709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10,530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239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13,478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2,598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7,219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9,831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4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(62 )</w:t>
            </w:r>
          </w:p>
        </w:tc>
        <w:tc>
          <w:tcPr>
            <w:tcW w:w="12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(499 )</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(45 )</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(606 )</w:t>
            </w:r>
          </w:p>
        </w:tc>
        <w:tc>
          <w:tcPr>
            <w:tcW w:w="0" w:type="dxa"/>
            <w:vAlign w:val="bottom"/>
          </w:tcPr>
          <w:p>
            <w:pPr>
              <w:spacing w:after="0"/>
              <w:rPr>
                <w:sz w:val="1"/>
                <w:szCs w:val="1"/>
                <w:color w:val="auto"/>
              </w:rPr>
            </w:pPr>
          </w:p>
        </w:tc>
      </w:tr>
      <w:tr>
        <w:trPr>
          <w:trHeight w:val="209"/>
        </w:trPr>
        <w:tc>
          <w:tcPr>
            <w:tcW w:w="5740" w:type="dxa"/>
            <w:vAlign w:val="bottom"/>
            <w:tcBorders>
              <w:top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6,727</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26,188</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220</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33,135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5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26"/>
        </w:trPr>
        <w:tc>
          <w:tcPr>
            <w:tcW w:w="57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color w:val="auto"/>
              </w:rPr>
              <w:t>2022</w:t>
            </w: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740" w:type="dxa"/>
            <w:vAlign w:val="bottom"/>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North America</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International</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2,651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4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5,091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4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8,875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211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4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2,176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5,675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4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(16 )</w:t>
            </w:r>
          </w:p>
        </w:tc>
        <w:tc>
          <w:tcPr>
            <w:tcW w:w="12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(397 )</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(33 )</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(446 )</w:t>
            </w:r>
          </w:p>
        </w:tc>
        <w:tc>
          <w:tcPr>
            <w:tcW w:w="0" w:type="dxa"/>
            <w:vAlign w:val="bottom"/>
          </w:tcPr>
          <w:p>
            <w:pPr>
              <w:spacing w:after="0"/>
              <w:rPr>
                <w:sz w:val="1"/>
                <w:szCs w:val="1"/>
                <w:color w:val="auto"/>
              </w:rPr>
            </w:pPr>
          </w:p>
        </w:tc>
      </w:tr>
      <w:tr>
        <w:trPr>
          <w:trHeight w:val="209"/>
        </w:trPr>
        <w:tc>
          <w:tcPr>
            <w:tcW w:w="5740" w:type="dxa"/>
            <w:vAlign w:val="bottom"/>
            <w:tcBorders>
              <w:top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5,995</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21,895</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201</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28,091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25"/>
        </w:trPr>
        <w:tc>
          <w:tcPr>
            <w:tcW w:w="57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color w:val="auto"/>
              </w:rPr>
              <w:t>2021</w:t>
            </w: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740" w:type="dxa"/>
            <w:vAlign w:val="bottom"/>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North America</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International</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2,474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4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4,266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4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7,025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4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1,832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4,865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4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(334 )</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(50 )</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(376 )</w:t>
            </w:r>
          </w:p>
        </w:tc>
        <w:tc>
          <w:tcPr>
            <w:tcW w:w="0" w:type="dxa"/>
            <w:vAlign w:val="bottom"/>
          </w:tcPr>
          <w:p>
            <w:pPr>
              <w:spacing w:after="0"/>
              <w:rPr>
                <w:sz w:val="1"/>
                <w:szCs w:val="1"/>
                <w:color w:val="auto"/>
              </w:rPr>
            </w:pPr>
          </w:p>
        </w:tc>
      </w:tr>
      <w:tr>
        <w:trPr>
          <w:trHeight w:val="208"/>
        </w:trPr>
        <w:tc>
          <w:tcPr>
            <w:tcW w:w="5740" w:type="dxa"/>
            <w:vAlign w:val="bottom"/>
            <w:tcBorders>
              <w:top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4,466</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18,296</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167</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22,929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6"/>
                <w:szCs w:val="16"/>
                <w:i w:val="1"/>
                <w:iCs w:val="1"/>
                <w:color w:val="auto"/>
              </w:rPr>
              <w:t xml:space="preserve">Fixed Assets less accumulated depreciation </w:t>
            </w:r>
            <w:r>
              <w:rPr>
                <w:rFonts w:ascii="Arial" w:cs="Arial" w:eastAsia="Arial" w:hAnsi="Arial"/>
                <w:sz w:val="16"/>
                <w:szCs w:val="16"/>
                <w:color w:val="auto"/>
              </w:rPr>
              <w:t>by geographic area was as follows:</w:t>
            </w: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7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40"/>
        </w:trPr>
        <w:tc>
          <w:tcPr>
            <w:tcW w:w="5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North America</w:t>
            </w:r>
          </w:p>
        </w:tc>
        <w:tc>
          <w:tcPr>
            <w:tcW w:w="4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519"/>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1,469</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6"/>
                <w:szCs w:val="16"/>
                <w:color w:val="auto"/>
              </w:rPr>
              <w:t>Latin America</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1,071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Europe &amp; Africa</w:t>
            </w:r>
          </w:p>
        </w:tc>
        <w:tc>
          <w:tcPr>
            <w:tcW w:w="4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1,724</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6"/>
                <w:szCs w:val="16"/>
                <w:color w:val="auto"/>
              </w:rPr>
              <w:t>Middle East &amp; Asia</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2,468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Unallocated</w:t>
            </w:r>
          </w:p>
        </w:tc>
        <w:tc>
          <w:tcPr>
            <w:tcW w:w="44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508</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1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7,240</w:t>
            </w:r>
          </w:p>
        </w:tc>
        <w:tc>
          <w:tcPr>
            <w:tcW w:w="16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ind w:left="5540"/>
              <w:spacing w:after="0"/>
              <w:rPr>
                <w:sz w:val="20"/>
                <w:szCs w:val="20"/>
                <w:color w:val="auto"/>
              </w:rPr>
            </w:pPr>
            <w:r>
              <w:rPr>
                <w:rFonts w:ascii="Arial" w:cs="Arial" w:eastAsia="Arial" w:hAnsi="Arial"/>
                <w:sz w:val="16"/>
                <w:szCs w:val="16"/>
                <w:color w:val="auto"/>
              </w:rPr>
              <w:t>50</w:t>
            </w: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9"/>
        </w:trPr>
        <w:tc>
          <w:tcPr>
            <w:tcW w:w="57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4"/>
        </w:trPr>
        <w:tc>
          <w:tcPr>
            <w:tcW w:w="57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-5836920</wp:posOffset>
            </wp:positionV>
            <wp:extent cx="768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-5836920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-5836920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-5836920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-4311015</wp:posOffset>
            </wp:positionV>
            <wp:extent cx="768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-4311015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-4311015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-4311015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-2785110</wp:posOffset>
            </wp:positionV>
            <wp:extent cx="7683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-2785110</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-2785110</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-2785110</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-1130935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50" w:name="page51"/>
    <w:bookmarkEnd w:id="50"/>
    <w:p>
      <w:pPr>
        <w:ind w:left="320" w:hanging="312"/>
        <w:spacing w:after="0"/>
        <w:tabs>
          <w:tab w:leader="none" w:pos="32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Pension and Other Postretirement Benefit Plans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Pension Plans</w:t>
      </w:r>
    </w:p>
    <w:p>
      <w:pPr>
        <w:spacing w:after="0" w:line="111"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SLB sponsors several defined benefit pension plans that cover substantially all US employees hired prior to October 1, 2004. The benefits are based on years of service and compensation, on a career-average pay basis.</w:t>
      </w:r>
    </w:p>
    <w:p>
      <w:pPr>
        <w:spacing w:after="0" w:line="129" w:lineRule="exact"/>
        <w:rPr>
          <w:sz w:val="20"/>
          <w:szCs w:val="20"/>
          <w:color w:val="auto"/>
        </w:rPr>
      </w:pPr>
    </w:p>
    <w:p>
      <w:pPr>
        <w:jc w:val="both"/>
        <w:ind w:right="40"/>
        <w:spacing w:after="0" w:line="259" w:lineRule="auto"/>
        <w:rPr>
          <w:sz w:val="20"/>
          <w:szCs w:val="20"/>
          <w:color w:val="auto"/>
        </w:rPr>
      </w:pPr>
      <w:r>
        <w:rPr>
          <w:rFonts w:ascii="Arial" w:cs="Arial" w:eastAsia="Arial" w:hAnsi="Arial"/>
          <w:sz w:val="16"/>
          <w:szCs w:val="16"/>
          <w:color w:val="auto"/>
        </w:rPr>
        <w:t>In addition to the US defined benefit pension plans, SLB sponsors several other international defined benefit pension plans. The most significant of these international plans are the International Staff Pension Plan and the UK pension plan (collectively, the “International plans”). The International Staff Pension Plan covers certain international employees hired prior to July 1, 2014 and is based on years of service and compensation on a career-average pay basis. The UK plan covers employees hired prior to April 1, 1999, and is based on years of service and compensation, on a final salary basis.</w:t>
      </w:r>
    </w:p>
    <w:p>
      <w:pPr>
        <w:spacing w:after="0" w:line="151"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color w:val="auto"/>
        </w:rPr>
        <w:t>The weighted-average assumed discount rate, compensation increases and expected long-term rate of return on plan assets used to determine the net pension cost for the US and International plans were as follows: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color w:val="auto"/>
              </w:rPr>
              <w:t>US</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5"/>
          </w:tcPr>
          <w:p>
            <w:pPr>
              <w:jc w:val="right"/>
              <w:ind w:right="99"/>
              <w:spacing w:after="0"/>
              <w:rPr>
                <w:sz w:val="20"/>
                <w:szCs w:val="20"/>
                <w:color w:val="auto"/>
              </w:rPr>
            </w:pPr>
            <w:r>
              <w:rPr>
                <w:rFonts w:ascii="Arial" w:cs="Arial" w:eastAsia="Arial" w:hAnsi="Arial"/>
                <w:sz w:val="16"/>
                <w:szCs w:val="16"/>
                <w:color w:val="auto"/>
              </w:rPr>
              <w:t>International</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1"/>
        </w:trPr>
        <w:tc>
          <w:tcPr>
            <w:tcW w:w="45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2022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2022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4540" w:type="dxa"/>
            <w:vAlign w:val="bottom"/>
          </w:tcPr>
          <w:p>
            <w:pPr>
              <w:ind w:left="20"/>
              <w:spacing w:after="0"/>
              <w:rPr>
                <w:sz w:val="20"/>
                <w:szCs w:val="20"/>
                <w:color w:val="auto"/>
              </w:rPr>
            </w:pPr>
            <w:r>
              <w:rPr>
                <w:rFonts w:ascii="Arial" w:cs="Arial" w:eastAsia="Arial" w:hAnsi="Arial"/>
                <w:sz w:val="16"/>
                <w:szCs w:val="16"/>
                <w:color w:val="auto"/>
              </w:rPr>
              <w:t>Discount rate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5.50 %</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3.00 %</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2.60 %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b w:val="1"/>
                <w:bCs w:val="1"/>
                <w:color w:val="auto"/>
              </w:rPr>
              <w:t>5.41 %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2.83 %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2.38 %</w:t>
            </w:r>
          </w:p>
        </w:tc>
      </w:tr>
      <w:tr>
        <w:trPr>
          <w:trHeight w:val="216"/>
        </w:trPr>
        <w:tc>
          <w:tcPr>
            <w:tcW w:w="4540" w:type="dxa"/>
            <w:vAlign w:val="bottom"/>
          </w:tcPr>
          <w:p>
            <w:pPr>
              <w:ind w:left="20"/>
              <w:spacing w:after="0"/>
              <w:rPr>
                <w:sz w:val="20"/>
                <w:szCs w:val="20"/>
                <w:color w:val="auto"/>
              </w:rPr>
            </w:pPr>
            <w:r>
              <w:rPr>
                <w:rFonts w:ascii="Arial" w:cs="Arial" w:eastAsia="Arial" w:hAnsi="Arial"/>
                <w:sz w:val="16"/>
                <w:szCs w:val="16"/>
                <w:color w:val="auto"/>
              </w:rPr>
              <w:t>Compensation increases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4.00 %</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4.00 %</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4.00 %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b w:val="1"/>
                <w:bCs w:val="1"/>
                <w:color w:val="auto"/>
              </w:rPr>
              <w:t>4.84 %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4.83 %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4.82 %</w:t>
            </w:r>
          </w:p>
        </w:tc>
      </w:tr>
      <w:tr>
        <w:trPr>
          <w:trHeight w:val="216"/>
        </w:trPr>
        <w:tc>
          <w:tcPr>
            <w:tcW w:w="4540" w:type="dxa"/>
            <w:vAlign w:val="bottom"/>
          </w:tcPr>
          <w:p>
            <w:pPr>
              <w:ind w:left="20"/>
              <w:spacing w:after="0"/>
              <w:rPr>
                <w:sz w:val="20"/>
                <w:szCs w:val="20"/>
                <w:color w:val="auto"/>
              </w:rPr>
            </w:pPr>
            <w:r>
              <w:rPr>
                <w:rFonts w:ascii="Arial" w:cs="Arial" w:eastAsia="Arial" w:hAnsi="Arial"/>
                <w:sz w:val="16"/>
                <w:szCs w:val="16"/>
                <w:color w:val="auto"/>
              </w:rPr>
              <w:t>Return on plan assets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6.00 %</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4.40 %</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6.60 %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b w:val="1"/>
                <w:bCs w:val="1"/>
                <w:color w:val="auto"/>
              </w:rPr>
              <w:t>6.00 %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5.05 %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6.73 %</w:t>
            </w:r>
          </w:p>
        </w:tc>
      </w:tr>
      <w:tr>
        <w:trPr>
          <w:trHeight w:val="430"/>
        </w:trPr>
        <w:tc>
          <w:tcPr>
            <w:tcW w:w="4540" w:type="dxa"/>
            <w:vAlign w:val="bottom"/>
          </w:tcPr>
          <w:p>
            <w:pPr>
              <w:spacing w:after="0"/>
              <w:rPr>
                <w:sz w:val="20"/>
                <w:szCs w:val="20"/>
                <w:color w:val="auto"/>
              </w:rPr>
            </w:pPr>
            <w:r>
              <w:rPr>
                <w:rFonts w:ascii="Arial" w:cs="Arial" w:eastAsia="Arial" w:hAnsi="Arial"/>
                <w:sz w:val="16"/>
                <w:szCs w:val="16"/>
                <w:color w:val="auto"/>
              </w:rPr>
              <w:t>Net pension cost (credit) included the following components: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2"/>
        </w:trPr>
        <w:tc>
          <w:tcPr>
            <w:tcW w:w="4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8"/>
          </w:tcPr>
          <w:p>
            <w:pPr>
              <w:jc w:val="right"/>
              <w:ind w:right="160"/>
              <w:spacing w:after="0"/>
              <w:rPr>
                <w:sz w:val="20"/>
                <w:szCs w:val="20"/>
                <w:color w:val="auto"/>
              </w:rPr>
            </w:pPr>
            <w:r>
              <w:rPr>
                <w:rFonts w:ascii="Arial" w:cs="Arial" w:eastAsia="Arial" w:hAnsi="Arial"/>
                <w:sz w:val="14"/>
                <w:szCs w:val="14"/>
                <w:i w:val="1"/>
                <w:iCs w:val="1"/>
                <w:color w:val="auto"/>
              </w:rPr>
              <w:t>(Stated in millions)</w:t>
            </w:r>
          </w:p>
        </w:tc>
      </w:tr>
      <w:tr>
        <w:trPr>
          <w:trHeight w:val="425"/>
        </w:trPr>
        <w:tc>
          <w:tcPr>
            <w:tcW w:w="4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color w:val="auto"/>
              </w:rPr>
              <w:t>US</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color w:val="auto"/>
              </w:rPr>
              <w:t>International</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1"/>
        </w:trPr>
        <w:tc>
          <w:tcPr>
            <w:tcW w:w="4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2023</w:t>
            </w:r>
          </w:p>
        </w:tc>
        <w:tc>
          <w:tcPr>
            <w:tcW w:w="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2022</w:t>
            </w:r>
          </w:p>
        </w:tc>
        <w:tc>
          <w:tcPr>
            <w:tcW w:w="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2021</w:t>
            </w: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2022</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4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Service cost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23</w:t>
            </w:r>
          </w:p>
        </w:tc>
        <w:tc>
          <w:tcPr>
            <w:tcW w:w="2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2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44</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54</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178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137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127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407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298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return on plan assets</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(198 )</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39"/>
              <w:spacing w:after="0"/>
              <w:rPr>
                <w:sz w:val="20"/>
                <w:szCs w:val="20"/>
                <w:color w:val="auto"/>
              </w:rPr>
            </w:pPr>
            <w:r>
              <w:rPr>
                <w:rFonts w:ascii="Arial" w:cs="Arial" w:eastAsia="Arial" w:hAnsi="Arial"/>
                <w:sz w:val="16"/>
                <w:szCs w:val="16"/>
                <w:color w:val="auto"/>
              </w:rPr>
              <w:t>(202 )</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19"/>
              <w:spacing w:after="0"/>
              <w:rPr>
                <w:sz w:val="20"/>
                <w:szCs w:val="20"/>
                <w:color w:val="auto"/>
              </w:rPr>
            </w:pPr>
            <w:r>
              <w:rPr>
                <w:rFonts w:ascii="Arial" w:cs="Arial" w:eastAsia="Arial" w:hAnsi="Arial"/>
                <w:sz w:val="16"/>
                <w:szCs w:val="16"/>
                <w:color w:val="auto"/>
              </w:rPr>
              <w:t>(254 )</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(607 )</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(530 )</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(640 )</w:t>
            </w:r>
          </w:p>
        </w:tc>
        <w:tc>
          <w:tcPr>
            <w:tcW w:w="40" w:type="dxa"/>
            <w:vAlign w:val="bottom"/>
          </w:tcPr>
          <w:p>
            <w:pPr>
              <w:spacing w:after="0"/>
              <w:rPr>
                <w:sz w:val="18"/>
                <w:szCs w:val="18"/>
                <w:color w:val="auto"/>
              </w:rPr>
            </w:pPr>
          </w:p>
        </w:tc>
      </w:tr>
      <w:tr>
        <w:trPr>
          <w:trHeight w:val="216"/>
        </w:trPr>
        <w:tc>
          <w:tcPr>
            <w:tcW w:w="454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Amortization of net loss</w:t>
            </w:r>
          </w:p>
        </w:tc>
        <w:tc>
          <w:tcPr>
            <w:tcW w:w="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44</w:t>
            </w:r>
          </w:p>
        </w:tc>
        <w:tc>
          <w:tcPr>
            <w:tcW w:w="16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80</w:t>
            </w:r>
          </w:p>
        </w:tc>
        <w:tc>
          <w:tcPr>
            <w:tcW w:w="16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FF0FC"/>
            </w:tcBorders>
          </w:tcPr>
          <w:p>
            <w:pPr>
              <w:spacing w:after="0"/>
              <w:rPr>
                <w:sz w:val="18"/>
                <w:szCs w:val="18"/>
                <w:color w:val="auto"/>
              </w:rPr>
            </w:pPr>
          </w:p>
        </w:tc>
        <w:tc>
          <w:tcPr>
            <w:tcW w:w="40" w:type="dxa"/>
            <w:vAlign w:val="bottom"/>
          </w:tcPr>
          <w:p>
            <w:pPr>
              <w:spacing w:after="0"/>
              <w:rPr>
                <w:sz w:val="18"/>
                <w:szCs w:val="18"/>
                <w:color w:val="auto"/>
              </w:rPr>
            </w:pPr>
          </w:p>
        </w:tc>
      </w:tr>
      <w:tr>
        <w:trPr>
          <w:trHeight w:val="249"/>
        </w:trPr>
        <w:tc>
          <w:tcPr>
            <w:tcW w:w="45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3</w:t>
            </w:r>
          </w:p>
        </w:tc>
        <w:tc>
          <w:tcPr>
            <w:tcW w:w="2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(39</w:t>
            </w:r>
          </w:p>
        </w:tc>
        <w:tc>
          <w:tcPr>
            <w:tcW w:w="1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w w:val="74"/>
              </w:rPr>
              <w:t>)</w:t>
            </w:r>
          </w:p>
        </w:tc>
        <w:tc>
          <w:tcPr>
            <w:tcW w:w="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(146</w:t>
            </w:r>
          </w:p>
        </w:tc>
        <w:tc>
          <w:tcPr>
            <w:tcW w:w="1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-2065020</wp:posOffset>
            </wp:positionV>
            <wp:extent cx="7132320" cy="1371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-1791335</wp:posOffset>
            </wp:positionV>
            <wp:extent cx="7132320" cy="1371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-25400</wp:posOffset>
            </wp:positionV>
            <wp:extent cx="7747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-8255</wp:posOffset>
            </wp:positionV>
            <wp:extent cx="7747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-170815</wp:posOffset>
            </wp:positionV>
            <wp:extent cx="7747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-25400</wp:posOffset>
            </wp:positionV>
            <wp:extent cx="7747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-8255</wp:posOffset>
            </wp:positionV>
            <wp:extent cx="7747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-170815</wp:posOffset>
            </wp:positionV>
            <wp:extent cx="7747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-25400</wp:posOffset>
            </wp:positionV>
            <wp:extent cx="68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-8255</wp:posOffset>
            </wp:positionV>
            <wp:extent cx="685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-170815</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-170815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685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685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weighted-average assumed discount rate and compensation increases used to determine the projected benefit obligations for the US and International plans were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US</w:t>
            </w:r>
          </w:p>
        </w:tc>
        <w:tc>
          <w:tcPr>
            <w:tcW w:w="1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Borders>
              <w:bottom w:val="single" w:sz="8" w:color="auto"/>
            </w:tcBorders>
            <w:gridSpan w:val="3"/>
          </w:tcPr>
          <w:p>
            <w:pPr>
              <w:ind w:left="860"/>
              <w:spacing w:after="0"/>
              <w:rPr>
                <w:sz w:val="20"/>
                <w:szCs w:val="20"/>
                <w:color w:val="auto"/>
              </w:rPr>
            </w:pPr>
            <w:r>
              <w:rPr>
                <w:rFonts w:ascii="Arial" w:cs="Arial" w:eastAsia="Arial" w:hAnsi="Arial"/>
                <w:sz w:val="16"/>
                <w:szCs w:val="16"/>
                <w:color w:val="auto"/>
              </w:rPr>
              <w:t>International</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57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18"/>
                <w:szCs w:val="18"/>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6540" w:type="dxa"/>
            <w:vAlign w:val="bottom"/>
            <w:gridSpan w:val="2"/>
          </w:tcPr>
          <w:p>
            <w:pPr>
              <w:ind w:left="20"/>
              <w:spacing w:after="0"/>
              <w:rPr>
                <w:sz w:val="20"/>
                <w:szCs w:val="20"/>
                <w:color w:val="auto"/>
              </w:rPr>
            </w:pPr>
            <w:r>
              <w:rPr>
                <w:rFonts w:ascii="Arial" w:cs="Arial" w:eastAsia="Arial" w:hAnsi="Arial"/>
                <w:sz w:val="16"/>
                <w:szCs w:val="16"/>
                <w:color w:val="auto"/>
              </w:rPr>
              <w:t>Discount rate</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5.25 %</w:t>
            </w: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5.50 %</w:t>
            </w:r>
          </w:p>
        </w:tc>
        <w:tc>
          <w:tcPr>
            <w:tcW w:w="1400" w:type="dxa"/>
            <w:vAlign w:val="bottom"/>
            <w:gridSpan w:val="2"/>
          </w:tcPr>
          <w:p>
            <w:pPr>
              <w:ind w:left="840"/>
              <w:spacing w:after="0"/>
              <w:rPr>
                <w:sz w:val="20"/>
                <w:szCs w:val="20"/>
                <w:color w:val="auto"/>
              </w:rPr>
            </w:pPr>
            <w:r>
              <w:rPr>
                <w:rFonts w:ascii="Arial" w:cs="Arial" w:eastAsia="Arial" w:hAnsi="Arial"/>
                <w:sz w:val="16"/>
                <w:szCs w:val="16"/>
                <w:b w:val="1"/>
                <w:bCs w:val="1"/>
                <w:color w:val="auto"/>
              </w:rPr>
              <w:t>5.14 %</w:t>
            </w:r>
          </w:p>
        </w:tc>
        <w:tc>
          <w:tcPr>
            <w:tcW w:w="3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5.41 %</w:t>
            </w:r>
          </w:p>
        </w:tc>
      </w:tr>
      <w:tr>
        <w:trPr>
          <w:trHeight w:val="223"/>
        </w:trPr>
        <w:tc>
          <w:tcPr>
            <w:tcW w:w="6540" w:type="dxa"/>
            <w:vAlign w:val="bottom"/>
            <w:gridSpan w:val="2"/>
          </w:tcPr>
          <w:p>
            <w:pPr>
              <w:ind w:left="20"/>
              <w:spacing w:after="0"/>
              <w:rPr>
                <w:sz w:val="20"/>
                <w:szCs w:val="20"/>
                <w:color w:val="auto"/>
              </w:rPr>
            </w:pPr>
            <w:r>
              <w:rPr>
                <w:rFonts w:ascii="Arial" w:cs="Arial" w:eastAsia="Arial" w:hAnsi="Arial"/>
                <w:sz w:val="16"/>
                <w:szCs w:val="16"/>
                <w:color w:val="auto"/>
              </w:rPr>
              <w:t>Compensation increases</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4.00 %</w:t>
            </w: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4.00 %</w:t>
            </w:r>
          </w:p>
        </w:tc>
        <w:tc>
          <w:tcPr>
            <w:tcW w:w="1400" w:type="dxa"/>
            <w:vAlign w:val="bottom"/>
            <w:gridSpan w:val="2"/>
          </w:tcPr>
          <w:p>
            <w:pPr>
              <w:ind w:left="840"/>
              <w:spacing w:after="0"/>
              <w:rPr>
                <w:sz w:val="20"/>
                <w:szCs w:val="20"/>
                <w:color w:val="auto"/>
              </w:rPr>
            </w:pPr>
            <w:r>
              <w:rPr>
                <w:rFonts w:ascii="Arial" w:cs="Arial" w:eastAsia="Arial" w:hAnsi="Arial"/>
                <w:sz w:val="16"/>
                <w:szCs w:val="16"/>
                <w:b w:val="1"/>
                <w:bCs w:val="1"/>
                <w:color w:val="auto"/>
              </w:rPr>
              <w:t>4.84 %</w:t>
            </w:r>
          </w:p>
        </w:tc>
        <w:tc>
          <w:tcPr>
            <w:tcW w:w="38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4.84 %</w:t>
            </w:r>
          </w:p>
        </w:tc>
      </w:tr>
      <w:tr>
        <w:trPr>
          <w:trHeight w:val="626"/>
        </w:trPr>
        <w:tc>
          <w:tcPr>
            <w:tcW w:w="6540" w:type="dxa"/>
            <w:vAlign w:val="bottom"/>
            <w:gridSpan w:val="2"/>
          </w:tcPr>
          <w:p>
            <w:pPr>
              <w:jc w:val="right"/>
              <w:ind w:right="739"/>
              <w:spacing w:after="0"/>
              <w:rPr>
                <w:sz w:val="20"/>
                <w:szCs w:val="20"/>
                <w:color w:val="auto"/>
              </w:rPr>
            </w:pPr>
            <w:r>
              <w:rPr>
                <w:rFonts w:ascii="Arial" w:cs="Arial" w:eastAsia="Arial" w:hAnsi="Arial"/>
                <w:sz w:val="16"/>
                <w:szCs w:val="16"/>
                <w:color w:val="auto"/>
              </w:rPr>
              <w:t>51</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43"/>
        </w:trPr>
        <w:tc>
          <w:tcPr>
            <w:tcW w:w="57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-1096645</wp:posOffset>
            </wp:positionV>
            <wp:extent cx="7132320" cy="13716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557" w:right="299"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t>The changes in the projected benefit obligation, plan assets and funded status of the plans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26"/>
        </w:trPr>
        <w:tc>
          <w:tcPr>
            <w:tcW w:w="57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US</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International</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8"/>
                <w:szCs w:val="18"/>
                <w:color w:val="auto"/>
              </w:rPr>
            </w:pPr>
          </w:p>
        </w:tc>
      </w:tr>
      <w:tr>
        <w:trPr>
          <w:trHeight w:val="210"/>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b w:val="1"/>
                <w:bCs w:val="1"/>
                <w:i w:val="1"/>
                <w:iCs w:val="1"/>
                <w:color w:val="auto"/>
              </w:rPr>
              <w:t>Change in Projected Benefit Obligations: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6"/>
                <w:szCs w:val="16"/>
                <w:color w:val="auto"/>
              </w:rPr>
              <w:t>Projected benefit obligation at beginning of year</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3,315</w:t>
            </w:r>
          </w:p>
        </w:tc>
        <w:tc>
          <w:tcPr>
            <w:tcW w:w="26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4,668</w:t>
            </w:r>
          </w:p>
        </w:tc>
        <w:tc>
          <w:tcPr>
            <w:tcW w:w="2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7,598</w:t>
            </w:r>
          </w:p>
        </w:tc>
        <w:tc>
          <w:tcPr>
            <w:tcW w:w="140" w:type="dxa"/>
            <w:vAlign w:val="bottom"/>
          </w:tcPr>
          <w:p>
            <w:pPr>
              <w:spacing w:after="0"/>
              <w:rPr>
                <w:sz w:val="18"/>
                <w:szCs w:val="18"/>
                <w:color w:val="auto"/>
              </w:rPr>
            </w:pP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10,618</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Service cost</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178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Contribution by plan participants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6"/>
                <w:szCs w:val="16"/>
                <w:color w:val="auto"/>
              </w:rPr>
              <w:t>Actuarial losses (gains)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117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(1,152 )</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(3,140 )</w:t>
            </w:r>
          </w:p>
        </w:tc>
      </w:tr>
      <w:tr>
        <w:trPr>
          <w:trHeight w:val="216"/>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Currency effect</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(148 )</w:t>
            </w:r>
          </w:p>
        </w:tc>
      </w:tr>
      <w:tr>
        <w:trPr>
          <w:trHeight w:val="216"/>
        </w:trPr>
        <w:tc>
          <w:tcPr>
            <w:tcW w:w="5740" w:type="dxa"/>
            <w:vAlign w:val="bottom"/>
          </w:tcPr>
          <w:p>
            <w:pPr>
              <w:ind w:left="20"/>
              <w:spacing w:after="0"/>
              <w:rPr>
                <w:sz w:val="20"/>
                <w:szCs w:val="20"/>
                <w:color w:val="auto"/>
              </w:rPr>
            </w:pPr>
            <w:r>
              <w:rPr>
                <w:rFonts w:ascii="Arial" w:cs="Arial" w:eastAsia="Arial" w:hAnsi="Arial"/>
                <w:sz w:val="16"/>
                <w:szCs w:val="16"/>
                <w:color w:val="auto"/>
              </w:rPr>
              <w:t>Benefits paid</w:t>
            </w:r>
          </w:p>
        </w:tc>
        <w:tc>
          <w:tcPr>
            <w:tcW w:w="260" w:type="dxa"/>
            <w:vAlign w:val="bottom"/>
          </w:tcPr>
          <w:p>
            <w:pPr>
              <w:spacing w:after="0"/>
              <w:rPr>
                <w:sz w:val="18"/>
                <w:szCs w:val="18"/>
                <w:color w:val="auto"/>
              </w:rPr>
            </w:pPr>
          </w:p>
        </w:tc>
        <w:tc>
          <w:tcPr>
            <w:tcW w:w="118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(220 )</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(375 )</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(360 )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(363 )</w:t>
            </w:r>
          </w:p>
        </w:tc>
      </w:tr>
      <w:tr>
        <w:trPr>
          <w:trHeight w:val="216"/>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40" w:type="dxa"/>
            <w:vAlign w:val="bottom"/>
          </w:tcPr>
          <w:p>
            <w:pPr>
              <w:ind w:left="20"/>
              <w:spacing w:after="0"/>
              <w:rPr>
                <w:sz w:val="20"/>
                <w:szCs w:val="20"/>
                <w:color w:val="auto"/>
              </w:rPr>
            </w:pPr>
            <w:r>
              <w:rPr>
                <w:rFonts w:ascii="Arial" w:cs="Arial" w:eastAsia="Arial" w:hAnsi="Arial"/>
                <w:sz w:val="16"/>
                <w:szCs w:val="16"/>
                <w:color w:val="auto"/>
              </w:rPr>
              <w:t>Projected benefit obligation at end of year</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3,413</w:t>
            </w:r>
          </w:p>
        </w:tc>
        <w:tc>
          <w:tcPr>
            <w:tcW w:w="26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3,315</w:t>
            </w:r>
          </w:p>
        </w:tc>
        <w:tc>
          <w:tcPr>
            <w:tcW w:w="2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8,109</w:t>
            </w:r>
          </w:p>
        </w:tc>
        <w:tc>
          <w:tcPr>
            <w:tcW w:w="140" w:type="dxa"/>
            <w:vAlign w:val="bottom"/>
          </w:tcPr>
          <w:p>
            <w:pPr>
              <w:spacing w:after="0"/>
              <w:rPr>
                <w:sz w:val="18"/>
                <w:szCs w:val="18"/>
                <w:color w:val="auto"/>
              </w:rPr>
            </w:pP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7,598</w:t>
            </w:r>
          </w:p>
        </w:tc>
        <w:tc>
          <w:tcPr>
            <w:tcW w:w="100" w:type="dxa"/>
            <w:vAlign w:val="bottom"/>
          </w:tcPr>
          <w:p>
            <w:pPr>
              <w:spacing w:after="0"/>
              <w:rPr>
                <w:sz w:val="18"/>
                <w:szCs w:val="18"/>
                <w:color w:val="auto"/>
              </w:rPr>
            </w:pPr>
          </w:p>
        </w:tc>
      </w:tr>
      <w:tr>
        <w:trPr>
          <w:trHeight w:val="209"/>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b w:val="1"/>
                <w:bCs w:val="1"/>
                <w:i w:val="1"/>
                <w:iCs w:val="1"/>
                <w:color w:val="auto"/>
              </w:rPr>
              <w:t>Change in Plan Assets:</w:t>
            </w: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6"/>
                <w:szCs w:val="16"/>
                <w:color w:val="auto"/>
              </w:rPr>
              <w:t>Plan assets at fair value at beginning of year</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3,396</w:t>
            </w:r>
          </w:p>
        </w:tc>
        <w:tc>
          <w:tcPr>
            <w:tcW w:w="26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4,696</w:t>
            </w:r>
          </w:p>
        </w:tc>
        <w:tc>
          <w:tcPr>
            <w:tcW w:w="2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8,126</w:t>
            </w:r>
          </w:p>
        </w:tc>
        <w:tc>
          <w:tcPr>
            <w:tcW w:w="140" w:type="dxa"/>
            <w:vAlign w:val="bottom"/>
          </w:tcPr>
          <w:p>
            <w:pPr>
              <w:spacing w:after="0"/>
              <w:rPr>
                <w:sz w:val="18"/>
                <w:szCs w:val="18"/>
                <w:color w:val="auto"/>
              </w:rPr>
            </w:pP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11,221</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Actual return on plan assets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242</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(933 )</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494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(2,834 )</w:t>
            </w:r>
          </w:p>
        </w:tc>
      </w:tr>
      <w:tr>
        <w:trPr>
          <w:trHeight w:val="216"/>
        </w:trPr>
        <w:tc>
          <w:tcPr>
            <w:tcW w:w="5740" w:type="dxa"/>
            <w:vAlign w:val="bottom"/>
          </w:tcPr>
          <w:p>
            <w:pPr>
              <w:ind w:left="20"/>
              <w:spacing w:after="0"/>
              <w:rPr>
                <w:sz w:val="20"/>
                <w:szCs w:val="20"/>
                <w:color w:val="auto"/>
              </w:rPr>
            </w:pPr>
            <w:r>
              <w:rPr>
                <w:rFonts w:ascii="Arial" w:cs="Arial" w:eastAsia="Arial" w:hAnsi="Arial"/>
                <w:sz w:val="16"/>
                <w:szCs w:val="16"/>
                <w:color w:val="auto"/>
              </w:rPr>
              <w:t>Currency effect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(188 )</w:t>
            </w:r>
          </w:p>
        </w:tc>
      </w:tr>
      <w:tr>
        <w:trPr>
          <w:trHeight w:val="216"/>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Company contributions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6"/>
                <w:szCs w:val="16"/>
                <w:color w:val="auto"/>
              </w:rPr>
              <w:t>Contributions by plan participants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Benefits paid</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b w:val="1"/>
                <w:bCs w:val="1"/>
                <w:color w:val="auto"/>
              </w:rPr>
              <w:t>(220 )</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(375 )</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(360 )</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(363 )</w:t>
            </w:r>
          </w:p>
        </w:tc>
      </w:tr>
      <w:tr>
        <w:trPr>
          <w:trHeight w:val="216"/>
        </w:trPr>
        <w:tc>
          <w:tcPr>
            <w:tcW w:w="5740" w:type="dxa"/>
            <w:vAlign w:val="bottom"/>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r>
      <w:tr>
        <w:trPr>
          <w:trHeight w:val="210"/>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Plan assets at fair value at end of year</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3,427</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3,396</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8,390</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Asset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26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81</w:t>
            </w:r>
          </w:p>
        </w:tc>
        <w:tc>
          <w:tcPr>
            <w:tcW w:w="2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281</w:t>
            </w:r>
          </w:p>
        </w:tc>
        <w:tc>
          <w:tcPr>
            <w:tcW w:w="140" w:type="dxa"/>
            <w:vAlign w:val="bottom"/>
          </w:tcPr>
          <w:p>
            <w:pPr>
              <w:spacing w:after="0"/>
              <w:rPr>
                <w:sz w:val="18"/>
                <w:szCs w:val="18"/>
                <w:color w:val="auto"/>
              </w:rPr>
            </w:pP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b w:val="1"/>
                <w:bCs w:val="1"/>
                <w:i w:val="1"/>
                <w:iCs w:val="1"/>
                <w:color w:val="auto"/>
              </w:rPr>
              <w:t>Amounts Recognized in Balance Sheet:</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6"/>
                <w:szCs w:val="16"/>
                <w:i w:val="1"/>
                <w:iCs w:val="1"/>
                <w:color w:val="auto"/>
              </w:rPr>
              <w:t>Postretirement Benefits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(159 )</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(151 )</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(16 )</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(14 )</w:t>
            </w:r>
          </w:p>
        </w:tc>
      </w:tr>
      <w:tr>
        <w:trPr>
          <w:trHeight w:val="216"/>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i w:val="1"/>
                <w:iCs w:val="1"/>
                <w:color w:val="auto"/>
              </w:rPr>
              <w:t>Other Assets</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173</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232</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297</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26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81</w:t>
            </w:r>
          </w:p>
        </w:tc>
        <w:tc>
          <w:tcPr>
            <w:tcW w:w="2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281</w:t>
            </w:r>
          </w:p>
        </w:tc>
        <w:tc>
          <w:tcPr>
            <w:tcW w:w="140" w:type="dxa"/>
            <w:vAlign w:val="bottom"/>
          </w:tcPr>
          <w:p>
            <w:pPr>
              <w:spacing w:after="0"/>
              <w:rPr>
                <w:sz w:val="18"/>
                <w:szCs w:val="18"/>
                <w:color w:val="auto"/>
              </w:rPr>
            </w:pP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b w:val="1"/>
                <w:bCs w:val="1"/>
                <w:i w:val="1"/>
                <w:iCs w:val="1"/>
                <w:color w:val="auto"/>
              </w:rPr>
              <w:t>Amounts Recognized in Accumulated Other Comprehensive Loss:</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6"/>
                <w:szCs w:val="16"/>
                <w:color w:val="auto"/>
              </w:rPr>
              <w:t>Actuarial losses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328</w:t>
            </w:r>
          </w:p>
        </w:tc>
        <w:tc>
          <w:tcPr>
            <w:tcW w:w="26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255</w:t>
            </w:r>
          </w:p>
        </w:tc>
        <w:tc>
          <w:tcPr>
            <w:tcW w:w="2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1,804</w:t>
            </w:r>
          </w:p>
        </w:tc>
        <w:tc>
          <w:tcPr>
            <w:tcW w:w="140" w:type="dxa"/>
            <w:vAlign w:val="bottom"/>
          </w:tcPr>
          <w:p>
            <w:pPr>
              <w:spacing w:after="0"/>
              <w:rPr>
                <w:sz w:val="18"/>
                <w:szCs w:val="18"/>
                <w:color w:val="auto"/>
              </w:rPr>
            </w:pP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1,366</w:t>
            </w:r>
          </w:p>
        </w:tc>
        <w:tc>
          <w:tcPr>
            <w:tcW w:w="10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Accumulated benefit obligation</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3,313</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3,221</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7,942</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7,454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-2614295</wp:posOffset>
            </wp:positionV>
            <wp:extent cx="7683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-2614295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-2614295</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-2614295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-1216660</wp:posOffset>
            </wp:positionV>
            <wp:extent cx="768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-1216660</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-1216660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-633730</wp:posOffset>
            </wp:positionV>
            <wp:extent cx="7683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-633730</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-633730</wp:posOffset>
            </wp:positionV>
            <wp:extent cx="685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-25400</wp:posOffset>
            </wp:positionV>
            <wp:extent cx="7683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-8255</wp:posOffset>
            </wp:positionV>
            <wp:extent cx="7683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6858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85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-8255</wp:posOffset>
            </wp:positionV>
            <wp:extent cx="6858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both"/>
        <w:ind w:right="40"/>
        <w:spacing w:after="0" w:line="259" w:lineRule="auto"/>
        <w:rPr>
          <w:sz w:val="20"/>
          <w:szCs w:val="20"/>
          <w:color w:val="auto"/>
        </w:rPr>
      </w:pPr>
      <w:r>
        <w:rPr>
          <w:rFonts w:ascii="Arial" w:cs="Arial" w:eastAsia="Arial" w:hAnsi="Arial"/>
          <w:sz w:val="16"/>
          <w:szCs w:val="16"/>
          <w:color w:val="auto"/>
        </w:rPr>
        <w:t>The asset represents the difference between the plan assets and the projected benefit obligation (“PBO”). The PBO represents the actuarial present value of benefits based on employee service and compensation and includes an assumption about future compensation levels. The accumulated benefit obligation represents the actuarial present value of benefits based on employee service and compensation but does not include an assumption about future compensation levels.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Actuarial gains and losses arising during 2023 and 2022 were primarily attributable to changes in the discount rate used to determine the PBO.</w:t>
      </w:r>
    </w:p>
    <w:p>
      <w:pPr>
        <w:spacing w:after="0" w:line="194"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color w:val="auto"/>
        </w:rPr>
        <w:t>The weighted-average allocation of plan assets as of December 31, 2023 and 2022 and the target allocations by asset category as of December 31, 2023 were as follows: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US</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International</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1"/>
        </w:trPr>
        <w:tc>
          <w:tcPr>
            <w:tcW w:w="4200" w:type="dxa"/>
            <w:vAlign w:val="bottom"/>
          </w:tcPr>
          <w:p>
            <w:pPr>
              <w:spacing w:after="0"/>
              <w:rPr>
                <w:sz w:val="18"/>
                <w:szCs w:val="18"/>
                <w:color w:val="auto"/>
              </w:rPr>
            </w:pPr>
          </w:p>
        </w:tc>
        <w:tc>
          <w:tcPr>
            <w:tcW w:w="88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color w:val="auto"/>
              </w:rPr>
              <w:t>Target</w:t>
            </w:r>
          </w:p>
        </w:tc>
        <w:tc>
          <w:tcPr>
            <w:tcW w:w="360" w:type="dxa"/>
            <w:vAlign w:val="bottom"/>
          </w:tcPr>
          <w:p>
            <w:pPr>
              <w:spacing w:after="0"/>
              <w:rPr>
                <w:sz w:val="18"/>
                <w:szCs w:val="18"/>
                <w:color w:val="auto"/>
              </w:rPr>
            </w:pP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2023</w:t>
            </w:r>
          </w:p>
        </w:tc>
        <w:tc>
          <w:tcPr>
            <w:tcW w:w="360" w:type="dxa"/>
            <w:vAlign w:val="bottom"/>
          </w:tcPr>
          <w:p>
            <w:pPr>
              <w:spacing w:after="0"/>
              <w:rPr>
                <w:sz w:val="18"/>
                <w:szCs w:val="18"/>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2022</w:t>
            </w:r>
          </w:p>
        </w:tc>
        <w:tc>
          <w:tcPr>
            <w:tcW w:w="320" w:type="dxa"/>
            <w:vAlign w:val="bottom"/>
          </w:tcPr>
          <w:p>
            <w:pPr>
              <w:spacing w:after="0"/>
              <w:rPr>
                <w:sz w:val="18"/>
                <w:szCs w:val="18"/>
                <w:color w:val="auto"/>
              </w:rPr>
            </w:pPr>
          </w:p>
        </w:tc>
        <w:tc>
          <w:tcPr>
            <w:tcW w:w="82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color w:val="auto"/>
              </w:rPr>
              <w:t>Target</w:t>
            </w:r>
          </w:p>
        </w:tc>
        <w:tc>
          <w:tcPr>
            <w:tcW w:w="340" w:type="dxa"/>
            <w:vAlign w:val="bottom"/>
          </w:tcPr>
          <w:p>
            <w:pPr>
              <w:spacing w:after="0"/>
              <w:rPr>
                <w:sz w:val="18"/>
                <w:szCs w:val="18"/>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420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5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3"/>
              </w:rPr>
              <w:t>0 - 3</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93"/>
              </w:rPr>
              <w:t>0 - 5</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20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5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3"/>
              </w:rPr>
              <w:t>0 - 5</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93"/>
              </w:rPr>
              <w:t>0 - 5</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Debt securities</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- 90</w:t>
            </w: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84</w:t>
            </w: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3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- 70</w:t>
            </w: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69</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200" w:type="dxa"/>
            <w:vAlign w:val="bottom"/>
          </w:tcPr>
          <w:p>
            <w:pPr>
              <w:ind w:left="20"/>
              <w:spacing w:after="0"/>
              <w:rPr>
                <w:sz w:val="20"/>
                <w:szCs w:val="20"/>
                <w:color w:val="auto"/>
              </w:rPr>
            </w:pPr>
            <w:r>
              <w:rPr>
                <w:rFonts w:ascii="Arial" w:cs="Arial" w:eastAsia="Arial" w:hAnsi="Arial"/>
                <w:sz w:val="16"/>
                <w:szCs w:val="16"/>
                <w:color w:val="auto"/>
              </w:rPr>
              <w:t>Private equity and real estate</w:t>
            </w:r>
          </w:p>
        </w:tc>
        <w:tc>
          <w:tcPr>
            <w:tcW w:w="540" w:type="dxa"/>
            <w:vAlign w:val="bottom"/>
          </w:tcPr>
          <w:p>
            <w:pPr>
              <w:jc w:val="right"/>
              <w:spacing w:after="0"/>
              <w:rPr>
                <w:sz w:val="20"/>
                <w:szCs w:val="20"/>
                <w:color w:val="auto"/>
              </w:rPr>
            </w:pPr>
            <w:r>
              <w:rPr>
                <w:rFonts w:ascii="Arial" w:cs="Arial" w:eastAsia="Arial" w:hAnsi="Arial"/>
                <w:sz w:val="16"/>
                <w:szCs w:val="16"/>
                <w:color w:val="auto"/>
              </w:rPr>
              <w:t>5</w:t>
            </w:r>
          </w:p>
        </w:tc>
        <w:tc>
          <w:tcPr>
            <w:tcW w:w="340" w:type="dxa"/>
            <w:vAlign w:val="bottom"/>
          </w:tcPr>
          <w:p>
            <w:pPr>
              <w:jc w:val="right"/>
              <w:spacing w:after="0"/>
              <w:rPr>
                <w:sz w:val="20"/>
                <w:szCs w:val="20"/>
                <w:color w:val="auto"/>
              </w:rPr>
            </w:pPr>
            <w:r>
              <w:rPr>
                <w:rFonts w:ascii="Arial" w:cs="Arial" w:eastAsia="Arial" w:hAnsi="Arial"/>
                <w:sz w:val="16"/>
                <w:szCs w:val="16"/>
                <w:color w:val="auto"/>
              </w:rPr>
              <w:t>- 12</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w:t>
            </w:r>
          </w:p>
        </w:tc>
        <w:tc>
          <w:tcPr>
            <w:tcW w:w="320" w:type="dxa"/>
            <w:vAlign w:val="bottom"/>
          </w:tcPr>
          <w:p>
            <w:pPr>
              <w:jc w:val="right"/>
              <w:spacing w:after="0"/>
              <w:rPr>
                <w:sz w:val="20"/>
                <w:szCs w:val="20"/>
                <w:color w:val="auto"/>
              </w:rPr>
            </w:pPr>
            <w:r>
              <w:rPr>
                <w:rFonts w:ascii="Arial" w:cs="Arial" w:eastAsia="Arial" w:hAnsi="Arial"/>
                <w:sz w:val="16"/>
                <w:szCs w:val="16"/>
                <w:color w:val="auto"/>
              </w:rPr>
              <w:t>- 20</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Private debt</w:t>
            </w:r>
          </w:p>
        </w:tc>
        <w:tc>
          <w:tcPr>
            <w:tcW w:w="5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2 - 8</w:t>
            </w:r>
          </w:p>
        </w:tc>
        <w:tc>
          <w:tcPr>
            <w:tcW w:w="3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w:t>
            </w:r>
          </w:p>
        </w:tc>
        <w:tc>
          <w:tcPr>
            <w:tcW w:w="36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3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- 15</w:t>
            </w:r>
          </w:p>
        </w:tc>
        <w:tc>
          <w:tcPr>
            <w:tcW w:w="3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w:t>
            </w: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2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w:t>
            </w: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0"/>
        </w:trPr>
        <w:tc>
          <w:tcPr>
            <w:tcW w:w="4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3716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-170815</wp:posOffset>
            </wp:positionV>
            <wp:extent cx="7747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-170815</wp:posOffset>
            </wp:positionV>
            <wp:extent cx="7747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-170815</wp:posOffset>
            </wp:positionV>
            <wp:extent cx="685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-170815</wp:posOffset>
            </wp:positionV>
            <wp:extent cx="6858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-170815</wp:posOffset>
            </wp:positionV>
            <wp:extent cx="6858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-170815</wp:posOffset>
            </wp:positionV>
            <wp:extent cx="6858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5"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The expected rate of return on assets assumptions reflect the long-term average rate of return expected to be earned on plan assets. The assumptions have been determined based on expectations regarding future rates of return for the portfolio considering the asset allocation and related historical rates of return. The appropriateness of the assumptions is reviewed annually.</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82" w:right="299" w:bottom="1440" w:gutter="0" w:footer="0" w:header="0"/>
        </w:sectPr>
      </w:pPr>
    </w:p>
    <w:bookmarkStart w:id="52" w:name="page53"/>
    <w:bookmarkEnd w:id="52"/>
    <w:p>
      <w:pPr>
        <w:spacing w:after="0" w:line="286" w:lineRule="auto"/>
        <w:rPr>
          <w:sz w:val="20"/>
          <w:szCs w:val="20"/>
          <w:color w:val="auto"/>
        </w:rPr>
      </w:pPr>
      <w:r>
        <w:rPr>
          <w:rFonts w:ascii="Arial" w:cs="Arial" w:eastAsia="Arial" w:hAnsi="Arial"/>
          <w:sz w:val="16"/>
          <w:szCs w:val="16"/>
          <w:color w:val="auto"/>
        </w:rPr>
        <w:t>The fair value of SLB’s pension plan assets at December 31, 2023 and 2022, by asset category, is presented below and was determined based on valuation techniques categorized as follows:</w:t>
      </w:r>
    </w:p>
    <w:p>
      <w:pPr>
        <w:spacing w:after="0" w:line="48" w:lineRule="exact"/>
        <w:rPr>
          <w:sz w:val="20"/>
          <w:szCs w:val="20"/>
          <w:color w:val="auto"/>
        </w:rPr>
      </w:pPr>
    </w:p>
    <w:p>
      <w:pPr>
        <w:ind w:left="760" w:hanging="378"/>
        <w:spacing w:after="0"/>
        <w:tabs>
          <w:tab w:leader="none" w:pos="76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Level One: The use of quoted prices in active markets for identical instruments.</w:t>
      </w:r>
    </w:p>
    <w:p>
      <w:pPr>
        <w:spacing w:after="0" w:line="125"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Level Two: The use of quoted prices for similar instruments in active markets or quoted prices for identical or similar instruments in markets that are not active or other inputs that are observable in the market or can be corroborated by observable market data.</w:t>
      </w:r>
    </w:p>
    <w:p>
      <w:pPr>
        <w:spacing w:after="0" w:line="48"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Level Three: The use of significant unobservable inputs that typically require the use of management’s estimates of assumptions that market participants would use in pricing.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5"/>
          </w:tcPr>
          <w:p>
            <w:pPr>
              <w:ind w:left="320"/>
              <w:spacing w:after="0"/>
              <w:rPr>
                <w:sz w:val="20"/>
                <w:szCs w:val="20"/>
                <w:color w:val="auto"/>
              </w:rPr>
            </w:pPr>
            <w:r>
              <w:rPr>
                <w:rFonts w:ascii="Arial" w:cs="Arial" w:eastAsia="Arial" w:hAnsi="Arial"/>
                <w:sz w:val="14"/>
                <w:szCs w:val="14"/>
                <w:i w:val="1"/>
                <w:iCs w:val="1"/>
                <w:color w:val="auto"/>
              </w:rPr>
              <w:t>(Stated in millions)</w:t>
            </w:r>
          </w:p>
        </w:tc>
      </w:tr>
      <w:tr>
        <w:trPr>
          <w:trHeight w:val="425"/>
        </w:trPr>
        <w:tc>
          <w:tcPr>
            <w:tcW w:w="3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color w:val="auto"/>
              </w:rPr>
              <w:t>US Plan Assets</w:t>
            </w: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3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2022</w:t>
            </w:r>
          </w:p>
        </w:tc>
        <w:tc>
          <w:tcPr>
            <w:tcW w:w="5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center"/>
              <w:ind w:right="39"/>
              <w:spacing w:after="0"/>
              <w:rPr>
                <w:sz w:val="20"/>
                <w:szCs w:val="20"/>
                <w:color w:val="auto"/>
              </w:rPr>
            </w:pPr>
            <w:r>
              <w:rPr>
                <w:rFonts w:ascii="Arial" w:cs="Arial" w:eastAsia="Arial" w:hAnsi="Arial"/>
                <w:sz w:val="16"/>
                <w:szCs w:val="16"/>
                <w:color w:val="auto"/>
                <w:w w:val="99"/>
              </w:rPr>
              <w:t>Level</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center"/>
              <w:ind w:right="39"/>
              <w:spacing w:after="0"/>
              <w:rPr>
                <w:sz w:val="20"/>
                <w:szCs w:val="20"/>
                <w:color w:val="auto"/>
              </w:rPr>
            </w:pPr>
            <w:r>
              <w:rPr>
                <w:rFonts w:ascii="Arial" w:cs="Arial" w:eastAsia="Arial" w:hAnsi="Arial"/>
                <w:sz w:val="16"/>
                <w:szCs w:val="16"/>
                <w:color w:val="auto"/>
              </w:rPr>
              <w:t>Level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auto"/>
              </w:rPr>
              <w:t>Level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center"/>
              <w:ind w:right="39"/>
              <w:spacing w:after="0"/>
              <w:rPr>
                <w:sz w:val="20"/>
                <w:szCs w:val="20"/>
                <w:color w:val="auto"/>
              </w:rPr>
            </w:pPr>
            <w:r>
              <w:rPr>
                <w:rFonts w:ascii="Arial" w:cs="Arial" w:eastAsia="Arial" w:hAnsi="Arial"/>
                <w:sz w:val="16"/>
                <w:szCs w:val="16"/>
                <w:color w:val="auto"/>
              </w:rPr>
              <w:t>Level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center"/>
              <w:ind w:right="60"/>
              <w:spacing w:after="0"/>
              <w:rPr>
                <w:sz w:val="20"/>
                <w:szCs w:val="20"/>
                <w:color w:val="auto"/>
              </w:rPr>
            </w:pPr>
            <w:r>
              <w:rPr>
                <w:rFonts w:ascii="Arial" w:cs="Arial" w:eastAsia="Arial" w:hAnsi="Arial"/>
                <w:sz w:val="16"/>
                <w:szCs w:val="16"/>
                <w:color w:val="auto"/>
                <w:w w:val="99"/>
              </w:rPr>
              <w:t>Level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ind w:left="40"/>
              <w:spacing w:after="0"/>
              <w:rPr>
                <w:sz w:val="20"/>
                <w:szCs w:val="20"/>
                <w:color w:val="auto"/>
              </w:rPr>
            </w:pPr>
            <w:r>
              <w:rPr>
                <w:rFonts w:ascii="Arial" w:cs="Arial" w:eastAsia="Arial" w:hAnsi="Arial"/>
                <w:sz w:val="16"/>
                <w:szCs w:val="16"/>
                <w:color w:val="auto"/>
              </w:rPr>
              <w:t>Level</w:t>
            </w:r>
          </w:p>
        </w:tc>
        <w:tc>
          <w:tcPr>
            <w:tcW w:w="10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119"/>
              <w:spacing w:after="0"/>
              <w:rPr>
                <w:sz w:val="20"/>
                <w:szCs w:val="20"/>
                <w:color w:val="auto"/>
              </w:rPr>
            </w:pPr>
            <w:r>
              <w:rPr>
                <w:rFonts w:ascii="Arial" w:cs="Arial" w:eastAsia="Arial" w:hAnsi="Arial"/>
                <w:sz w:val="16"/>
                <w:szCs w:val="16"/>
                <w:color w:val="auto"/>
              </w:rPr>
              <w:t>Total</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center"/>
              <w:ind w:right="39"/>
              <w:spacing w:after="0"/>
              <w:rPr>
                <w:sz w:val="20"/>
                <w:szCs w:val="20"/>
                <w:color w:val="auto"/>
              </w:rPr>
            </w:pPr>
            <w:r>
              <w:rPr>
                <w:rFonts w:ascii="Arial" w:cs="Arial" w:eastAsia="Arial" w:hAnsi="Arial"/>
                <w:sz w:val="16"/>
                <w:szCs w:val="16"/>
                <w:color w:val="auto"/>
                <w:w w:val="99"/>
              </w:rPr>
              <w:t>One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center"/>
              <w:ind w:right="59"/>
              <w:spacing w:after="0"/>
              <w:rPr>
                <w:sz w:val="20"/>
                <w:szCs w:val="20"/>
                <w:color w:val="auto"/>
              </w:rPr>
            </w:pPr>
            <w:r>
              <w:rPr>
                <w:rFonts w:ascii="Arial" w:cs="Arial" w:eastAsia="Arial" w:hAnsi="Arial"/>
                <w:sz w:val="16"/>
                <w:szCs w:val="16"/>
                <w:color w:val="auto"/>
                <w:w w:val="99"/>
              </w:rPr>
              <w:t>Two</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auto"/>
              </w:rPr>
              <w:t>Three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8"/>
                <w:szCs w:val="18"/>
                <w:color w:val="auto"/>
              </w:rPr>
            </w:pPr>
          </w:p>
        </w:tc>
        <w:tc>
          <w:tcPr>
            <w:tcW w:w="560" w:type="dxa"/>
            <w:vAlign w:val="bottom"/>
          </w:tcPr>
          <w:p>
            <w:pPr>
              <w:jc w:val="center"/>
              <w:ind w:right="39"/>
              <w:spacing w:after="0"/>
              <w:rPr>
                <w:sz w:val="20"/>
                <w:szCs w:val="20"/>
                <w:color w:val="auto"/>
              </w:rPr>
            </w:pPr>
            <w:r>
              <w:rPr>
                <w:rFonts w:ascii="Arial" w:cs="Arial" w:eastAsia="Arial" w:hAnsi="Arial"/>
                <w:sz w:val="16"/>
                <w:szCs w:val="16"/>
                <w:color w:val="auto"/>
              </w:rPr>
              <w:t>One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center"/>
              <w:ind w:right="60"/>
              <w:spacing w:after="0"/>
              <w:rPr>
                <w:sz w:val="20"/>
                <w:szCs w:val="20"/>
                <w:color w:val="auto"/>
              </w:rPr>
            </w:pPr>
            <w:r>
              <w:rPr>
                <w:rFonts w:ascii="Arial" w:cs="Arial" w:eastAsia="Arial" w:hAnsi="Arial"/>
                <w:sz w:val="16"/>
                <w:szCs w:val="16"/>
                <w:color w:val="auto"/>
                <w:w w:val="99"/>
              </w:rPr>
              <w:t>Two</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Arial" w:cs="Arial" w:eastAsia="Arial" w:hAnsi="Arial"/>
                <w:sz w:val="16"/>
                <w:szCs w:val="16"/>
                <w:color w:val="auto"/>
              </w:rPr>
              <w:t>Three</w:t>
            </w:r>
          </w:p>
        </w:tc>
      </w:tr>
      <w:tr>
        <w:trPr>
          <w:trHeight w:val="211"/>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 Category:</w:t>
            </w:r>
          </w:p>
        </w:tc>
        <w:tc>
          <w:tcPr>
            <w:tcW w:w="1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33</w:t>
            </w:r>
          </w:p>
        </w:tc>
        <w:tc>
          <w:tcPr>
            <w:tcW w:w="3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33</w:t>
            </w:r>
          </w:p>
        </w:tc>
        <w:tc>
          <w:tcPr>
            <w:tcW w:w="3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77</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Equity Securities:</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ind w:left="200"/>
              <w:spacing w:after="0"/>
              <w:rPr>
                <w:sz w:val="20"/>
                <w:szCs w:val="20"/>
                <w:color w:val="auto"/>
              </w:rPr>
            </w:pPr>
            <w:r>
              <w:rPr>
                <w:rFonts w:ascii="Arial" w:cs="Arial" w:eastAsia="Arial" w:hAnsi="Arial"/>
                <w:sz w:val="16"/>
                <w:szCs w:val="16"/>
                <w:color w:val="auto"/>
              </w:rPr>
              <w:t>US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6"/>
        </w:trPr>
        <w:tc>
          <w:tcPr>
            <w:tcW w:w="3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International</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6"/>
                <w:szCs w:val="16"/>
                <w:b w:val="1"/>
                <w:bCs w:val="1"/>
                <w:color w:val="auto"/>
              </w:rPr>
              <w:t>Debt Securities: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Corporate bonds</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1,540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1,540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1,775</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ind w:left="200"/>
              <w:spacing w:after="0"/>
              <w:rPr>
                <w:sz w:val="20"/>
                <w:szCs w:val="20"/>
                <w:color w:val="auto"/>
              </w:rPr>
            </w:pPr>
            <w:r>
              <w:rPr>
                <w:rFonts w:ascii="Arial" w:cs="Arial" w:eastAsia="Arial" w:hAnsi="Arial"/>
                <w:sz w:val="16"/>
                <w:szCs w:val="16"/>
                <w:color w:val="auto"/>
              </w:rPr>
              <w:t>Government and related debt securities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1,334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163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1,171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6"/>
        </w:trPr>
        <w:tc>
          <w:tcPr>
            <w:tcW w:w="3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6"/>
                <w:szCs w:val="16"/>
                <w:b w:val="1"/>
                <w:bCs w:val="1"/>
                <w:color w:val="auto"/>
              </w:rPr>
              <w:t>Alternative Investments: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Private equity</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287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287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ind w:left="200"/>
              <w:spacing w:after="0"/>
              <w:rPr>
                <w:sz w:val="20"/>
                <w:szCs w:val="20"/>
                <w:color w:val="auto"/>
              </w:rPr>
            </w:pPr>
            <w:r>
              <w:rPr>
                <w:rFonts w:ascii="Arial" w:cs="Arial" w:eastAsia="Arial" w:hAnsi="Arial"/>
                <w:sz w:val="16"/>
                <w:szCs w:val="16"/>
                <w:color w:val="auto"/>
              </w:rPr>
              <w:t>Private debt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148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r>
      <w:tr>
        <w:trPr>
          <w:trHeight w:val="216"/>
        </w:trPr>
        <w:tc>
          <w:tcPr>
            <w:tcW w:w="3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Real estate</w:t>
            </w:r>
          </w:p>
        </w:tc>
        <w:tc>
          <w:tcPr>
            <w:tcW w:w="1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67</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67</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820" w:type="dxa"/>
            <w:vAlign w:val="bottom"/>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3,427</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w:t>
            </w: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2,729</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502</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3,396</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2,668</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4"/>
        </w:trPr>
        <w:tc>
          <w:tcPr>
            <w:tcW w:w="3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5"/>
          </w:tcPr>
          <w:p>
            <w:pPr>
              <w:ind w:left="320"/>
              <w:spacing w:after="0"/>
              <w:rPr>
                <w:sz w:val="20"/>
                <w:szCs w:val="20"/>
                <w:color w:val="auto"/>
              </w:rPr>
            </w:pPr>
            <w:r>
              <w:rPr>
                <w:rFonts w:ascii="Arial" w:cs="Arial" w:eastAsia="Arial" w:hAnsi="Arial"/>
                <w:sz w:val="14"/>
                <w:szCs w:val="14"/>
                <w:i w:val="1"/>
                <w:iCs w:val="1"/>
                <w:color w:val="auto"/>
              </w:rPr>
              <w:t>(Stated in millions)</w:t>
            </w:r>
          </w:p>
        </w:tc>
      </w:tr>
      <w:tr>
        <w:trPr>
          <w:trHeight w:val="425"/>
        </w:trPr>
        <w:tc>
          <w:tcPr>
            <w:tcW w:w="3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7"/>
          </w:tcPr>
          <w:p>
            <w:pPr>
              <w:ind w:left="80"/>
              <w:spacing w:after="0"/>
              <w:rPr>
                <w:sz w:val="20"/>
                <w:szCs w:val="20"/>
                <w:color w:val="auto"/>
              </w:rPr>
            </w:pPr>
            <w:r>
              <w:rPr>
                <w:rFonts w:ascii="Arial" w:cs="Arial" w:eastAsia="Arial" w:hAnsi="Arial"/>
                <w:sz w:val="16"/>
                <w:szCs w:val="16"/>
                <w:color w:val="auto"/>
              </w:rPr>
              <w:t>International Plan Assets</w:t>
            </w: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2022</w:t>
            </w:r>
          </w:p>
        </w:tc>
        <w:tc>
          <w:tcPr>
            <w:tcW w:w="5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center"/>
              <w:ind w:right="39"/>
              <w:spacing w:after="0"/>
              <w:rPr>
                <w:sz w:val="20"/>
                <w:szCs w:val="20"/>
                <w:color w:val="auto"/>
              </w:rPr>
            </w:pPr>
            <w:r>
              <w:rPr>
                <w:rFonts w:ascii="Arial" w:cs="Arial" w:eastAsia="Arial" w:hAnsi="Arial"/>
                <w:sz w:val="16"/>
                <w:szCs w:val="16"/>
                <w:color w:val="auto"/>
                <w:w w:val="99"/>
              </w:rPr>
              <w:t>Level</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center"/>
              <w:ind w:right="39"/>
              <w:spacing w:after="0"/>
              <w:rPr>
                <w:sz w:val="20"/>
                <w:szCs w:val="20"/>
                <w:color w:val="auto"/>
              </w:rPr>
            </w:pPr>
            <w:r>
              <w:rPr>
                <w:rFonts w:ascii="Arial" w:cs="Arial" w:eastAsia="Arial" w:hAnsi="Arial"/>
                <w:sz w:val="16"/>
                <w:szCs w:val="16"/>
                <w:color w:val="auto"/>
              </w:rPr>
              <w:t>Level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auto"/>
              </w:rPr>
              <w:t>Level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center"/>
              <w:ind w:right="39"/>
              <w:spacing w:after="0"/>
              <w:rPr>
                <w:sz w:val="20"/>
                <w:szCs w:val="20"/>
                <w:color w:val="auto"/>
              </w:rPr>
            </w:pPr>
            <w:r>
              <w:rPr>
                <w:rFonts w:ascii="Arial" w:cs="Arial" w:eastAsia="Arial" w:hAnsi="Arial"/>
                <w:sz w:val="16"/>
                <w:szCs w:val="16"/>
                <w:color w:val="auto"/>
              </w:rPr>
              <w:t>Level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center"/>
              <w:ind w:right="60"/>
              <w:spacing w:after="0"/>
              <w:rPr>
                <w:sz w:val="20"/>
                <w:szCs w:val="20"/>
                <w:color w:val="auto"/>
              </w:rPr>
            </w:pPr>
            <w:r>
              <w:rPr>
                <w:rFonts w:ascii="Arial" w:cs="Arial" w:eastAsia="Arial" w:hAnsi="Arial"/>
                <w:sz w:val="16"/>
                <w:szCs w:val="16"/>
                <w:color w:val="auto"/>
                <w:w w:val="99"/>
              </w:rPr>
              <w:t>Level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ind w:left="40"/>
              <w:spacing w:after="0"/>
              <w:rPr>
                <w:sz w:val="20"/>
                <w:szCs w:val="20"/>
                <w:color w:val="auto"/>
              </w:rPr>
            </w:pPr>
            <w:r>
              <w:rPr>
                <w:rFonts w:ascii="Arial" w:cs="Arial" w:eastAsia="Arial" w:hAnsi="Arial"/>
                <w:sz w:val="16"/>
                <w:szCs w:val="16"/>
                <w:color w:val="auto"/>
              </w:rPr>
              <w:t>Level</w:t>
            </w:r>
          </w:p>
        </w:tc>
        <w:tc>
          <w:tcPr>
            <w:tcW w:w="10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119"/>
              <w:spacing w:after="0"/>
              <w:rPr>
                <w:sz w:val="20"/>
                <w:szCs w:val="20"/>
                <w:color w:val="auto"/>
              </w:rPr>
            </w:pPr>
            <w:r>
              <w:rPr>
                <w:rFonts w:ascii="Arial" w:cs="Arial" w:eastAsia="Arial" w:hAnsi="Arial"/>
                <w:sz w:val="16"/>
                <w:szCs w:val="16"/>
                <w:color w:val="auto"/>
              </w:rPr>
              <w:t>Total</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center"/>
              <w:ind w:right="39"/>
              <w:spacing w:after="0"/>
              <w:rPr>
                <w:sz w:val="20"/>
                <w:szCs w:val="20"/>
                <w:color w:val="auto"/>
              </w:rPr>
            </w:pPr>
            <w:r>
              <w:rPr>
                <w:rFonts w:ascii="Arial" w:cs="Arial" w:eastAsia="Arial" w:hAnsi="Arial"/>
                <w:sz w:val="16"/>
                <w:szCs w:val="16"/>
                <w:color w:val="auto"/>
                <w:w w:val="99"/>
              </w:rPr>
              <w:t>One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center"/>
              <w:ind w:right="59"/>
              <w:spacing w:after="0"/>
              <w:rPr>
                <w:sz w:val="20"/>
                <w:szCs w:val="20"/>
                <w:color w:val="auto"/>
              </w:rPr>
            </w:pPr>
            <w:r>
              <w:rPr>
                <w:rFonts w:ascii="Arial" w:cs="Arial" w:eastAsia="Arial" w:hAnsi="Arial"/>
                <w:sz w:val="16"/>
                <w:szCs w:val="16"/>
                <w:color w:val="auto"/>
                <w:w w:val="99"/>
              </w:rPr>
              <w:t>Two</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auto"/>
              </w:rPr>
              <w:t>Three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8"/>
                <w:szCs w:val="18"/>
                <w:color w:val="auto"/>
              </w:rPr>
            </w:pPr>
          </w:p>
        </w:tc>
        <w:tc>
          <w:tcPr>
            <w:tcW w:w="560" w:type="dxa"/>
            <w:vAlign w:val="bottom"/>
          </w:tcPr>
          <w:p>
            <w:pPr>
              <w:jc w:val="center"/>
              <w:ind w:right="39"/>
              <w:spacing w:after="0"/>
              <w:rPr>
                <w:sz w:val="20"/>
                <w:szCs w:val="20"/>
                <w:color w:val="auto"/>
              </w:rPr>
            </w:pPr>
            <w:r>
              <w:rPr>
                <w:rFonts w:ascii="Arial" w:cs="Arial" w:eastAsia="Arial" w:hAnsi="Arial"/>
                <w:sz w:val="16"/>
                <w:szCs w:val="16"/>
                <w:color w:val="auto"/>
              </w:rPr>
              <w:t>One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center"/>
              <w:ind w:right="60"/>
              <w:spacing w:after="0"/>
              <w:rPr>
                <w:sz w:val="20"/>
                <w:szCs w:val="20"/>
                <w:color w:val="auto"/>
              </w:rPr>
            </w:pPr>
            <w:r>
              <w:rPr>
                <w:rFonts w:ascii="Arial" w:cs="Arial" w:eastAsia="Arial" w:hAnsi="Arial"/>
                <w:sz w:val="16"/>
                <w:szCs w:val="16"/>
                <w:color w:val="auto"/>
                <w:w w:val="99"/>
              </w:rPr>
              <w:t>Two</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Arial" w:cs="Arial" w:eastAsia="Arial" w:hAnsi="Arial"/>
                <w:sz w:val="16"/>
                <w:szCs w:val="16"/>
                <w:color w:val="auto"/>
              </w:rPr>
              <w:t>Three</w:t>
            </w:r>
          </w:p>
        </w:tc>
      </w:tr>
      <w:tr>
        <w:trPr>
          <w:trHeight w:val="210"/>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 Category:</w:t>
            </w:r>
          </w:p>
        </w:tc>
        <w:tc>
          <w:tcPr>
            <w:tcW w:w="1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267</w:t>
            </w:r>
          </w:p>
        </w:tc>
        <w:tc>
          <w:tcPr>
            <w:tcW w:w="3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260</w:t>
            </w:r>
          </w:p>
        </w:tc>
        <w:tc>
          <w:tcPr>
            <w:tcW w:w="3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3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170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163</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Equity Securities:</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ind w:left="200"/>
              <w:spacing w:after="0"/>
              <w:rPr>
                <w:sz w:val="20"/>
                <w:szCs w:val="20"/>
                <w:color w:val="auto"/>
              </w:rPr>
            </w:pPr>
            <w:r>
              <w:rPr>
                <w:rFonts w:ascii="Arial" w:cs="Arial" w:eastAsia="Arial" w:hAnsi="Arial"/>
                <w:sz w:val="16"/>
                <w:szCs w:val="16"/>
                <w:color w:val="auto"/>
              </w:rPr>
              <w:t>US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84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84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497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6"/>
        </w:trPr>
        <w:tc>
          <w:tcPr>
            <w:tcW w:w="3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International</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6"/>
                <w:szCs w:val="16"/>
                <w:b w:val="1"/>
                <w:bCs w:val="1"/>
                <w:color w:val="auto"/>
              </w:rPr>
              <w:t>Debt Securities: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Corporate bonds</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3,001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3,001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ind w:left="200"/>
              <w:spacing w:after="0"/>
              <w:rPr>
                <w:sz w:val="20"/>
                <w:szCs w:val="20"/>
                <w:color w:val="auto"/>
              </w:rPr>
            </w:pPr>
            <w:r>
              <w:rPr>
                <w:rFonts w:ascii="Arial" w:cs="Arial" w:eastAsia="Arial" w:hAnsi="Arial"/>
                <w:sz w:val="16"/>
                <w:szCs w:val="16"/>
                <w:color w:val="auto"/>
              </w:rPr>
              <w:t>Government and related debt securities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2,466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563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1,903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6"/>
        </w:trPr>
        <w:tc>
          <w:tcPr>
            <w:tcW w:w="3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6"/>
                <w:szCs w:val="16"/>
                <w:b w:val="1"/>
                <w:bCs w:val="1"/>
                <w:color w:val="auto"/>
              </w:rPr>
              <w:t>Alternative Investments: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Private equity</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1,269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1,269</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1,362</w:t>
            </w: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ind w:left="200"/>
              <w:spacing w:after="0"/>
              <w:rPr>
                <w:sz w:val="20"/>
                <w:szCs w:val="20"/>
                <w:color w:val="auto"/>
              </w:rPr>
            </w:pPr>
            <w:r>
              <w:rPr>
                <w:rFonts w:ascii="Arial" w:cs="Arial" w:eastAsia="Arial" w:hAnsi="Arial"/>
                <w:sz w:val="16"/>
                <w:szCs w:val="16"/>
                <w:color w:val="auto"/>
              </w:rPr>
              <w:t>Private debt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805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805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1,041</w:t>
            </w:r>
          </w:p>
        </w:tc>
        <w:tc>
          <w:tcPr>
            <w:tcW w:w="100" w:type="dxa"/>
            <w:vAlign w:val="bottom"/>
          </w:tcPr>
          <w:p>
            <w:pPr>
              <w:spacing w:after="0"/>
              <w:rPr>
                <w:sz w:val="18"/>
                <w:szCs w:val="18"/>
                <w:color w:val="auto"/>
              </w:rPr>
            </w:pPr>
          </w:p>
        </w:tc>
      </w:tr>
      <w:tr>
        <w:trPr>
          <w:trHeight w:val="216"/>
        </w:trPr>
        <w:tc>
          <w:tcPr>
            <w:tcW w:w="3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Real estate</w:t>
            </w:r>
          </w:p>
        </w:tc>
        <w:tc>
          <w:tcPr>
            <w:tcW w:w="1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168</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168</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820" w:type="dxa"/>
            <w:vAlign w:val="bottom"/>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8,390</w:t>
            </w:r>
          </w:p>
        </w:tc>
        <w:tc>
          <w:tcPr>
            <w:tcW w:w="3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945</w:t>
            </w:r>
          </w:p>
        </w:tc>
        <w:tc>
          <w:tcPr>
            <w:tcW w:w="3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5,203</w:t>
            </w:r>
          </w:p>
        </w:tc>
        <w:tc>
          <w:tcPr>
            <w:tcW w:w="3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2,242</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8,126</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1,269</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4,274</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2,583</w:t>
            </w:r>
          </w:p>
        </w:tc>
        <w:tc>
          <w:tcPr>
            <w:tcW w:w="100" w:type="dxa"/>
            <w:vAlign w:val="bottom"/>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-3076575</wp:posOffset>
            </wp:positionV>
            <wp:extent cx="7683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-3076575</wp:posOffset>
            </wp:positionV>
            <wp:extent cx="7683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-3076575</wp:posOffset>
            </wp:positionV>
            <wp:extent cx="7747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-3076575</wp:posOffset>
            </wp:positionV>
            <wp:extent cx="685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-3076575</wp:posOffset>
            </wp:positionV>
            <wp:extent cx="6858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-3076575</wp:posOffset>
            </wp:positionV>
            <wp:extent cx="6858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-3076575</wp:posOffset>
            </wp:positionV>
            <wp:extent cx="6858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-3076575</wp:posOffset>
            </wp:positionV>
            <wp:extent cx="6858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-170815</wp:posOffset>
            </wp:positionV>
            <wp:extent cx="7683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-170815</wp:posOffset>
            </wp:positionV>
            <wp:extent cx="768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-170815</wp:posOffset>
            </wp:positionV>
            <wp:extent cx="7747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-170815</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-170815</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SLB’s funding policy is to contribute amounts that are based upon a number of factors including the funded status of the plans, amounts that are deductible for income tax purposes, legal funding requirements, and available cash flow. SLB does not expect to make any material contributions to its postretirement benefit plans in 2024.</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Postretirement Benefits Other Than Pensions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SLB provides healthcare benefits to certain former US employees who have retired.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53" w:name="page54"/>
    <w:bookmarkEnd w:id="53"/>
    <w:p>
      <w:pPr>
        <w:ind w:right="40"/>
        <w:spacing w:after="0" w:line="286" w:lineRule="auto"/>
        <w:rPr>
          <w:sz w:val="20"/>
          <w:szCs w:val="20"/>
          <w:color w:val="auto"/>
        </w:rPr>
      </w:pPr>
      <w:r>
        <w:rPr>
          <w:rFonts w:ascii="Arial" w:cs="Arial" w:eastAsia="Arial" w:hAnsi="Arial"/>
          <w:sz w:val="16"/>
          <w:szCs w:val="16"/>
          <w:color w:val="auto"/>
        </w:rPr>
        <w:t>The actuarial assumptions used to determine the accumulated postretirement benefit obligation and net periodic benefit cost for the US postretirement medical plan were as follows: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6"/>
          </w:tcPr>
          <w:p>
            <w:pPr>
              <w:jc w:val="right"/>
              <w:ind w:right="760"/>
              <w:spacing w:after="0"/>
              <w:rPr>
                <w:sz w:val="20"/>
                <w:szCs w:val="20"/>
                <w:color w:val="auto"/>
              </w:rPr>
            </w:pPr>
            <w:r>
              <w:rPr>
                <w:rFonts w:ascii="Arial" w:cs="Arial" w:eastAsia="Arial" w:hAnsi="Arial"/>
                <w:sz w:val="16"/>
                <w:szCs w:val="16"/>
                <w:color w:val="auto"/>
              </w:rPr>
              <w:t>Benefit Obligation</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8"/>
          </w:tcPr>
          <w:p>
            <w:pPr>
              <w:jc w:val="center"/>
              <w:spacing w:after="0"/>
              <w:rPr>
                <w:sz w:val="20"/>
                <w:szCs w:val="20"/>
                <w:color w:val="auto"/>
              </w:rPr>
            </w:pPr>
            <w:r>
              <w:rPr>
                <w:rFonts w:ascii="Arial" w:cs="Arial" w:eastAsia="Arial" w:hAnsi="Arial"/>
                <w:sz w:val="16"/>
                <w:szCs w:val="16"/>
                <w:color w:val="auto"/>
              </w:rPr>
              <w:t>Net Periodic Benefit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6"/>
          </w:tcPr>
          <w:p>
            <w:pPr>
              <w:jc w:val="right"/>
              <w:ind w:right="780"/>
              <w:spacing w:after="0"/>
              <w:rPr>
                <w:sz w:val="20"/>
                <w:szCs w:val="20"/>
                <w:color w:val="auto"/>
              </w:rPr>
            </w:pPr>
            <w:r>
              <w:rPr>
                <w:rFonts w:ascii="Arial" w:cs="Arial" w:eastAsia="Arial" w:hAnsi="Arial"/>
                <w:sz w:val="16"/>
                <w:szCs w:val="16"/>
                <w:color w:val="auto"/>
              </w:rPr>
              <w:t>At December 31,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8"/>
          </w:tcPr>
          <w:p>
            <w:pPr>
              <w:jc w:val="center"/>
              <w:spacing w:after="0"/>
              <w:rPr>
                <w:sz w:val="20"/>
                <w:szCs w:val="20"/>
                <w:color w:val="auto"/>
              </w:rPr>
            </w:pPr>
            <w:r>
              <w:rPr>
                <w:rFonts w:ascii="Arial" w:cs="Arial" w:eastAsia="Arial" w:hAnsi="Arial"/>
                <w:sz w:val="16"/>
                <w:szCs w:val="16"/>
                <w:color w:val="auto"/>
              </w:rPr>
              <w:t>Cost for the Year</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1"/>
        </w:trPr>
        <w:tc>
          <w:tcPr>
            <w:tcW w:w="50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4"/>
          </w:tcPr>
          <w:p>
            <w:pPr>
              <w:ind w:left="340"/>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2022</w:t>
            </w: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Discount rate</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5.25 %</w:t>
            </w:r>
          </w:p>
        </w:tc>
        <w:tc>
          <w:tcPr>
            <w:tcW w:w="2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6"/>
                <w:szCs w:val="16"/>
                <w:color w:val="auto"/>
              </w:rPr>
              <w:t>5.50 %</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ind w:left="100"/>
              <w:spacing w:after="0"/>
              <w:rPr>
                <w:sz w:val="20"/>
                <w:szCs w:val="20"/>
                <w:color w:val="auto"/>
              </w:rPr>
            </w:pPr>
            <w:r>
              <w:rPr>
                <w:rFonts w:ascii="Arial" w:cs="Arial" w:eastAsia="Arial" w:hAnsi="Arial"/>
                <w:sz w:val="16"/>
                <w:szCs w:val="16"/>
                <w:b w:val="1"/>
                <w:bCs w:val="1"/>
                <w:color w:val="auto"/>
              </w:rPr>
              <w:t>5.50 %</w:t>
            </w:r>
          </w:p>
        </w:tc>
        <w:tc>
          <w:tcPr>
            <w:tcW w:w="1220" w:type="dxa"/>
            <w:vAlign w:val="bottom"/>
            <w:gridSpan w:val="6"/>
          </w:tcPr>
          <w:p>
            <w:pPr>
              <w:jc w:val="right"/>
              <w:spacing w:after="0"/>
              <w:rPr>
                <w:sz w:val="20"/>
                <w:szCs w:val="20"/>
                <w:color w:val="auto"/>
              </w:rPr>
            </w:pPr>
            <w:r>
              <w:rPr>
                <w:rFonts w:ascii="Arial" w:cs="Arial" w:eastAsia="Arial" w:hAnsi="Arial"/>
                <w:sz w:val="16"/>
                <w:szCs w:val="16"/>
                <w:color w:val="auto"/>
              </w:rPr>
              <w:t>3.00 %</w:t>
            </w:r>
          </w:p>
        </w:tc>
        <w:tc>
          <w:tcPr>
            <w:tcW w:w="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2.60 %</w:t>
            </w:r>
          </w:p>
        </w:tc>
      </w:tr>
      <w:tr>
        <w:trPr>
          <w:trHeight w:val="216"/>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Return on plan assets</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ind w:left="100"/>
              <w:spacing w:after="0"/>
              <w:rPr>
                <w:sz w:val="20"/>
                <w:szCs w:val="20"/>
                <w:color w:val="auto"/>
              </w:rPr>
            </w:pPr>
            <w:r>
              <w:rPr>
                <w:rFonts w:ascii="Arial" w:cs="Arial" w:eastAsia="Arial" w:hAnsi="Arial"/>
                <w:sz w:val="16"/>
                <w:szCs w:val="16"/>
                <w:b w:val="1"/>
                <w:bCs w:val="1"/>
                <w:color w:val="auto"/>
              </w:rPr>
              <w:t>4.41 %</w:t>
            </w:r>
          </w:p>
        </w:tc>
        <w:tc>
          <w:tcPr>
            <w:tcW w:w="1220" w:type="dxa"/>
            <w:vAlign w:val="bottom"/>
            <w:gridSpan w:val="6"/>
          </w:tcPr>
          <w:p>
            <w:pPr>
              <w:jc w:val="right"/>
              <w:spacing w:after="0"/>
              <w:rPr>
                <w:sz w:val="20"/>
                <w:szCs w:val="20"/>
                <w:color w:val="auto"/>
              </w:rPr>
            </w:pPr>
            <w:r>
              <w:rPr>
                <w:rFonts w:ascii="Arial" w:cs="Arial" w:eastAsia="Arial" w:hAnsi="Arial"/>
                <w:sz w:val="16"/>
                <w:szCs w:val="16"/>
                <w:color w:val="auto"/>
              </w:rPr>
              <w:t>2.94 %</w:t>
            </w:r>
          </w:p>
        </w:tc>
        <w:tc>
          <w:tcPr>
            <w:tcW w:w="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6.21 %</w:t>
            </w:r>
          </w:p>
        </w:tc>
      </w:tr>
      <w:tr>
        <w:trPr>
          <w:trHeight w:val="216"/>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Current medical cost trend rate</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7.50 %</w:t>
            </w:r>
          </w:p>
        </w:tc>
        <w:tc>
          <w:tcPr>
            <w:tcW w:w="2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6"/>
                <w:szCs w:val="16"/>
                <w:color w:val="auto"/>
              </w:rPr>
              <w:t>7.50 %</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ind w:left="100"/>
              <w:spacing w:after="0"/>
              <w:rPr>
                <w:sz w:val="20"/>
                <w:szCs w:val="20"/>
                <w:color w:val="auto"/>
              </w:rPr>
            </w:pPr>
            <w:r>
              <w:rPr>
                <w:rFonts w:ascii="Arial" w:cs="Arial" w:eastAsia="Arial" w:hAnsi="Arial"/>
                <w:sz w:val="16"/>
                <w:szCs w:val="16"/>
                <w:b w:val="1"/>
                <w:bCs w:val="1"/>
                <w:color w:val="auto"/>
              </w:rPr>
              <w:t>7.50 %</w:t>
            </w:r>
          </w:p>
        </w:tc>
        <w:tc>
          <w:tcPr>
            <w:tcW w:w="1220" w:type="dxa"/>
            <w:vAlign w:val="bottom"/>
            <w:gridSpan w:val="6"/>
          </w:tcPr>
          <w:p>
            <w:pPr>
              <w:jc w:val="right"/>
              <w:spacing w:after="0"/>
              <w:rPr>
                <w:sz w:val="20"/>
                <w:szCs w:val="20"/>
                <w:color w:val="auto"/>
              </w:rPr>
            </w:pPr>
            <w:r>
              <w:rPr>
                <w:rFonts w:ascii="Arial" w:cs="Arial" w:eastAsia="Arial" w:hAnsi="Arial"/>
                <w:sz w:val="16"/>
                <w:szCs w:val="16"/>
                <w:color w:val="auto"/>
              </w:rPr>
              <w:t>6.75 %</w:t>
            </w:r>
          </w:p>
        </w:tc>
        <w:tc>
          <w:tcPr>
            <w:tcW w:w="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7.00 %</w:t>
            </w:r>
          </w:p>
        </w:tc>
      </w:tr>
      <w:tr>
        <w:trPr>
          <w:trHeight w:val="216"/>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Ultimate medical cost trend rate</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4.50 %</w:t>
            </w:r>
          </w:p>
        </w:tc>
        <w:tc>
          <w:tcPr>
            <w:tcW w:w="2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6"/>
                <w:szCs w:val="16"/>
                <w:color w:val="auto"/>
              </w:rPr>
              <w:t>4.50 %</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ind w:left="100"/>
              <w:spacing w:after="0"/>
              <w:rPr>
                <w:sz w:val="20"/>
                <w:szCs w:val="20"/>
                <w:color w:val="auto"/>
              </w:rPr>
            </w:pPr>
            <w:r>
              <w:rPr>
                <w:rFonts w:ascii="Arial" w:cs="Arial" w:eastAsia="Arial" w:hAnsi="Arial"/>
                <w:sz w:val="16"/>
                <w:szCs w:val="16"/>
                <w:b w:val="1"/>
                <w:bCs w:val="1"/>
                <w:color w:val="auto"/>
              </w:rPr>
              <w:t>4.50 %</w:t>
            </w:r>
          </w:p>
        </w:tc>
        <w:tc>
          <w:tcPr>
            <w:tcW w:w="1220" w:type="dxa"/>
            <w:vAlign w:val="bottom"/>
            <w:gridSpan w:val="6"/>
          </w:tcPr>
          <w:p>
            <w:pPr>
              <w:jc w:val="right"/>
              <w:spacing w:after="0"/>
              <w:rPr>
                <w:sz w:val="20"/>
                <w:szCs w:val="20"/>
                <w:color w:val="auto"/>
              </w:rPr>
            </w:pPr>
            <w:r>
              <w:rPr>
                <w:rFonts w:ascii="Arial" w:cs="Arial" w:eastAsia="Arial" w:hAnsi="Arial"/>
                <w:sz w:val="16"/>
                <w:szCs w:val="16"/>
                <w:color w:val="auto"/>
              </w:rPr>
              <w:t>4.50 %</w:t>
            </w:r>
          </w:p>
        </w:tc>
        <w:tc>
          <w:tcPr>
            <w:tcW w:w="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4.50 %</w:t>
            </w:r>
          </w:p>
        </w:tc>
      </w:tr>
      <w:tr>
        <w:trPr>
          <w:trHeight w:val="216"/>
        </w:trPr>
        <w:tc>
          <w:tcPr>
            <w:tcW w:w="52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Year that the rate reaches the ultimate trend rate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2035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ind w:left="40"/>
              <w:spacing w:after="0"/>
              <w:rPr>
                <w:sz w:val="20"/>
                <w:szCs w:val="20"/>
                <w:color w:val="auto"/>
              </w:rPr>
            </w:pPr>
            <w:r>
              <w:rPr>
                <w:rFonts w:ascii="Arial" w:cs="Arial" w:eastAsia="Arial" w:hAnsi="Arial"/>
                <w:sz w:val="16"/>
                <w:szCs w:val="16"/>
                <w:b w:val="1"/>
                <w:bCs w:val="1"/>
                <w:color w:val="auto"/>
              </w:rPr>
              <w:t>2035</w:t>
            </w:r>
          </w:p>
        </w:tc>
        <w:tc>
          <w:tcPr>
            <w:tcW w:w="220" w:type="dxa"/>
            <w:vAlign w:val="bottom"/>
            <w:shd w:val="clear" w:color="auto" w:fill="CFF0FC"/>
          </w:tcPr>
          <w:p>
            <w:pPr>
              <w:spacing w:after="0"/>
              <w:rPr>
                <w:sz w:val="18"/>
                <w:szCs w:val="18"/>
                <w:color w:val="auto"/>
              </w:rPr>
            </w:pPr>
          </w:p>
        </w:tc>
        <w:tc>
          <w:tcPr>
            <w:tcW w:w="1000" w:type="dxa"/>
            <w:vAlign w:val="bottom"/>
            <w:gridSpan w:val="5"/>
            <w:shd w:val="clear" w:color="auto" w:fill="CFF0FC"/>
          </w:tcPr>
          <w:p>
            <w:pPr>
              <w:jc w:val="right"/>
              <w:spacing w:after="0"/>
              <w:rPr>
                <w:sz w:val="20"/>
                <w:szCs w:val="20"/>
                <w:color w:val="auto"/>
              </w:rPr>
            </w:pPr>
            <w:r>
              <w:rPr>
                <w:rFonts w:ascii="Arial" w:cs="Arial" w:eastAsia="Arial" w:hAnsi="Arial"/>
                <w:sz w:val="16"/>
                <w:szCs w:val="16"/>
                <w:color w:val="auto"/>
              </w:rPr>
              <w:t>2031</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2031</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430"/>
        </w:trPr>
        <w:tc>
          <w:tcPr>
            <w:tcW w:w="6560" w:type="dxa"/>
            <w:vAlign w:val="bottom"/>
            <w:gridSpan w:val="5"/>
          </w:tcPr>
          <w:p>
            <w:pPr>
              <w:spacing w:after="0"/>
              <w:rPr>
                <w:sz w:val="20"/>
                <w:szCs w:val="20"/>
                <w:color w:val="auto"/>
              </w:rPr>
            </w:pPr>
            <w:r>
              <w:rPr>
                <w:rFonts w:ascii="Arial" w:cs="Arial" w:eastAsia="Arial" w:hAnsi="Arial"/>
                <w:sz w:val="16"/>
                <w:szCs w:val="16"/>
                <w:color w:val="auto"/>
              </w:rPr>
              <w:t>The net credit for the US postretirement medical plan included the following components: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2"/>
        </w:trPr>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gridSpan w:val="5"/>
          </w:tcPr>
          <w:p>
            <w:pPr>
              <w:jc w:val="right"/>
              <w:ind w:right="160"/>
              <w:spacing w:after="0"/>
              <w:rPr>
                <w:sz w:val="20"/>
                <w:szCs w:val="20"/>
                <w:color w:val="auto"/>
              </w:rPr>
            </w:pPr>
            <w:r>
              <w:rPr>
                <w:rFonts w:ascii="Arial" w:cs="Arial" w:eastAsia="Arial" w:hAnsi="Arial"/>
                <w:sz w:val="14"/>
                <w:szCs w:val="14"/>
                <w:i w:val="1"/>
                <w:iCs w:val="1"/>
                <w:color w:val="auto"/>
              </w:rPr>
              <w:t>(Stated in millions)</w:t>
            </w:r>
          </w:p>
        </w:tc>
      </w:tr>
      <w:tr>
        <w:trPr>
          <w:trHeight w:val="427"/>
        </w:trPr>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color w:val="auto"/>
              </w:rPr>
              <w:t>2022</w:t>
            </w:r>
          </w:p>
        </w:tc>
        <w:tc>
          <w:tcPr>
            <w:tcW w:w="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9"/>
        </w:trPr>
        <w:tc>
          <w:tcPr>
            <w:tcW w:w="52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Service cost</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16</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23</w:t>
            </w:r>
          </w:p>
        </w:tc>
        <w:tc>
          <w:tcPr>
            <w:tcW w:w="520" w:type="dxa"/>
            <w:vAlign w:val="bottom"/>
            <w:gridSpan w:val="4"/>
            <w:shd w:val="clear" w:color="auto" w:fill="CFF0FC"/>
          </w:tcPr>
          <w:p>
            <w:pPr>
              <w:jc w:val="right"/>
              <w:ind w:right="88"/>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Interest cost</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b w:val="1"/>
                <w:bCs w:val="1"/>
                <w:color w:val="auto"/>
              </w:rPr>
              <w:t>42</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Expected return on plan assets</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gridSpan w:val="3"/>
            <w:shd w:val="clear" w:color="auto" w:fill="CFF0FC"/>
          </w:tcPr>
          <w:p>
            <w:pPr>
              <w:ind w:left="80"/>
              <w:spacing w:after="0"/>
              <w:rPr>
                <w:sz w:val="20"/>
                <w:szCs w:val="20"/>
                <w:color w:val="auto"/>
              </w:rPr>
            </w:pPr>
            <w:r>
              <w:rPr>
                <w:rFonts w:ascii="Arial" w:cs="Arial" w:eastAsia="Arial" w:hAnsi="Arial"/>
                <w:sz w:val="16"/>
                <w:szCs w:val="16"/>
                <w:b w:val="1"/>
                <w:bCs w:val="1"/>
                <w:color w:val="auto"/>
              </w:rPr>
              <w:t>(41 )</w:t>
            </w: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4"/>
            <w:shd w:val="clear" w:color="auto" w:fill="CFF0FC"/>
          </w:tcPr>
          <w:p>
            <w:pPr>
              <w:jc w:val="right"/>
              <w:ind w:right="119"/>
              <w:spacing w:after="0"/>
              <w:rPr>
                <w:sz w:val="20"/>
                <w:szCs w:val="20"/>
                <w:color w:val="auto"/>
              </w:rPr>
            </w:pPr>
            <w:r>
              <w:rPr>
                <w:rFonts w:ascii="Arial" w:cs="Arial" w:eastAsia="Arial" w:hAnsi="Arial"/>
                <w:sz w:val="16"/>
                <w:szCs w:val="16"/>
                <w:color w:val="auto"/>
              </w:rPr>
              <w:t>(38 )</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(73 )</w:t>
            </w:r>
          </w:p>
        </w:tc>
        <w:tc>
          <w:tcPr>
            <w:tcW w:w="40" w:type="dxa"/>
            <w:vAlign w:val="bottom"/>
          </w:tcPr>
          <w:p>
            <w:pPr>
              <w:spacing w:after="0"/>
              <w:rPr>
                <w:sz w:val="18"/>
                <w:szCs w:val="18"/>
                <w:color w:val="auto"/>
              </w:rPr>
            </w:pPr>
          </w:p>
        </w:tc>
      </w:tr>
      <w:tr>
        <w:trPr>
          <w:trHeight w:val="216"/>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Amortization of prior service credit</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ind w:left="80"/>
              <w:spacing w:after="0"/>
              <w:rPr>
                <w:sz w:val="20"/>
                <w:szCs w:val="20"/>
                <w:color w:val="auto"/>
              </w:rPr>
            </w:pPr>
            <w:r>
              <w:rPr>
                <w:rFonts w:ascii="Arial" w:cs="Arial" w:eastAsia="Arial" w:hAnsi="Arial"/>
                <w:sz w:val="16"/>
                <w:szCs w:val="16"/>
                <w:b w:val="1"/>
                <w:bCs w:val="1"/>
                <w:color w:val="auto"/>
              </w:rPr>
              <w:t>(23 )</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4"/>
          </w:tcPr>
          <w:p>
            <w:pPr>
              <w:jc w:val="right"/>
              <w:ind w:right="119"/>
              <w:spacing w:after="0"/>
              <w:rPr>
                <w:sz w:val="20"/>
                <w:szCs w:val="20"/>
                <w:color w:val="auto"/>
              </w:rPr>
            </w:pPr>
            <w:r>
              <w:rPr>
                <w:rFonts w:ascii="Arial" w:cs="Arial" w:eastAsia="Arial" w:hAnsi="Arial"/>
                <w:sz w:val="16"/>
                <w:szCs w:val="16"/>
                <w:color w:val="auto"/>
              </w:rPr>
              <w:t>(23 )</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(23 )</w:t>
            </w:r>
          </w:p>
        </w:tc>
        <w:tc>
          <w:tcPr>
            <w:tcW w:w="40" w:type="dxa"/>
            <w:vAlign w:val="bottom"/>
          </w:tcPr>
          <w:p>
            <w:pPr>
              <w:spacing w:after="0"/>
              <w:rPr>
                <w:sz w:val="18"/>
                <w:szCs w:val="18"/>
                <w:color w:val="auto"/>
              </w:rPr>
            </w:pPr>
          </w:p>
        </w:tc>
      </w:tr>
      <w:tr>
        <w:trPr>
          <w:trHeight w:val="216"/>
        </w:trPr>
        <w:tc>
          <w:tcPr>
            <w:tcW w:w="52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Amortization of net gain</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gridSpan w:val="3"/>
            <w:shd w:val="clear" w:color="auto" w:fill="CFF0FC"/>
          </w:tcPr>
          <w:p>
            <w:pPr>
              <w:ind w:left="80"/>
              <w:spacing w:after="0"/>
              <w:rPr>
                <w:sz w:val="20"/>
                <w:szCs w:val="20"/>
                <w:color w:val="auto"/>
              </w:rPr>
            </w:pPr>
            <w:r>
              <w:rPr>
                <w:rFonts w:ascii="Arial" w:cs="Arial" w:eastAsia="Arial" w:hAnsi="Arial"/>
                <w:sz w:val="16"/>
                <w:szCs w:val="16"/>
                <w:b w:val="1"/>
                <w:bCs w:val="1"/>
                <w:color w:val="auto"/>
              </w:rPr>
              <w:t>(12 )</w:t>
            </w: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4"/>
            <w:shd w:val="clear" w:color="auto" w:fill="CFF0FC"/>
          </w:tcPr>
          <w:p>
            <w:pPr>
              <w:jc w:val="right"/>
              <w:ind w:right="119"/>
              <w:spacing w:after="0"/>
              <w:rPr>
                <w:sz w:val="20"/>
                <w:szCs w:val="20"/>
                <w:color w:val="auto"/>
              </w:rPr>
            </w:pPr>
            <w:r>
              <w:rPr>
                <w:rFonts w:ascii="Arial" w:cs="Arial" w:eastAsia="Arial" w:hAnsi="Arial"/>
                <w:sz w:val="16"/>
                <w:szCs w:val="16"/>
                <w:color w:val="auto"/>
              </w:rPr>
              <w:t>(10 )</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94"/>
              </w:rPr>
              <w:t>(18</w:t>
            </w:r>
          </w:p>
        </w:tc>
        <w:tc>
          <w:tcPr>
            <w:tcW w:w="28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(15</w:t>
            </w:r>
          </w:p>
        </w:tc>
        <w:tc>
          <w:tcPr>
            <w:tcW w:w="260" w:type="dxa"/>
            <w:vAlign w:val="bottom"/>
            <w:gridSpan w:val="2"/>
          </w:tcPr>
          <w:p>
            <w:pPr>
              <w:jc w:val="right"/>
              <w:ind w:right="119"/>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gridSpan w:val="2"/>
          </w:tcPr>
          <w:p>
            <w:pPr>
              <w:jc w:val="right"/>
              <w:ind w:right="88"/>
              <w:spacing w:after="0"/>
              <w:rPr>
                <w:sz w:val="20"/>
                <w:szCs w:val="20"/>
                <w:color w:val="auto"/>
              </w:rPr>
            </w:pPr>
            <w:r>
              <w:rPr>
                <w:rFonts w:ascii="Arial" w:cs="Arial" w:eastAsia="Arial" w:hAnsi="Arial"/>
                <w:sz w:val="16"/>
                <w:szCs w:val="16"/>
                <w:color w:val="auto"/>
                <w:w w:val="89"/>
              </w:rPr>
              <w:t>$</w:t>
            </w:r>
          </w:p>
        </w:tc>
        <w:tc>
          <w:tcPr>
            <w:tcW w:w="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8"/>
                <w:szCs w:val="18"/>
                <w:color w:val="auto"/>
              </w:rPr>
            </w:pPr>
          </w:p>
        </w:tc>
      </w:tr>
      <w:tr>
        <w:trPr>
          <w:trHeight w:val="20"/>
        </w:trPr>
        <w:tc>
          <w:tcPr>
            <w:tcW w:w="6560" w:type="dxa"/>
            <w:vAlign w:val="bottom"/>
            <w:gridSpan w:val="5"/>
          </w:tcPr>
          <w:p>
            <w:pPr>
              <w:spacing w:after="0" w:line="20" w:lineRule="exact"/>
              <w:rPr>
                <w:sz w:val="1"/>
                <w:szCs w:val="1"/>
                <w:color w:val="auto"/>
              </w:rPr>
            </w:pPr>
          </w:p>
        </w:tc>
        <w:tc>
          <w:tcPr>
            <w:tcW w:w="1100" w:type="dxa"/>
            <w:vAlign w:val="bottom"/>
            <w:tcBorders>
              <w:bottom w:val="single" w:sz="8" w:color="auto"/>
            </w:tcBorders>
            <w:gridSpan w:val="4"/>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7"/>
        </w:trPr>
        <w:tc>
          <w:tcPr>
            <w:tcW w:w="8200" w:type="dxa"/>
            <w:vAlign w:val="bottom"/>
            <w:gridSpan w:val="11"/>
          </w:tcPr>
          <w:p>
            <w:pPr>
              <w:spacing w:after="0"/>
              <w:rPr>
                <w:sz w:val="20"/>
                <w:szCs w:val="20"/>
                <w:color w:val="auto"/>
              </w:rPr>
            </w:pPr>
            <w:r>
              <w:rPr>
                <w:rFonts w:ascii="Arial" w:cs="Arial" w:eastAsia="Arial" w:hAnsi="Arial"/>
                <w:sz w:val="16"/>
                <w:szCs w:val="16"/>
                <w:color w:val="auto"/>
              </w:rPr>
              <w:t>The changes in the accumulated postretirement benefit obligation, plan assets and funded status were as follows: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2"/>
        </w:trPr>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gridSpan w:val="5"/>
          </w:tcPr>
          <w:p>
            <w:pPr>
              <w:jc w:val="right"/>
              <w:ind w:right="160"/>
              <w:spacing w:after="0"/>
              <w:rPr>
                <w:sz w:val="20"/>
                <w:szCs w:val="20"/>
                <w:color w:val="auto"/>
              </w:rPr>
            </w:pPr>
            <w:r>
              <w:rPr>
                <w:rFonts w:ascii="Arial" w:cs="Arial" w:eastAsia="Arial" w:hAnsi="Arial"/>
                <w:sz w:val="14"/>
                <w:szCs w:val="14"/>
                <w:i w:val="1"/>
                <w:iCs w:val="1"/>
                <w:color w:val="auto"/>
              </w:rPr>
              <w:t>(Stated in millions)</w:t>
            </w:r>
          </w:p>
        </w:tc>
      </w:tr>
      <w:tr>
        <w:trPr>
          <w:trHeight w:val="427"/>
        </w:trPr>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9"/>
        </w:trPr>
        <w:tc>
          <w:tcPr>
            <w:tcW w:w="5260" w:type="dxa"/>
            <w:vAlign w:val="bottom"/>
            <w:gridSpan w:val="2"/>
            <w:shd w:val="clear" w:color="auto" w:fill="CFF0FC"/>
          </w:tcPr>
          <w:p>
            <w:pPr>
              <w:ind w:left="20"/>
              <w:spacing w:after="0"/>
              <w:rPr>
                <w:sz w:val="20"/>
                <w:szCs w:val="20"/>
                <w:color w:val="auto"/>
              </w:rPr>
            </w:pPr>
            <w:r>
              <w:rPr>
                <w:rFonts w:ascii="Arial" w:cs="Arial" w:eastAsia="Arial" w:hAnsi="Arial"/>
                <w:sz w:val="16"/>
                <w:szCs w:val="16"/>
                <w:b w:val="1"/>
                <w:bCs w:val="1"/>
                <w:i w:val="1"/>
                <w:iCs w:val="1"/>
                <w:color w:val="auto"/>
              </w:rPr>
              <w:t>Change in Accumulated Postretirement Benefit Obligation:</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Benefit obligation at beginning of year</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ind w:left="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808</w:t>
            </w:r>
          </w:p>
        </w:tc>
        <w:tc>
          <w:tcPr>
            <w:tcW w:w="280" w:type="dxa"/>
            <w:vAlign w:val="bottom"/>
          </w:tcPr>
          <w:p>
            <w:pPr>
              <w:spacing w:after="0"/>
              <w:rPr>
                <w:sz w:val="18"/>
                <w:szCs w:val="18"/>
                <w:color w:val="auto"/>
              </w:rPr>
            </w:pPr>
          </w:p>
        </w:tc>
        <w:tc>
          <w:tcPr>
            <w:tcW w:w="2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1,146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Service cost</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Interest cost</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42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Contribution by plan participants</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Actuarial gains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(7 )</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(338 )</w:t>
            </w:r>
          </w:p>
        </w:tc>
        <w:tc>
          <w:tcPr>
            <w:tcW w:w="40" w:type="dxa"/>
            <w:vAlign w:val="bottom"/>
          </w:tcPr>
          <w:p>
            <w:pPr>
              <w:spacing w:after="0"/>
              <w:rPr>
                <w:sz w:val="18"/>
                <w:szCs w:val="18"/>
                <w:color w:val="auto"/>
              </w:rPr>
            </w:pPr>
          </w:p>
        </w:tc>
      </w:tr>
      <w:tr>
        <w:trPr>
          <w:trHeight w:val="216"/>
        </w:trPr>
        <w:tc>
          <w:tcPr>
            <w:tcW w:w="52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Benefits paid</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(61 )</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(65 )</w:t>
            </w:r>
          </w:p>
        </w:tc>
        <w:tc>
          <w:tcPr>
            <w:tcW w:w="40" w:type="dxa"/>
            <w:vAlign w:val="bottom"/>
          </w:tcPr>
          <w:p>
            <w:pPr>
              <w:spacing w:after="0"/>
              <w:rPr>
                <w:sz w:val="18"/>
                <w:szCs w:val="18"/>
                <w:color w:val="auto"/>
              </w:rPr>
            </w:pPr>
          </w:p>
        </w:tc>
      </w:tr>
      <w:tr>
        <w:trPr>
          <w:trHeight w:val="210"/>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Benefit obligation at end of year</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5260" w:type="dxa"/>
            <w:vAlign w:val="bottom"/>
            <w:gridSpan w:val="2"/>
            <w:shd w:val="clear" w:color="auto" w:fill="CFF0FC"/>
          </w:tcPr>
          <w:p>
            <w:pPr>
              <w:ind w:left="20"/>
              <w:spacing w:after="0"/>
              <w:rPr>
                <w:sz w:val="20"/>
                <w:szCs w:val="20"/>
                <w:color w:val="auto"/>
              </w:rPr>
            </w:pPr>
            <w:r>
              <w:rPr>
                <w:rFonts w:ascii="Arial" w:cs="Arial" w:eastAsia="Arial" w:hAnsi="Arial"/>
                <w:sz w:val="16"/>
                <w:szCs w:val="16"/>
                <w:b w:val="1"/>
                <w:bCs w:val="1"/>
                <w:i w:val="1"/>
                <w:iCs w:val="1"/>
                <w:color w:val="auto"/>
              </w:rPr>
              <w:t>Change in Plan Assets:</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Plan assets at fair value at beginning of year</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ind w:left="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938</w:t>
            </w:r>
          </w:p>
        </w:tc>
        <w:tc>
          <w:tcPr>
            <w:tcW w:w="280" w:type="dxa"/>
            <w:vAlign w:val="bottom"/>
          </w:tcPr>
          <w:p>
            <w:pPr>
              <w:spacing w:after="0"/>
              <w:rPr>
                <w:sz w:val="18"/>
                <w:szCs w:val="18"/>
                <w:color w:val="auto"/>
              </w:rPr>
            </w:pPr>
          </w:p>
        </w:tc>
        <w:tc>
          <w:tcPr>
            <w:tcW w:w="2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Actual return on plan assets</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87</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(323 )</w:t>
            </w:r>
          </w:p>
        </w:tc>
        <w:tc>
          <w:tcPr>
            <w:tcW w:w="40" w:type="dxa"/>
            <w:vAlign w:val="bottom"/>
          </w:tcPr>
          <w:p>
            <w:pPr>
              <w:spacing w:after="0"/>
              <w:rPr>
                <w:sz w:val="18"/>
                <w:szCs w:val="18"/>
                <w:color w:val="auto"/>
              </w:rPr>
            </w:pPr>
          </w:p>
        </w:tc>
      </w:tr>
      <w:tr>
        <w:trPr>
          <w:trHeight w:val="216"/>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Contributions by plan participants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Benefits paid</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(68 )</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(65 )</w:t>
            </w:r>
          </w:p>
        </w:tc>
        <w:tc>
          <w:tcPr>
            <w:tcW w:w="40" w:type="dxa"/>
            <w:vAlign w:val="bottom"/>
          </w:tcPr>
          <w:p>
            <w:pPr>
              <w:spacing w:after="0"/>
              <w:rPr>
                <w:sz w:val="18"/>
                <w:szCs w:val="18"/>
                <w:color w:val="auto"/>
              </w:rPr>
            </w:pPr>
          </w:p>
        </w:tc>
      </w:tr>
      <w:tr>
        <w:trPr>
          <w:trHeight w:val="210"/>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Plan assets at fair value at end of year</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0"/>
        </w:trPr>
        <w:tc>
          <w:tcPr>
            <w:tcW w:w="5260" w:type="dxa"/>
            <w:vAlign w:val="bottom"/>
            <w:gridSpan w:val="2"/>
            <w:shd w:val="clear" w:color="auto" w:fill="CFF0FC"/>
          </w:tcPr>
          <w:p>
            <w:pPr>
              <w:ind w:left="20"/>
              <w:spacing w:after="0"/>
              <w:rPr>
                <w:sz w:val="20"/>
                <w:szCs w:val="20"/>
                <w:color w:val="auto"/>
              </w:rPr>
            </w:pPr>
            <w:r>
              <w:rPr>
                <w:rFonts w:ascii="Arial" w:cs="Arial" w:eastAsia="Arial" w:hAnsi="Arial"/>
                <w:sz w:val="16"/>
                <w:szCs w:val="16"/>
                <w:b w:val="1"/>
                <w:bCs w:val="1"/>
                <w:i w:val="1"/>
                <w:iCs w:val="1"/>
                <w:color w:val="auto"/>
              </w:rPr>
              <w:t>Asset</w:t>
            </w: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gridSpan w:val="2"/>
            <w:shd w:val="clear" w:color="auto" w:fill="CFF0FC"/>
          </w:tcPr>
          <w:p>
            <w:pPr>
              <w:ind w:left="8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159</w:t>
            </w:r>
          </w:p>
        </w:tc>
        <w:tc>
          <w:tcPr>
            <w:tcW w:w="28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5260" w:type="dxa"/>
            <w:vAlign w:val="bottom"/>
            <w:tcBorders>
              <w:top w:val="single" w:sz="8" w:color="CFF0FC"/>
            </w:tcBorders>
            <w:gridSpan w:val="2"/>
          </w:tcPr>
          <w:p>
            <w:pPr>
              <w:ind w:left="20"/>
              <w:spacing w:after="0"/>
              <w:rPr>
                <w:sz w:val="20"/>
                <w:szCs w:val="20"/>
                <w:color w:val="auto"/>
              </w:rPr>
            </w:pPr>
            <w:r>
              <w:rPr>
                <w:rFonts w:ascii="Arial" w:cs="Arial" w:eastAsia="Arial" w:hAnsi="Arial"/>
                <w:sz w:val="16"/>
                <w:szCs w:val="16"/>
                <w:b w:val="1"/>
                <w:bCs w:val="1"/>
                <w:i w:val="1"/>
                <w:iCs w:val="1"/>
                <w:color w:val="auto"/>
              </w:rPr>
              <w:t>Amounts Recognized in Accumulated Other Comprehensive Loss:</w:t>
            </w:r>
          </w:p>
        </w:tc>
        <w:tc>
          <w:tcPr>
            <w:tcW w:w="82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8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52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Actuarial gains</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ind w:left="8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239</w:t>
            </w:r>
          </w:p>
        </w:tc>
        <w:tc>
          <w:tcPr>
            <w:tcW w:w="2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Prior service credit</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0"/>
        </w:trPr>
        <w:tc>
          <w:tcPr>
            <w:tcW w:w="50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275</w:t>
            </w:r>
          </w:p>
        </w:tc>
        <w:tc>
          <w:tcPr>
            <w:tcW w:w="2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4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-5811520</wp:posOffset>
            </wp:positionV>
            <wp:extent cx="7132320" cy="13716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-5537200</wp:posOffset>
            </wp:positionV>
            <wp:extent cx="7132320" cy="13716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5873115</wp:posOffset>
            </wp:positionH>
            <wp:positionV relativeFrom="paragraph">
              <wp:posOffset>-1751965</wp:posOffset>
            </wp:positionV>
            <wp:extent cx="93980" cy="17970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-1751965</wp:posOffset>
            </wp:positionV>
            <wp:extent cx="93980" cy="17970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5873115</wp:posOffset>
            </wp:positionH>
            <wp:positionV relativeFrom="paragraph">
              <wp:posOffset>-912495</wp:posOffset>
            </wp:positionV>
            <wp:extent cx="93980" cy="17970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-912495</wp:posOffset>
            </wp:positionV>
            <wp:extent cx="93980" cy="17970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-607695</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-590550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asset balance relating to this plan was included in </w:t>
      </w:r>
      <w:r>
        <w:rPr>
          <w:rFonts w:ascii="Arial" w:cs="Arial" w:eastAsia="Arial" w:hAnsi="Arial"/>
          <w:sz w:val="16"/>
          <w:szCs w:val="16"/>
          <w:i w:val="1"/>
          <w:iCs w:val="1"/>
          <w:color w:val="auto"/>
        </w:rPr>
        <w:t>Other Assets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assets of the US postretirement medical plan are invested 87% in debt securities and 13% in equity securities at December 31, 2023. The fair value of these assets was primarily determined based on Level Two valuation techniques.</w:t>
      </w:r>
    </w:p>
    <w:p>
      <w:pPr>
        <w:spacing w:after="0" w:line="15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30" w:right="299" w:bottom="1440" w:gutter="0" w:footer="0" w:header="0"/>
        </w:sectPr>
      </w:pPr>
    </w:p>
    <w:bookmarkStart w:id="54" w:name="page55"/>
    <w:bookmarkEnd w:id="54"/>
    <w:p>
      <w:pPr>
        <w:spacing w:after="0"/>
        <w:rPr>
          <w:sz w:val="20"/>
          <w:szCs w:val="20"/>
          <w:color w:val="auto"/>
        </w:rPr>
      </w:pPr>
      <w:r>
        <w:rPr>
          <w:rFonts w:ascii="Arial" w:cs="Arial" w:eastAsia="Arial" w:hAnsi="Arial"/>
          <w:sz w:val="16"/>
          <w:szCs w:val="16"/>
          <w:i w:val="1"/>
          <w:iCs w:val="1"/>
          <w:color w:val="auto"/>
        </w:rPr>
        <w:t>Other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expected benefits to be paid under the US and International pension plans as well as the postretirement medical plan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27"/>
        </w:trPr>
        <w:tc>
          <w:tcPr>
            <w:tcW w:w="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40" w:type="dxa"/>
            <w:vAlign w:val="bottom"/>
            <w:gridSpan w:val="5"/>
          </w:tcPr>
          <w:p>
            <w:pPr>
              <w:jc w:val="right"/>
              <w:ind w:right="1240"/>
              <w:spacing w:after="0"/>
              <w:rPr>
                <w:sz w:val="20"/>
                <w:szCs w:val="20"/>
                <w:color w:val="auto"/>
              </w:rPr>
            </w:pPr>
            <w:r>
              <w:rPr>
                <w:rFonts w:ascii="Arial" w:cs="Arial" w:eastAsia="Arial" w:hAnsi="Arial"/>
                <w:sz w:val="16"/>
                <w:szCs w:val="16"/>
                <w:color w:val="auto"/>
              </w:rPr>
              <w:t>Pension Plans</w:t>
            </w:r>
          </w:p>
        </w:tc>
        <w:tc>
          <w:tcPr>
            <w:tcW w:w="12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color w:val="auto"/>
              </w:rPr>
              <w:t>Postretirement</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US</w:t>
            </w:r>
          </w:p>
        </w:tc>
        <w:tc>
          <w:tcPr>
            <w:tcW w:w="4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International</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Medical Plan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2024</w:t>
            </w:r>
          </w:p>
        </w:tc>
        <w:tc>
          <w:tcPr>
            <w:tcW w:w="306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719"/>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2025</w:t>
            </w:r>
          </w:p>
        </w:tc>
        <w:tc>
          <w:tcPr>
            <w:tcW w:w="3060" w:type="dxa"/>
            <w:vAlign w:val="bottom"/>
          </w:tcPr>
          <w:p>
            <w:pPr>
              <w:spacing w:after="0"/>
              <w:rPr>
                <w:sz w:val="18"/>
                <w:szCs w:val="18"/>
                <w:color w:val="auto"/>
              </w:rPr>
            </w:pPr>
          </w:p>
        </w:tc>
        <w:tc>
          <w:tcPr>
            <w:tcW w:w="198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230</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419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4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2026</w:t>
            </w:r>
          </w:p>
        </w:tc>
        <w:tc>
          <w:tcPr>
            <w:tcW w:w="306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719"/>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2027</w:t>
            </w:r>
          </w:p>
        </w:tc>
        <w:tc>
          <w:tcPr>
            <w:tcW w:w="3060" w:type="dxa"/>
            <w:vAlign w:val="bottom"/>
          </w:tcPr>
          <w:p>
            <w:pPr>
              <w:spacing w:after="0"/>
              <w:rPr>
                <w:sz w:val="18"/>
                <w:szCs w:val="18"/>
                <w:color w:val="auto"/>
              </w:rPr>
            </w:pPr>
          </w:p>
        </w:tc>
        <w:tc>
          <w:tcPr>
            <w:tcW w:w="198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232</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449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4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2028</w:t>
            </w:r>
          </w:p>
        </w:tc>
        <w:tc>
          <w:tcPr>
            <w:tcW w:w="306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719"/>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2029-2033</w:t>
            </w:r>
          </w:p>
        </w:tc>
        <w:tc>
          <w:tcPr>
            <w:tcW w:w="3060" w:type="dxa"/>
            <w:vAlign w:val="bottom"/>
          </w:tcPr>
          <w:p>
            <w:pPr>
              <w:spacing w:after="0"/>
              <w:rPr>
                <w:sz w:val="18"/>
                <w:szCs w:val="18"/>
                <w:color w:val="auto"/>
              </w:rPr>
            </w:pPr>
          </w:p>
        </w:tc>
        <w:tc>
          <w:tcPr>
            <w:tcW w:w="198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1,178</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2,494</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8"/>
        </w:trPr>
        <w:tc>
          <w:tcPr>
            <w:tcW w:w="5480" w:type="dxa"/>
            <w:vAlign w:val="bottom"/>
            <w:gridSpan w:val="3"/>
          </w:tcPr>
          <w:p>
            <w:pPr>
              <w:spacing w:after="0"/>
              <w:rPr>
                <w:sz w:val="20"/>
                <w:szCs w:val="20"/>
                <w:color w:val="auto"/>
              </w:rPr>
            </w:pPr>
            <w:r>
              <w:rPr>
                <w:rFonts w:ascii="Arial" w:cs="Arial" w:eastAsia="Arial" w:hAnsi="Arial"/>
                <w:sz w:val="16"/>
                <w:szCs w:val="16"/>
                <w:b w:val="1"/>
                <w:bCs w:val="1"/>
                <w:color w:val="auto"/>
              </w:rPr>
              <w:t>18. Supplementary Information</w:t>
            </w: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5480" w:type="dxa"/>
            <w:vAlign w:val="bottom"/>
            <w:gridSpan w:val="3"/>
          </w:tcPr>
          <w:p>
            <w:pPr>
              <w:spacing w:after="0"/>
              <w:rPr>
                <w:sz w:val="20"/>
                <w:szCs w:val="20"/>
                <w:color w:val="auto"/>
              </w:rPr>
            </w:pPr>
            <w:r>
              <w:rPr>
                <w:rFonts w:ascii="Arial" w:cs="Arial" w:eastAsia="Arial" w:hAnsi="Arial"/>
                <w:sz w:val="16"/>
                <w:szCs w:val="16"/>
                <w:color w:val="auto"/>
              </w:rPr>
              <w:t>Cash paid for interest and income taxes was as follows:</w:t>
            </w: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27"/>
        </w:trPr>
        <w:tc>
          <w:tcPr>
            <w:tcW w:w="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2022</w:t>
            </w: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4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Interest</w:t>
            </w:r>
          </w:p>
        </w:tc>
        <w:tc>
          <w:tcPr>
            <w:tcW w:w="1980" w:type="dxa"/>
            <w:vAlign w:val="bottom"/>
            <w:gridSpan w:val="2"/>
            <w:shd w:val="clear" w:color="auto" w:fill="CFF0FC"/>
          </w:tcPr>
          <w:p>
            <w:pPr>
              <w:jc w:val="right"/>
              <w:ind w:right="719"/>
              <w:spacing w:after="0"/>
              <w:rPr>
                <w:sz w:val="20"/>
                <w:szCs w:val="20"/>
                <w:color w:val="auto"/>
              </w:rPr>
            </w:pPr>
            <w:r>
              <w:rPr>
                <w:rFonts w:ascii="Arial" w:cs="Arial" w:eastAsia="Arial" w:hAnsi="Arial"/>
                <w:sz w:val="16"/>
                <w:szCs w:val="16"/>
                <w:b w:val="1"/>
                <w:bCs w:val="1"/>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503</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gridSpan w:val="3"/>
          </w:tcPr>
          <w:p>
            <w:pPr>
              <w:ind w:left="20"/>
              <w:spacing w:after="0"/>
              <w:rPr>
                <w:sz w:val="20"/>
                <w:szCs w:val="20"/>
                <w:color w:val="auto"/>
              </w:rPr>
            </w:pPr>
            <w:r>
              <w:rPr>
                <w:rFonts w:ascii="Arial" w:cs="Arial" w:eastAsia="Arial" w:hAnsi="Arial"/>
                <w:sz w:val="16"/>
                <w:szCs w:val="16"/>
                <w:color w:val="auto"/>
              </w:rPr>
              <w:t>Income taxes</w:t>
            </w:r>
          </w:p>
        </w:tc>
        <w:tc>
          <w:tcPr>
            <w:tcW w:w="1980" w:type="dxa"/>
            <w:vAlign w:val="bottom"/>
            <w:gridSpan w:val="2"/>
          </w:tcPr>
          <w:p>
            <w:pPr>
              <w:jc w:val="right"/>
              <w:ind w:right="719"/>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1,064</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716</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5480" w:type="dxa"/>
            <w:vAlign w:val="bottom"/>
            <w:gridSpan w:val="3"/>
          </w:tcPr>
          <w:p>
            <w:pPr>
              <w:spacing w:after="0"/>
              <w:rPr>
                <w:sz w:val="20"/>
                <w:szCs w:val="20"/>
                <w:color w:val="auto"/>
              </w:rPr>
            </w:pPr>
            <w:r>
              <w:rPr>
                <w:rFonts w:ascii="Arial" w:cs="Arial" w:eastAsia="Arial" w:hAnsi="Arial"/>
                <w:sz w:val="16"/>
                <w:szCs w:val="16"/>
                <w:i w:val="1"/>
                <w:iCs w:val="1"/>
                <w:color w:val="auto"/>
              </w:rPr>
              <w:t xml:space="preserve">Interest and other income, net </w:t>
            </w:r>
            <w:r>
              <w:rPr>
                <w:rFonts w:ascii="Arial" w:cs="Arial" w:eastAsia="Arial" w:hAnsi="Arial"/>
                <w:sz w:val="16"/>
                <w:szCs w:val="16"/>
                <w:color w:val="auto"/>
              </w:rPr>
              <w:t>includes the following:</w:t>
            </w: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27"/>
        </w:trPr>
        <w:tc>
          <w:tcPr>
            <w:tcW w:w="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2022</w:t>
            </w: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4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Earnings of equity method investments</w:t>
            </w:r>
          </w:p>
        </w:tc>
        <w:tc>
          <w:tcPr>
            <w:tcW w:w="1980" w:type="dxa"/>
            <w:vAlign w:val="bottom"/>
            <w:gridSpan w:val="2"/>
            <w:shd w:val="clear" w:color="auto" w:fill="CFF0FC"/>
          </w:tcPr>
          <w:p>
            <w:pPr>
              <w:jc w:val="right"/>
              <w:ind w:right="719"/>
              <w:spacing w:after="0"/>
              <w:rPr>
                <w:sz w:val="20"/>
                <w:szCs w:val="20"/>
                <w:color w:val="auto"/>
              </w:rPr>
            </w:pPr>
            <w:r>
              <w:rPr>
                <w:rFonts w:ascii="Arial" w:cs="Arial" w:eastAsia="Arial" w:hAnsi="Arial"/>
                <w:sz w:val="16"/>
                <w:szCs w:val="16"/>
                <w:b w:val="1"/>
                <w:bCs w:val="1"/>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206</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3"/>
          </w:tcPr>
          <w:p>
            <w:pPr>
              <w:ind w:left="20"/>
              <w:spacing w:after="0"/>
              <w:rPr>
                <w:sz w:val="20"/>
                <w:szCs w:val="20"/>
                <w:color w:val="auto"/>
              </w:rPr>
            </w:pPr>
            <w:r>
              <w:rPr>
                <w:rFonts w:ascii="Arial" w:cs="Arial" w:eastAsia="Arial" w:hAnsi="Arial"/>
                <w:sz w:val="16"/>
                <w:szCs w:val="16"/>
                <w:color w:val="auto"/>
              </w:rPr>
              <w:t>Interest income</w:t>
            </w: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100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Gain on sale of Liberty shares *</w:t>
            </w:r>
          </w:p>
        </w:tc>
        <w:tc>
          <w:tcPr>
            <w:tcW w:w="10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36</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3"/>
          </w:tcPr>
          <w:p>
            <w:pPr>
              <w:ind w:left="20"/>
              <w:spacing w:after="0"/>
              <w:rPr>
                <w:sz w:val="20"/>
                <w:szCs w:val="20"/>
                <w:color w:val="auto"/>
              </w:rPr>
            </w:pPr>
            <w:r>
              <w:rPr>
                <w:rFonts w:ascii="Arial" w:cs="Arial" w:eastAsia="Arial" w:hAnsi="Arial"/>
                <w:sz w:val="16"/>
                <w:szCs w:val="16"/>
                <w:color w:val="auto"/>
              </w:rPr>
              <w:t>Loss on Blue Chip Swap transactions *</w:t>
            </w: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(139 )</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Gain on ADC equity investment *</w:t>
            </w:r>
          </w:p>
        </w:tc>
        <w:tc>
          <w:tcPr>
            <w:tcW w:w="10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3"/>
          </w:tcPr>
          <w:p>
            <w:pPr>
              <w:ind w:left="20"/>
              <w:spacing w:after="0"/>
              <w:rPr>
                <w:sz w:val="20"/>
                <w:szCs w:val="20"/>
                <w:color w:val="auto"/>
              </w:rPr>
            </w:pPr>
            <w:r>
              <w:rPr>
                <w:rFonts w:ascii="Arial" w:cs="Arial" w:eastAsia="Arial" w:hAnsi="Arial"/>
                <w:sz w:val="16"/>
                <w:szCs w:val="16"/>
                <w:color w:val="auto"/>
              </w:rPr>
              <w:t>Gain on sale of real estate *</w:t>
            </w: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Gain on repurchase of bonds *</w:t>
            </w:r>
          </w:p>
        </w:tc>
        <w:tc>
          <w:tcPr>
            <w:tcW w:w="10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Borders>
              <w:bottom w:val="single" w:sz="8" w:color="CFF0FC"/>
            </w:tcBorders>
            <w:gridSpan w:val="3"/>
          </w:tcPr>
          <w:p>
            <w:pPr>
              <w:ind w:left="20"/>
              <w:spacing w:after="0"/>
              <w:rPr>
                <w:sz w:val="20"/>
                <w:szCs w:val="20"/>
                <w:color w:val="auto"/>
              </w:rPr>
            </w:pPr>
            <w:r>
              <w:rPr>
                <w:rFonts w:ascii="Arial" w:cs="Arial" w:eastAsia="Arial" w:hAnsi="Arial"/>
                <w:sz w:val="16"/>
                <w:szCs w:val="16"/>
                <w:color w:val="auto"/>
              </w:rPr>
              <w:t>Unrealized gain on marketable securities *</w:t>
            </w:r>
          </w:p>
        </w:tc>
        <w:tc>
          <w:tcPr>
            <w:tcW w:w="108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0" w:type="dxa"/>
            <w:vAlign w:val="bottom"/>
            <w:tcBorders>
              <w:bottom w:val="single" w:sz="8" w:color="CFF0FC"/>
            </w:tcBorders>
            <w:shd w:val="clear" w:color="auto" w:fill="CFF0FC"/>
          </w:tcPr>
          <w:p>
            <w:pPr>
              <w:spacing w:after="0"/>
              <w:rPr>
                <w:sz w:val="21"/>
                <w:szCs w:val="21"/>
                <w:color w:val="auto"/>
              </w:rPr>
            </w:pPr>
          </w:p>
        </w:tc>
        <w:tc>
          <w:tcPr>
            <w:tcW w:w="2100" w:type="dxa"/>
            <w:vAlign w:val="bottom"/>
            <w:tcBorders>
              <w:bottom w:val="single" w:sz="8" w:color="CFF0FC"/>
            </w:tcBorders>
            <w:shd w:val="clear" w:color="auto" w:fill="CFF0FC"/>
          </w:tcPr>
          <w:p>
            <w:pPr>
              <w:spacing w:after="0"/>
              <w:rPr>
                <w:sz w:val="21"/>
                <w:szCs w:val="21"/>
                <w:color w:val="auto"/>
              </w:rPr>
            </w:pPr>
          </w:p>
        </w:tc>
        <w:tc>
          <w:tcPr>
            <w:tcW w:w="30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719"/>
              <w:spacing w:after="0"/>
              <w:rPr>
                <w:sz w:val="20"/>
                <w:szCs w:val="20"/>
                <w:color w:val="auto"/>
              </w:rPr>
            </w:pPr>
            <w:r>
              <w:rPr>
                <w:rFonts w:ascii="Arial" w:cs="Arial" w:eastAsia="Arial" w:hAnsi="Arial"/>
                <w:sz w:val="16"/>
                <w:szCs w:val="16"/>
                <w:b w:val="1"/>
                <w:bCs w:val="1"/>
                <w:color w:val="auto"/>
                <w:w w:val="8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342</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610</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5480" w:type="dxa"/>
            <w:vAlign w:val="bottom"/>
            <w:gridSpan w:val="3"/>
          </w:tcPr>
          <w:p>
            <w:pPr>
              <w:spacing w:after="0"/>
              <w:rPr>
                <w:sz w:val="20"/>
                <w:szCs w:val="20"/>
                <w:color w:val="auto"/>
              </w:rPr>
            </w:pPr>
            <w:r>
              <w:rPr>
                <w:rFonts w:ascii="Arial" w:cs="Arial" w:eastAsia="Arial" w:hAnsi="Arial"/>
                <w:sz w:val="16"/>
                <w:szCs w:val="16"/>
                <w:color w:val="auto"/>
              </w:rPr>
              <w:t xml:space="preserve">* See Note 3 – </w:t>
            </w:r>
            <w:r>
              <w:rPr>
                <w:rFonts w:ascii="Arial" w:cs="Arial" w:eastAsia="Arial" w:hAnsi="Arial"/>
                <w:sz w:val="16"/>
                <w:szCs w:val="16"/>
                <w:i w:val="1"/>
                <w:iCs w:val="1"/>
                <w:color w:val="auto"/>
              </w:rPr>
              <w:t>Charges and Credits</w:t>
            </w: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480" w:type="dxa"/>
            <w:vAlign w:val="bottom"/>
            <w:gridSpan w:val="3"/>
          </w:tcPr>
          <w:p>
            <w:pPr>
              <w:spacing w:after="0"/>
              <w:rPr>
                <w:sz w:val="20"/>
                <w:szCs w:val="20"/>
                <w:color w:val="auto"/>
              </w:rPr>
            </w:pPr>
            <w:r>
              <w:rPr>
                <w:rFonts w:ascii="Arial" w:cs="Arial" w:eastAsia="Arial" w:hAnsi="Arial"/>
                <w:sz w:val="16"/>
                <w:szCs w:val="16"/>
                <w:color w:val="auto"/>
              </w:rPr>
              <w:t>The components of depreciation and amortization expense were as follows:</w:t>
            </w: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27"/>
        </w:trPr>
        <w:tc>
          <w:tcPr>
            <w:tcW w:w="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2022</w:t>
            </w: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4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Depreciation of fixed assets</w:t>
            </w:r>
          </w:p>
        </w:tc>
        <w:tc>
          <w:tcPr>
            <w:tcW w:w="1980" w:type="dxa"/>
            <w:vAlign w:val="bottom"/>
            <w:gridSpan w:val="2"/>
            <w:shd w:val="clear" w:color="auto" w:fill="CFF0FC"/>
          </w:tcPr>
          <w:p>
            <w:pPr>
              <w:jc w:val="right"/>
              <w:ind w:right="719"/>
              <w:spacing w:after="0"/>
              <w:rPr>
                <w:sz w:val="20"/>
                <w:szCs w:val="20"/>
                <w:color w:val="auto"/>
              </w:rPr>
            </w:pPr>
            <w:r>
              <w:rPr>
                <w:rFonts w:ascii="Arial" w:cs="Arial" w:eastAsia="Arial" w:hAnsi="Arial"/>
                <w:sz w:val="16"/>
                <w:szCs w:val="16"/>
                <w:b w:val="1"/>
                <w:bCs w:val="1"/>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1,445</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3"/>
          </w:tcPr>
          <w:p>
            <w:pPr>
              <w:ind w:left="20"/>
              <w:spacing w:after="0"/>
              <w:rPr>
                <w:sz w:val="20"/>
                <w:szCs w:val="20"/>
                <w:color w:val="auto"/>
              </w:rPr>
            </w:pPr>
            <w:r>
              <w:rPr>
                <w:rFonts w:ascii="Arial" w:cs="Arial" w:eastAsia="Arial" w:hAnsi="Arial"/>
                <w:sz w:val="16"/>
                <w:szCs w:val="16"/>
                <w:color w:val="auto"/>
              </w:rPr>
              <w:t>Amortization of APS investments</w:t>
            </w: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410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Amortization of intangible assets</w:t>
            </w:r>
          </w:p>
        </w:tc>
        <w:tc>
          <w:tcPr>
            <w:tcW w:w="10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314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3"/>
          </w:tcPr>
          <w:p>
            <w:pPr>
              <w:ind w:left="20"/>
              <w:spacing w:after="0"/>
              <w:rPr>
                <w:sz w:val="20"/>
                <w:szCs w:val="20"/>
                <w:color w:val="auto"/>
              </w:rPr>
            </w:pPr>
            <w:r>
              <w:rPr>
                <w:rFonts w:ascii="Arial" w:cs="Arial" w:eastAsia="Arial" w:hAnsi="Arial"/>
                <w:sz w:val="16"/>
                <w:szCs w:val="16"/>
                <w:color w:val="auto"/>
              </w:rPr>
              <w:t>Amortization of exploration data costs</w:t>
            </w:r>
          </w:p>
        </w:tc>
        <w:tc>
          <w:tcPr>
            <w:tcW w:w="10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0" w:type="dxa"/>
            <w:vAlign w:val="bottom"/>
            <w:shd w:val="clear" w:color="auto" w:fill="CFF0FC"/>
          </w:tcPr>
          <w:p>
            <w:pPr>
              <w:spacing w:after="0"/>
              <w:rPr>
                <w:sz w:val="21"/>
                <w:szCs w:val="21"/>
                <w:color w:val="auto"/>
              </w:rPr>
            </w:pPr>
          </w:p>
        </w:tc>
        <w:tc>
          <w:tcPr>
            <w:tcW w:w="2100" w:type="dxa"/>
            <w:vAlign w:val="bottom"/>
            <w:shd w:val="clear" w:color="auto" w:fill="CFF0FC"/>
          </w:tcPr>
          <w:p>
            <w:pPr>
              <w:spacing w:after="0"/>
              <w:rPr>
                <w:sz w:val="21"/>
                <w:szCs w:val="21"/>
                <w:color w:val="auto"/>
              </w:rPr>
            </w:pPr>
          </w:p>
        </w:tc>
        <w:tc>
          <w:tcPr>
            <w:tcW w:w="3060" w:type="dxa"/>
            <w:vAlign w:val="bottom"/>
            <w:shd w:val="clear" w:color="auto" w:fill="CFF0FC"/>
          </w:tcPr>
          <w:p>
            <w:pPr>
              <w:spacing w:after="0"/>
              <w:rPr>
                <w:sz w:val="21"/>
                <w:szCs w:val="21"/>
                <w:color w:val="auto"/>
              </w:rPr>
            </w:pPr>
          </w:p>
        </w:tc>
        <w:tc>
          <w:tcPr>
            <w:tcW w:w="1980" w:type="dxa"/>
            <w:vAlign w:val="bottom"/>
            <w:gridSpan w:val="2"/>
            <w:shd w:val="clear" w:color="auto" w:fill="CFF0FC"/>
          </w:tcPr>
          <w:p>
            <w:pPr>
              <w:jc w:val="right"/>
              <w:ind w:right="719"/>
              <w:spacing w:after="0"/>
              <w:rPr>
                <w:sz w:val="20"/>
                <w:szCs w:val="20"/>
                <w:color w:val="auto"/>
              </w:rPr>
            </w:pPr>
            <w:r>
              <w:rPr>
                <w:rFonts w:ascii="Arial" w:cs="Arial" w:eastAsia="Arial" w:hAnsi="Arial"/>
                <w:sz w:val="16"/>
                <w:szCs w:val="16"/>
                <w:b w:val="1"/>
                <w:bCs w:val="1"/>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2,312</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2,147</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97"/>
        </w:trPr>
        <w:tc>
          <w:tcPr>
            <w:tcW w:w="5480" w:type="dxa"/>
            <w:vAlign w:val="bottom"/>
            <w:tcBorders>
              <w:top w:val="single" w:sz="8" w:color="CFF0FC"/>
            </w:tcBorders>
            <w:gridSpan w:val="3"/>
          </w:tcPr>
          <w:p>
            <w:pPr>
              <w:spacing w:after="0"/>
              <w:rPr>
                <w:sz w:val="20"/>
                <w:szCs w:val="20"/>
                <w:color w:val="auto"/>
              </w:rPr>
            </w:pPr>
            <w:r>
              <w:rPr>
                <w:rFonts w:ascii="Arial" w:cs="Arial" w:eastAsia="Arial" w:hAnsi="Arial"/>
                <w:sz w:val="16"/>
                <w:szCs w:val="16"/>
                <w:color w:val="auto"/>
              </w:rPr>
              <w:t xml:space="preserve">The change in </w:t>
            </w:r>
            <w:r>
              <w:rPr>
                <w:rFonts w:ascii="Arial" w:cs="Arial" w:eastAsia="Arial" w:hAnsi="Arial"/>
                <w:sz w:val="16"/>
                <w:szCs w:val="16"/>
                <w:i w:val="1"/>
                <w:iCs w:val="1"/>
                <w:color w:val="auto"/>
              </w:rPr>
              <w:t>Allowance for doubtful accounts</w:t>
            </w:r>
            <w:r>
              <w:rPr>
                <w:rFonts w:ascii="Arial" w:cs="Arial" w:eastAsia="Arial" w:hAnsi="Arial"/>
                <w:sz w:val="16"/>
                <w:szCs w:val="16"/>
                <w:color w:val="auto"/>
              </w:rPr>
              <w:t xml:space="preserve"> was as follows:</w:t>
            </w:r>
          </w:p>
        </w:tc>
        <w:tc>
          <w:tcPr>
            <w:tcW w:w="1080" w:type="dxa"/>
            <w:vAlign w:val="bottom"/>
            <w:tcBorders>
              <w:top w:val="single" w:sz="8" w:color="CFF0F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26"/>
        </w:trPr>
        <w:tc>
          <w:tcPr>
            <w:tcW w:w="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2022</w:t>
            </w: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4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Balance at beginning of year</w:t>
            </w:r>
          </w:p>
        </w:tc>
        <w:tc>
          <w:tcPr>
            <w:tcW w:w="1980" w:type="dxa"/>
            <w:vAlign w:val="bottom"/>
            <w:gridSpan w:val="2"/>
            <w:shd w:val="clear" w:color="auto" w:fill="CFF0FC"/>
          </w:tcPr>
          <w:p>
            <w:pPr>
              <w:jc w:val="right"/>
              <w:ind w:right="719"/>
              <w:spacing w:after="0"/>
              <w:rPr>
                <w:sz w:val="20"/>
                <w:szCs w:val="20"/>
                <w:color w:val="auto"/>
              </w:rPr>
            </w:pPr>
            <w:r>
              <w:rPr>
                <w:rFonts w:ascii="Arial" w:cs="Arial" w:eastAsia="Arial" w:hAnsi="Arial"/>
                <w:sz w:val="16"/>
                <w:szCs w:val="16"/>
                <w:b w:val="1"/>
                <w:bCs w:val="1"/>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340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3"/>
          </w:tcPr>
          <w:p>
            <w:pPr>
              <w:ind w:left="20"/>
              <w:spacing w:after="0"/>
              <w:rPr>
                <w:sz w:val="20"/>
                <w:szCs w:val="20"/>
                <w:color w:val="auto"/>
              </w:rPr>
            </w:pPr>
            <w:r>
              <w:rPr>
                <w:rFonts w:ascii="Arial" w:cs="Arial" w:eastAsia="Arial" w:hAnsi="Arial"/>
                <w:sz w:val="16"/>
                <w:szCs w:val="16"/>
                <w:color w:val="auto"/>
              </w:rPr>
              <w:t>Additions</w:t>
            </w: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Amounts written off</w:t>
            </w:r>
          </w:p>
        </w:tc>
        <w:tc>
          <w:tcPr>
            <w:tcW w:w="10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(21 )</w:t>
            </w:r>
          </w:p>
        </w:tc>
        <w:tc>
          <w:tcPr>
            <w:tcW w:w="1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(33 )</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09"/>
        </w:trPr>
        <w:tc>
          <w:tcPr>
            <w:tcW w:w="5480" w:type="dxa"/>
            <w:vAlign w:val="bottom"/>
            <w:tcBorders>
              <w:top w:val="single" w:sz="8" w:color="CFF0FC"/>
            </w:tcBorders>
            <w:gridSpan w:val="3"/>
          </w:tcPr>
          <w:p>
            <w:pPr>
              <w:ind w:left="20"/>
              <w:spacing w:after="0"/>
              <w:rPr>
                <w:sz w:val="20"/>
                <w:szCs w:val="20"/>
                <w:color w:val="auto"/>
              </w:rPr>
            </w:pPr>
            <w:r>
              <w:rPr>
                <w:rFonts w:ascii="Arial" w:cs="Arial" w:eastAsia="Arial" w:hAnsi="Arial"/>
                <w:sz w:val="16"/>
                <w:szCs w:val="16"/>
                <w:color w:val="auto"/>
              </w:rPr>
              <w:t>Balance at end of year</w:t>
            </w:r>
          </w:p>
        </w:tc>
        <w:tc>
          <w:tcPr>
            <w:tcW w:w="1080" w:type="dxa"/>
            <w:vAlign w:val="bottom"/>
            <w:tcBorders>
              <w:top w:val="single" w:sz="8" w:color="CFF0FC"/>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w w:val="8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337</w:t>
            </w:r>
          </w:p>
        </w:tc>
        <w:tc>
          <w:tcPr>
            <w:tcW w:w="28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340</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80" w:type="dxa"/>
            <w:vAlign w:val="bottom"/>
            <w:vMerge w:val="restart"/>
          </w:tcPr>
          <w:p>
            <w:pPr>
              <w:jc w:val="right"/>
              <w:ind w:right="759"/>
              <w:spacing w:after="0"/>
              <w:rPr>
                <w:sz w:val="20"/>
                <w:szCs w:val="20"/>
                <w:color w:val="auto"/>
              </w:rPr>
            </w:pPr>
            <w:r>
              <w:rPr>
                <w:rFonts w:ascii="Arial" w:cs="Arial" w:eastAsia="Arial" w:hAnsi="Arial"/>
                <w:sz w:val="16"/>
                <w:szCs w:val="16"/>
                <w:color w:val="auto"/>
              </w:rPr>
              <w:t>55</w:t>
            </w: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3"/>
        </w:trPr>
        <w:tc>
          <w:tcPr>
            <w:tcW w:w="3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-3925570</wp:posOffset>
            </wp:positionV>
            <wp:extent cx="7747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-3908425</wp:posOffset>
            </wp:positionV>
            <wp:extent cx="7747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-4070985</wp:posOffset>
            </wp:positionV>
            <wp:extent cx="7747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-3925570</wp:posOffset>
            </wp:positionV>
            <wp:extent cx="6858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-3908425</wp:posOffset>
            </wp:positionV>
            <wp:extent cx="6858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-4070985</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-3925570</wp:posOffset>
            </wp:positionV>
            <wp:extent cx="6858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-3908425</wp:posOffset>
            </wp:positionV>
            <wp:extent cx="6858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-4070985</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-2211070</wp:posOffset>
            </wp:positionV>
            <wp:extent cx="7747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-2193925</wp:posOffset>
            </wp:positionV>
            <wp:extent cx="7747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-2211070</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-2193925</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-2211070</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-993775</wp:posOffset>
            </wp:positionV>
            <wp:extent cx="7747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-993775</wp:posOffset>
            </wp:positionV>
            <wp:extent cx="6858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55" w:name="page56"/>
    <w:bookmarkEnd w:id="55"/>
    <w:p>
      <w:pPr>
        <w:spacing w:after="0" w:line="286" w:lineRule="auto"/>
        <w:rPr>
          <w:sz w:val="20"/>
          <w:szCs w:val="20"/>
          <w:color w:val="auto"/>
        </w:rPr>
      </w:pPr>
      <w:r>
        <w:rPr>
          <w:rFonts w:ascii="Arial" w:cs="Arial" w:eastAsia="Arial" w:hAnsi="Arial"/>
          <w:sz w:val="16"/>
          <w:szCs w:val="16"/>
          <w:color w:val="auto"/>
        </w:rPr>
        <w:t xml:space="preserve">Revenue in excess of billings related to contracts where revenue is recognized over time was $0.4 billion at December 31, 2023 and $0.3 billion at December 31, 2022. Such amounts are included within </w:t>
      </w:r>
      <w:r>
        <w:rPr>
          <w:rFonts w:ascii="Arial" w:cs="Arial" w:eastAsia="Arial" w:hAnsi="Arial"/>
          <w:sz w:val="16"/>
          <w:szCs w:val="16"/>
          <w:i w:val="1"/>
          <w:iCs w:val="1"/>
          <w:color w:val="auto"/>
        </w:rPr>
        <w:t>Receivables less allowance for doubtful accounts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Other Assets </w:t>
      </w:r>
      <w:r>
        <w:rPr>
          <w:rFonts w:ascii="Arial" w:cs="Arial" w:eastAsia="Arial" w:hAnsi="Arial"/>
          <w:sz w:val="16"/>
          <w:szCs w:val="16"/>
          <w:color w:val="auto"/>
        </w:rPr>
        <w:t>consist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i w:val="1"/>
                <w:iCs w:val="1"/>
                <w:color w:val="auto"/>
              </w:rPr>
              <w:t>(Stated in millions)</w:t>
            </w:r>
          </w:p>
        </w:tc>
      </w:tr>
      <w:tr>
        <w:trPr>
          <w:trHeight w:val="427"/>
        </w:trPr>
        <w:tc>
          <w:tcPr>
            <w:tcW w:w="50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4"/>
                <w:szCs w:val="24"/>
                <w:color w:val="auto"/>
              </w:rPr>
            </w:pPr>
          </w:p>
        </w:tc>
      </w:tr>
      <w:tr>
        <w:trPr>
          <w:trHeight w:val="209"/>
        </w:trPr>
        <w:tc>
          <w:tcPr>
            <w:tcW w:w="5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Investments in APS projects</w:t>
            </w:r>
          </w:p>
        </w:tc>
        <w:tc>
          <w:tcPr>
            <w:tcW w:w="3640" w:type="dxa"/>
            <w:vAlign w:val="bottom"/>
            <w:gridSpan w:val="2"/>
            <w:shd w:val="clear" w:color="auto" w:fill="CFF0FC"/>
          </w:tcPr>
          <w:p>
            <w:pPr>
              <w:jc w:val="right"/>
              <w:ind w:right="859"/>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2,111</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2,023</w:t>
            </w:r>
          </w:p>
        </w:tc>
        <w:tc>
          <w:tcPr>
            <w:tcW w:w="100" w:type="dxa"/>
            <w:vAlign w:val="bottom"/>
            <w:shd w:val="clear" w:color="auto" w:fill="CFF0FC"/>
          </w:tcPr>
          <w:p>
            <w:pPr>
              <w:spacing w:after="0"/>
              <w:rPr>
                <w:sz w:val="18"/>
                <w:szCs w:val="18"/>
                <w:color w:val="auto"/>
              </w:rPr>
            </w:pPr>
          </w:p>
        </w:tc>
      </w:tr>
      <w:tr>
        <w:trPr>
          <w:trHeight w:val="216"/>
        </w:trPr>
        <w:tc>
          <w:tcPr>
            <w:tcW w:w="5060" w:type="dxa"/>
            <w:vAlign w:val="bottom"/>
          </w:tcPr>
          <w:p>
            <w:pPr>
              <w:ind w:left="20"/>
              <w:spacing w:after="0"/>
              <w:rPr>
                <w:sz w:val="20"/>
                <w:szCs w:val="20"/>
                <w:color w:val="auto"/>
              </w:rPr>
            </w:pPr>
            <w:r>
              <w:rPr>
                <w:rFonts w:ascii="Arial" w:cs="Arial" w:eastAsia="Arial" w:hAnsi="Arial"/>
                <w:sz w:val="16"/>
                <w:szCs w:val="16"/>
                <w:color w:val="auto"/>
              </w:rPr>
              <w:t>Pension and other postretirement plan assets</w:t>
            </w:r>
          </w:p>
        </w:tc>
        <w:tc>
          <w:tcPr>
            <w:tcW w:w="2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629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904</w:t>
            </w:r>
          </w:p>
        </w:tc>
        <w:tc>
          <w:tcPr>
            <w:tcW w:w="100" w:type="dxa"/>
            <w:vAlign w:val="bottom"/>
          </w:tcPr>
          <w:p>
            <w:pPr>
              <w:spacing w:after="0"/>
              <w:rPr>
                <w:sz w:val="18"/>
                <w:szCs w:val="18"/>
                <w:color w:val="auto"/>
              </w:rPr>
            </w:pPr>
          </w:p>
        </w:tc>
      </w:tr>
      <w:tr>
        <w:trPr>
          <w:trHeight w:val="216"/>
        </w:trPr>
        <w:tc>
          <w:tcPr>
            <w:tcW w:w="5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assets</w:t>
            </w:r>
          </w:p>
        </w:tc>
        <w:tc>
          <w:tcPr>
            <w:tcW w:w="26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718</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538</w:t>
            </w:r>
          </w:p>
        </w:tc>
        <w:tc>
          <w:tcPr>
            <w:tcW w:w="100" w:type="dxa"/>
            <w:vAlign w:val="bottom"/>
            <w:shd w:val="clear" w:color="auto" w:fill="CFF0FC"/>
          </w:tcPr>
          <w:p>
            <w:pPr>
              <w:spacing w:after="0"/>
              <w:rPr>
                <w:sz w:val="18"/>
                <w:szCs w:val="18"/>
                <w:color w:val="auto"/>
              </w:rPr>
            </w:pPr>
          </w:p>
        </w:tc>
      </w:tr>
      <w:tr>
        <w:trPr>
          <w:trHeight w:val="216"/>
        </w:trPr>
        <w:tc>
          <w:tcPr>
            <w:tcW w:w="5060" w:type="dxa"/>
            <w:vAlign w:val="bottom"/>
          </w:tcPr>
          <w:p>
            <w:pPr>
              <w:ind w:left="20"/>
              <w:spacing w:after="0"/>
              <w:rPr>
                <w:sz w:val="20"/>
                <w:szCs w:val="20"/>
                <w:color w:val="auto"/>
              </w:rPr>
            </w:pPr>
            <w:r>
              <w:rPr>
                <w:rFonts w:ascii="Arial" w:cs="Arial" w:eastAsia="Arial" w:hAnsi="Arial"/>
                <w:sz w:val="16"/>
                <w:szCs w:val="16"/>
                <w:color w:val="auto"/>
              </w:rPr>
              <w:t>Exploration data costs capitalized</w:t>
            </w:r>
          </w:p>
        </w:tc>
        <w:tc>
          <w:tcPr>
            <w:tcW w:w="2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151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r>
      <w:tr>
        <w:trPr>
          <w:trHeight w:val="216"/>
        </w:trPr>
        <w:tc>
          <w:tcPr>
            <w:tcW w:w="5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Fair value of hedge contracts</w:t>
            </w:r>
          </w:p>
        </w:tc>
        <w:tc>
          <w:tcPr>
            <w:tcW w:w="26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65</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8"/>
                <w:szCs w:val="18"/>
                <w:color w:val="auto"/>
              </w:rPr>
            </w:pPr>
          </w:p>
        </w:tc>
      </w:tr>
      <w:tr>
        <w:trPr>
          <w:trHeight w:val="216"/>
        </w:trPr>
        <w:tc>
          <w:tcPr>
            <w:tcW w:w="5060" w:type="dxa"/>
            <w:vAlign w:val="bottom"/>
          </w:tcPr>
          <w:p>
            <w:pPr>
              <w:ind w:left="20"/>
              <w:spacing w:after="0"/>
              <w:rPr>
                <w:sz w:val="20"/>
                <w:szCs w:val="20"/>
                <w:color w:val="auto"/>
              </w:rPr>
            </w:pPr>
            <w:r>
              <w:rPr>
                <w:rFonts w:ascii="Arial" w:cs="Arial" w:eastAsia="Arial" w:hAnsi="Arial"/>
                <w:sz w:val="16"/>
                <w:szCs w:val="16"/>
                <w:color w:val="auto"/>
              </w:rPr>
              <w:t>Other</w:t>
            </w:r>
          </w:p>
        </w:tc>
        <w:tc>
          <w:tcPr>
            <w:tcW w:w="26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378</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8"/>
                <w:szCs w:val="18"/>
                <w:color w:val="auto"/>
              </w:rPr>
            </w:pPr>
          </w:p>
        </w:tc>
      </w:tr>
      <w:tr>
        <w:trPr>
          <w:trHeight w:val="249"/>
        </w:trPr>
        <w:tc>
          <w:tcPr>
            <w:tcW w:w="5060" w:type="dxa"/>
            <w:vAlign w:val="bottom"/>
            <w:shd w:val="clear" w:color="auto" w:fill="CFF0FC"/>
          </w:tcPr>
          <w:p>
            <w:pPr>
              <w:spacing w:after="0"/>
              <w:rPr>
                <w:sz w:val="21"/>
                <w:szCs w:val="21"/>
                <w:color w:val="auto"/>
              </w:rPr>
            </w:pPr>
          </w:p>
        </w:tc>
        <w:tc>
          <w:tcPr>
            <w:tcW w:w="3640" w:type="dxa"/>
            <w:vAlign w:val="bottom"/>
            <w:gridSpan w:val="2"/>
            <w:shd w:val="clear" w:color="auto" w:fill="CFF0FC"/>
          </w:tcPr>
          <w:p>
            <w:pPr>
              <w:jc w:val="right"/>
              <w:ind w:right="859"/>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4,052</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3,970</w:t>
            </w:r>
          </w:p>
        </w:tc>
        <w:tc>
          <w:tcPr>
            <w:tcW w:w="100" w:type="dxa"/>
            <w:vAlign w:val="bottom"/>
            <w:shd w:val="clear" w:color="auto" w:fill="CFF0FC"/>
          </w:tcPr>
          <w:p>
            <w:pPr>
              <w:spacing w:after="0"/>
              <w:rPr>
                <w:sz w:val="21"/>
                <w:szCs w:val="21"/>
                <w:color w:val="auto"/>
              </w:rPr>
            </w:pPr>
          </w:p>
        </w:tc>
      </w:tr>
      <w:tr>
        <w:trPr>
          <w:trHeight w:val="397"/>
        </w:trPr>
        <w:tc>
          <w:tcPr>
            <w:tcW w:w="5060" w:type="dxa"/>
            <w:vAlign w:val="bottom"/>
            <w:tcBorders>
              <w:top w:val="single" w:sz="8" w:color="CFF0FC"/>
            </w:tcBorders>
          </w:tcPr>
          <w:p>
            <w:pPr>
              <w:spacing w:after="0"/>
              <w:rPr>
                <w:sz w:val="20"/>
                <w:szCs w:val="20"/>
                <w:color w:val="auto"/>
              </w:rPr>
            </w:pPr>
            <w:r>
              <w:rPr>
                <w:rFonts w:ascii="Arial" w:cs="Arial" w:eastAsia="Arial" w:hAnsi="Arial"/>
                <w:sz w:val="16"/>
                <w:szCs w:val="16"/>
                <w:i w:val="1"/>
                <w:iCs w:val="1"/>
                <w:color w:val="auto"/>
              </w:rPr>
              <w:t xml:space="preserve">Accounts payable and accrued liabilities </w:t>
            </w:r>
            <w:r>
              <w:rPr>
                <w:rFonts w:ascii="Arial" w:cs="Arial" w:eastAsia="Arial" w:hAnsi="Arial"/>
                <w:sz w:val="16"/>
                <w:szCs w:val="16"/>
                <w:color w:val="auto"/>
              </w:rPr>
              <w:t>consist of the following:</w:t>
            </w:r>
          </w:p>
        </w:tc>
        <w:tc>
          <w:tcPr>
            <w:tcW w:w="260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588"/>
        </w:trPr>
        <w:tc>
          <w:tcPr>
            <w:tcW w:w="50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i w:val="1"/>
                <w:iCs w:val="1"/>
                <w:color w:val="auto"/>
              </w:rPr>
              <w:t>(Stated in millions)</w:t>
            </w:r>
          </w:p>
        </w:tc>
      </w:tr>
      <w:tr>
        <w:trPr>
          <w:trHeight w:val="427"/>
        </w:trPr>
        <w:tc>
          <w:tcPr>
            <w:tcW w:w="50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4"/>
                <w:szCs w:val="24"/>
                <w:color w:val="auto"/>
              </w:rPr>
            </w:pPr>
          </w:p>
        </w:tc>
      </w:tr>
      <w:tr>
        <w:trPr>
          <w:trHeight w:val="209"/>
        </w:trPr>
        <w:tc>
          <w:tcPr>
            <w:tcW w:w="5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Trade</w:t>
            </w:r>
          </w:p>
        </w:tc>
        <w:tc>
          <w:tcPr>
            <w:tcW w:w="3640" w:type="dxa"/>
            <w:vAlign w:val="bottom"/>
            <w:gridSpan w:val="2"/>
            <w:shd w:val="clear" w:color="auto" w:fill="CFF0FC"/>
          </w:tcPr>
          <w:p>
            <w:pPr>
              <w:jc w:val="right"/>
              <w:ind w:right="859"/>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4,613</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3,921</w:t>
            </w:r>
          </w:p>
        </w:tc>
        <w:tc>
          <w:tcPr>
            <w:tcW w:w="100" w:type="dxa"/>
            <w:vAlign w:val="bottom"/>
            <w:shd w:val="clear" w:color="auto" w:fill="CFF0FC"/>
          </w:tcPr>
          <w:p>
            <w:pPr>
              <w:spacing w:after="0"/>
              <w:rPr>
                <w:sz w:val="18"/>
                <w:szCs w:val="18"/>
                <w:color w:val="auto"/>
              </w:rPr>
            </w:pPr>
          </w:p>
        </w:tc>
      </w:tr>
      <w:tr>
        <w:trPr>
          <w:trHeight w:val="216"/>
        </w:trPr>
        <w:tc>
          <w:tcPr>
            <w:tcW w:w="5060" w:type="dxa"/>
            <w:vAlign w:val="bottom"/>
          </w:tcPr>
          <w:p>
            <w:pPr>
              <w:ind w:left="20"/>
              <w:spacing w:after="0"/>
              <w:rPr>
                <w:sz w:val="20"/>
                <w:szCs w:val="20"/>
                <w:color w:val="auto"/>
              </w:rPr>
            </w:pPr>
            <w:r>
              <w:rPr>
                <w:rFonts w:ascii="Arial" w:cs="Arial" w:eastAsia="Arial" w:hAnsi="Arial"/>
                <w:sz w:val="16"/>
                <w:szCs w:val="16"/>
                <w:color w:val="auto"/>
              </w:rPr>
              <w:t>Payroll, vacation and employee benefits</w:t>
            </w:r>
          </w:p>
        </w:tc>
        <w:tc>
          <w:tcPr>
            <w:tcW w:w="2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1,625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1,493</w:t>
            </w:r>
          </w:p>
        </w:tc>
        <w:tc>
          <w:tcPr>
            <w:tcW w:w="100" w:type="dxa"/>
            <w:vAlign w:val="bottom"/>
          </w:tcPr>
          <w:p>
            <w:pPr>
              <w:spacing w:after="0"/>
              <w:rPr>
                <w:sz w:val="18"/>
                <w:szCs w:val="18"/>
                <w:color w:val="auto"/>
              </w:rPr>
            </w:pPr>
          </w:p>
        </w:tc>
      </w:tr>
      <w:tr>
        <w:trPr>
          <w:trHeight w:val="216"/>
        </w:trPr>
        <w:tc>
          <w:tcPr>
            <w:tcW w:w="5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Billings and cash collections in excess of revenue</w:t>
            </w:r>
          </w:p>
        </w:tc>
        <w:tc>
          <w:tcPr>
            <w:tcW w:w="26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1,996</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1,157</w:t>
            </w:r>
          </w:p>
        </w:tc>
        <w:tc>
          <w:tcPr>
            <w:tcW w:w="100" w:type="dxa"/>
            <w:vAlign w:val="bottom"/>
            <w:shd w:val="clear" w:color="auto" w:fill="CFF0FC"/>
          </w:tcPr>
          <w:p>
            <w:pPr>
              <w:spacing w:after="0"/>
              <w:rPr>
                <w:sz w:val="18"/>
                <w:szCs w:val="18"/>
                <w:color w:val="auto"/>
              </w:rPr>
            </w:pPr>
          </w:p>
        </w:tc>
      </w:tr>
      <w:tr>
        <w:trPr>
          <w:trHeight w:val="216"/>
        </w:trPr>
        <w:tc>
          <w:tcPr>
            <w:tcW w:w="5060" w:type="dxa"/>
            <w:vAlign w:val="bottom"/>
          </w:tcPr>
          <w:p>
            <w:pPr>
              <w:ind w:left="20"/>
              <w:spacing w:after="0"/>
              <w:rPr>
                <w:sz w:val="20"/>
                <w:szCs w:val="20"/>
                <w:color w:val="auto"/>
              </w:rPr>
            </w:pPr>
            <w:r>
              <w:rPr>
                <w:rFonts w:ascii="Arial" w:cs="Arial" w:eastAsia="Arial" w:hAnsi="Arial"/>
                <w:sz w:val="16"/>
                <w:szCs w:val="16"/>
                <w:color w:val="auto"/>
              </w:rPr>
              <w:t>Other</w:t>
            </w:r>
          </w:p>
        </w:tc>
        <w:tc>
          <w:tcPr>
            <w:tcW w:w="26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2,670</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2,550</w:t>
            </w:r>
          </w:p>
        </w:tc>
        <w:tc>
          <w:tcPr>
            <w:tcW w:w="100" w:type="dxa"/>
            <w:vAlign w:val="bottom"/>
          </w:tcPr>
          <w:p>
            <w:pPr>
              <w:spacing w:after="0"/>
              <w:rPr>
                <w:sz w:val="18"/>
                <w:szCs w:val="18"/>
                <w:color w:val="auto"/>
              </w:rPr>
            </w:pPr>
          </w:p>
        </w:tc>
      </w:tr>
      <w:tr>
        <w:trPr>
          <w:trHeight w:val="249"/>
        </w:trPr>
        <w:tc>
          <w:tcPr>
            <w:tcW w:w="5060" w:type="dxa"/>
            <w:vAlign w:val="bottom"/>
            <w:shd w:val="clear" w:color="auto" w:fill="CFF0FC"/>
          </w:tcPr>
          <w:p>
            <w:pPr>
              <w:spacing w:after="0"/>
              <w:rPr>
                <w:sz w:val="21"/>
                <w:szCs w:val="21"/>
                <w:color w:val="auto"/>
              </w:rPr>
            </w:pPr>
          </w:p>
        </w:tc>
        <w:tc>
          <w:tcPr>
            <w:tcW w:w="3640" w:type="dxa"/>
            <w:vAlign w:val="bottom"/>
            <w:gridSpan w:val="2"/>
            <w:shd w:val="clear" w:color="auto" w:fill="CFF0FC"/>
          </w:tcPr>
          <w:p>
            <w:pPr>
              <w:jc w:val="right"/>
              <w:ind w:right="859"/>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10,904</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9,121</w:t>
            </w:r>
          </w:p>
        </w:tc>
        <w:tc>
          <w:tcPr>
            <w:tcW w:w="100" w:type="dxa"/>
            <w:vAlign w:val="bottom"/>
            <w:shd w:val="clear" w:color="auto" w:fill="CFF0FC"/>
          </w:tcPr>
          <w:p>
            <w:pPr>
              <w:spacing w:after="0"/>
              <w:rPr>
                <w:sz w:val="21"/>
                <w:szCs w:val="21"/>
                <w:color w:val="auto"/>
              </w:rPr>
            </w:pPr>
          </w:p>
        </w:tc>
      </w:tr>
      <w:tr>
        <w:trPr>
          <w:trHeight w:val="613"/>
        </w:trPr>
        <w:tc>
          <w:tcPr>
            <w:tcW w:w="5060" w:type="dxa"/>
            <w:vAlign w:val="bottom"/>
            <w:tcBorders>
              <w:top w:val="single" w:sz="8" w:color="CFF0FC"/>
            </w:tcBorders>
          </w:tcPr>
          <w:p>
            <w:pPr>
              <w:spacing w:after="0"/>
              <w:rPr>
                <w:sz w:val="24"/>
                <w:szCs w:val="24"/>
                <w:color w:val="auto"/>
              </w:rPr>
            </w:pPr>
          </w:p>
        </w:tc>
        <w:tc>
          <w:tcPr>
            <w:tcW w:w="2600" w:type="dxa"/>
            <w:vAlign w:val="bottom"/>
            <w:tcBorders>
              <w:top w:val="single" w:sz="8" w:color="CFF0FC"/>
            </w:tcBorders>
          </w:tcPr>
          <w:p>
            <w:pPr>
              <w:jc w:val="right"/>
              <w:ind w:right="1859"/>
              <w:spacing w:after="0"/>
              <w:rPr>
                <w:sz w:val="20"/>
                <w:szCs w:val="20"/>
                <w:color w:val="auto"/>
              </w:rPr>
            </w:pPr>
            <w:r>
              <w:rPr>
                <w:rFonts w:ascii="Arial" w:cs="Arial" w:eastAsia="Arial" w:hAnsi="Arial"/>
                <w:sz w:val="16"/>
                <w:szCs w:val="16"/>
                <w:color w:val="auto"/>
              </w:rPr>
              <w:t>56</w:t>
            </w:r>
          </w:p>
        </w:tc>
        <w:tc>
          <w:tcPr>
            <w:tcW w:w="10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643"/>
        </w:trPr>
        <w:tc>
          <w:tcPr>
            <w:tcW w:w="50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-2485390</wp:posOffset>
            </wp:positionV>
            <wp:extent cx="6858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-2468245</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-2468245</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-848360</wp:posOffset>
            </wp:positionV>
            <wp:extent cx="6858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-830580</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SLB management is responsible for establishing and maintaining adequate internal control over financial reporting as defined in Rule 13a–15(f) of the Securities Exchange Act of 1934, as amended (the “Exchange Act”). SLB’s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5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SLB management assessed the effectiveness of its internal control over financial reporting as of December 31, 2023. In making this assessment, it used the criteria set forth in 2013 by the Committee of Sponsoring Organizations of the Treadway Commission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Based on this assessment SLB’s management has concluded that, as of December 31, 2023, its internal control over financial reporting is effective based on those criteria.</w:t>
      </w:r>
    </w:p>
    <w:p>
      <w:pPr>
        <w:spacing w:after="0" w:line="15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effectiveness of SLB’s internal control over financial reporting as of December 31, 2023 has been audited by PricewaterhouseCoopers LLP, an independent registered public accounting firm, as stated in their report which appears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 Schlumberger Limited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Opinions on the Financial Statements and Internal Control over Financial Reporting</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We have audited the accompanying consolidated balance sheet of Schlumberger Limited and its subsidiaries (the “Company”) as of December 31, 2023 and 2022, and the related consolidated statements of income, comprehensive income, stockholders’ equity and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COSO.</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Opinions</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349"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i w:val="1"/>
          <w:iCs w:val="1"/>
          <w:color w:val="auto"/>
        </w:rPr>
        <w:t>Critical Audit Matters</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Uncertain Tax Positions</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described in Note 13 to the consolidated financial statements, the Company’s tax filings are subject to regular audit by the tax authorities, and those audits may result in assessments for additional taxes that are resolved with the tax authorities or, potentially, through the courts. Tax liabilities are recorded based on estimates of additional taxes that will be due upon the conclusion of these audits.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principal considerations for our determination that performing procedures relating to uncertain tax positions is a critical audit matter are the significant judgment applied by management in determining these liabilities including a high degree of estimation uncertainty due to the uncertain and complex application of tax regulations, which in turn led to a high degree of auditor judgment, subjectivity, and effort in performing procedures to evaluate management’s estimates.</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identification and recognition of uncertain tax positions. These procedures also included, among others (i) evaluating management’s process for determining the estimated liabilities for uncertain tax positions, (ii) testing the completeness and reasonableness of uncertain tax positions recorded in the consolidated financial statements, and (iii) evaluating assessments received from the relevant tax authorities. Professionals with specialized skill and knowledge were used to assist in evaluating the reasonableness of assumptions used by management, including management’s assessment of whether tax positions are more-likely-than-not of being sustained.</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PricewaterhouseCoopers LLP</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Houston, Texas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January 24, 2024</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1952.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u w:val="single" w:color="auto"/>
          <w:color w:val="auto"/>
        </w:rPr>
        <w:t>Item 9. Changes in and Disagreements with Accountants on Accounting and Financial Disclosure.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9A. Controls and Procedures.</w:t>
      </w:r>
    </w:p>
    <w:p>
      <w:pPr>
        <w:spacing w:after="0" w:line="11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SLB has carried out an evaluation under the supervision and with the participation of SLB’s management, including the Chief Executive Officer (“CEO”) and the Chief Financial Officer (“CFO”), of the effectiveness of SLB’s “disclosure controls and procedures” (as such term is defined in Rules 13a-15(e) and 15d-15(e) under the Exchange Act) as of the end of the period covered by this report. Based on this evaluation, the CEO and the CFO have concluded that, as of the end of the period covered by this report, SLB’s disclosure controls and procedures were effective to provide reasonable assurance that information required to be disclosed in the reports that SLB files or submits under the Exchange Act is recorded, processed, summarized, and reported within the time periods specified in the Securities and Exchange Commission’s rules and forms. SLB’s disclosure controls and procedures include controls and procedures designed so that information required to be disclosed in reports filed or submitted under the Exchange Act is accumulated and communicated to its management, including the CEO and the CFO, as appropriate, to allow timely decisions regarding required disclosure. There has been no change in SLB’s internal control over financial reporting that occurred during the fourth quarter of 2023 that has materially affected, or is reasonably likely to materially affect, SLB’s internal control over financial reporting.</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9B. Other Information.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2013, SLB completed the wind-down of its service operations in Iran. Prior to this, certain non-US subsidiaries provided oilfield services to the National Iranian Oil Company and certain of its affiliates (“NIOC”).</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SLB’s residual transactions or dealings with the government of Iran in 2023 consisted of payments of taxes and other typical governmental charges. Certain non-US subsidiaries of SLB maintained depository accounts at the Dubai branch of Bank Saderat Iran (“Saderat”), and at Bank Tejarat (“Tejarat”) in Tehran and in Kish for the deposit by NIOC of amounts owed to non-US subsidiaries of SLB for services rendered in Iran prior to the wind-down and for the maintenance of such amounts previously received. One non-US subsidiary also maintained an account at Tejarat for payment of local expenses such as taxes. SLB anticipates that it will discontinue dealings with Saderat and Tejarat following the receipt of all amounts owed to SLB for prior services rendered in Iran.</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December 27, 2023, Olivier Le Peuch, CEO and a member of the SLB Board of Directors, adopted a Rule 10b5-1 trading arrangement that is intended to satisfy the affirmative defense of Rule 10b5-1(c) for the sale of up to 240,000 shares of SLB’s common stock between April 29, 2024 and March 27, 2025, for a duration of 332 days.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9C. Disclosure Regarding Foreign Jurisdictions that Prevent Inspections.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color w:val="auto"/>
        </w:rPr>
        <w:t>PART III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10. Directors, Executive Officers and Corporate Governance.</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See “Item 1. Business—Information About Our Executive Officers” of this Report for information regarding SLB’s executive officers. The information set forth under the captions “Election of Directors,” “Corporate Governance—Process for Selecting New Directors,” and “Corporate Governance—Board Committees” in SLB’s 2024 Proxy Statement is incorporated herein by reference. The information set forth under the caption “Stock Ownership Information—Delinquent Section 16(a) Reports” in SLB’s 2024 Proxy Statement is incorporated herein by reference to the extent any disclosure is required.</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SLB has a Code of Conduct that applies to all of its directors, officers and employees, including its principal executive, financial and accounting officers, or persons performing similar functions. SLB’s Code of Conduct is posted on its website at https://www.slb.com/about/who-we-are/our-code-of-conduct. SLB will provide, without charge, upon request, copies of our Code of Conduct. Requests for copies of our Code of Conduct should be sent in writing to SLB, Chief Legal Officer and Secretary, 5599 San Felipe, Houston, Texas 77056. SLB intends to disclose future amendments to the Code of Conduct and any grant of a waiver from a provision of the Code of Conduct requiring disclosure under applicable SEC rules at https://www.slb.com/about/who-we-are/our-code-of-conduct.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information regarding SLB’s directors:</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44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b w:val="1"/>
                <w:bCs w:val="1"/>
                <w:color w:val="auto"/>
              </w:rPr>
              <w:t>Name</w:t>
            </w:r>
          </w:p>
        </w:tc>
        <w:tc>
          <w:tcPr>
            <w:tcW w:w="6780" w:type="dxa"/>
            <w:vAlign w:val="bottom"/>
            <w:tcBorders>
              <w:top w:val="single" w:sz="8" w:color="auto"/>
              <w:bottom w:val="single" w:sz="8" w:color="auto"/>
              <w:right w:val="single" w:sz="8" w:color="auto"/>
            </w:tcBorders>
          </w:tcPr>
          <w:p>
            <w:pPr>
              <w:spacing w:after="0"/>
              <w:rPr>
                <w:sz w:val="21"/>
                <w:szCs w:val="21"/>
                <w:color w:val="auto"/>
              </w:rPr>
            </w:pPr>
          </w:p>
        </w:tc>
      </w:tr>
      <w:tr>
        <w:trPr>
          <w:trHeight w:val="193"/>
        </w:trPr>
        <w:tc>
          <w:tcPr>
            <w:tcW w:w="44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Peter Coleman</w:t>
            </w:r>
          </w:p>
        </w:tc>
        <w:tc>
          <w:tcPr>
            <w:tcW w:w="6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Former Chief Executive Officer and Managing Director, Woodside Petroleum Ltd.</w:t>
            </w:r>
          </w:p>
        </w:tc>
      </w:tr>
      <w:tr>
        <w:trPr>
          <w:trHeight w:val="209"/>
        </w:trPr>
        <w:tc>
          <w:tcPr>
            <w:tcW w:w="44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Patrick de La Chevardière</w:t>
            </w:r>
          </w:p>
        </w:tc>
        <w:tc>
          <w:tcPr>
            <w:tcW w:w="6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Former Chief Financial Officer, Total S.A.</w:t>
            </w:r>
          </w:p>
        </w:tc>
      </w:tr>
      <w:tr>
        <w:trPr>
          <w:trHeight w:val="209"/>
        </w:trPr>
        <w:tc>
          <w:tcPr>
            <w:tcW w:w="44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Miguel M. Galuccio</w:t>
            </w:r>
          </w:p>
        </w:tc>
        <w:tc>
          <w:tcPr>
            <w:tcW w:w="6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Chairman and Chief Executive Officer, Vista</w:t>
            </w:r>
          </w:p>
        </w:tc>
      </w:tr>
      <w:tr>
        <w:trPr>
          <w:trHeight w:val="210"/>
        </w:trPr>
        <w:tc>
          <w:tcPr>
            <w:tcW w:w="44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James Hackett</w:t>
            </w:r>
          </w:p>
        </w:tc>
        <w:tc>
          <w:tcPr>
            <w:tcW w:w="6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Former Chief Executive Officer, Anadarko Petroleum Corporation</w:t>
            </w:r>
          </w:p>
        </w:tc>
      </w:tr>
      <w:tr>
        <w:trPr>
          <w:trHeight w:val="209"/>
        </w:trPr>
        <w:tc>
          <w:tcPr>
            <w:tcW w:w="44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Olivier Le Peuch</w:t>
            </w:r>
          </w:p>
        </w:tc>
        <w:tc>
          <w:tcPr>
            <w:tcW w:w="6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Chief Executive Officer, SLB</w:t>
            </w:r>
          </w:p>
        </w:tc>
      </w:tr>
      <w:tr>
        <w:trPr>
          <w:trHeight w:val="210"/>
        </w:trPr>
        <w:tc>
          <w:tcPr>
            <w:tcW w:w="44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Samuel Leupold</w:t>
            </w:r>
          </w:p>
        </w:tc>
        <w:tc>
          <w:tcPr>
            <w:tcW w:w="6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Former Chief Executive Officer, Ørsted Wind Power A/S</w:t>
            </w:r>
          </w:p>
        </w:tc>
      </w:tr>
      <w:tr>
        <w:trPr>
          <w:trHeight w:val="183"/>
        </w:trPr>
        <w:tc>
          <w:tcPr>
            <w:tcW w:w="446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16"/>
                <w:szCs w:val="16"/>
                <w:color w:val="auto"/>
              </w:rPr>
              <w:t>Tatiana A. Mitrova</w:t>
            </w:r>
          </w:p>
        </w:tc>
        <w:tc>
          <w:tcPr>
            <w:tcW w:w="6780" w:type="dxa"/>
            <w:vAlign w:val="bottom"/>
            <w:tcBorders>
              <w:right w:val="single" w:sz="8" w:color="auto"/>
            </w:tcBorders>
          </w:tcPr>
          <w:p>
            <w:pPr>
              <w:ind w:left="80"/>
              <w:spacing w:after="0" w:line="183" w:lineRule="exact"/>
              <w:rPr>
                <w:sz w:val="20"/>
                <w:szCs w:val="20"/>
                <w:color w:val="auto"/>
              </w:rPr>
            </w:pPr>
            <w:r>
              <w:rPr>
                <w:rFonts w:ascii="Arial" w:cs="Arial" w:eastAsia="Arial" w:hAnsi="Arial"/>
                <w:sz w:val="16"/>
                <w:szCs w:val="16"/>
                <w:color w:val="auto"/>
              </w:rPr>
              <w:t>Research Fellow, Center on Global Energy Policy, School of International and Public Affairs</w:t>
            </w:r>
          </w:p>
        </w:tc>
      </w:tr>
      <w:tr>
        <w:trPr>
          <w:trHeight w:val="216"/>
        </w:trPr>
        <w:tc>
          <w:tcPr>
            <w:tcW w:w="4460" w:type="dxa"/>
            <w:vAlign w:val="bottom"/>
            <w:tcBorders>
              <w:left w:val="single" w:sz="8" w:color="auto"/>
              <w:bottom w:val="single" w:sz="8" w:color="auto"/>
              <w:right w:val="single" w:sz="8" w:color="auto"/>
            </w:tcBorders>
          </w:tcPr>
          <w:p>
            <w:pPr>
              <w:spacing w:after="0"/>
              <w:rPr>
                <w:sz w:val="18"/>
                <w:szCs w:val="18"/>
                <w:color w:val="auto"/>
              </w:rPr>
            </w:pPr>
          </w:p>
        </w:tc>
        <w:tc>
          <w:tcPr>
            <w:tcW w:w="6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at Columbia University</w:t>
            </w:r>
          </w:p>
        </w:tc>
      </w:tr>
      <w:tr>
        <w:trPr>
          <w:trHeight w:val="210"/>
        </w:trPr>
        <w:tc>
          <w:tcPr>
            <w:tcW w:w="44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Maria Moræus Hanssen</w:t>
            </w:r>
          </w:p>
        </w:tc>
        <w:tc>
          <w:tcPr>
            <w:tcW w:w="6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Former Deputy Chief Executive Officer &amp; Chief Operating Officer, Wintershall Dea GmbH</w:t>
            </w:r>
          </w:p>
        </w:tc>
      </w:tr>
      <w:tr>
        <w:trPr>
          <w:trHeight w:val="209"/>
        </w:trPr>
        <w:tc>
          <w:tcPr>
            <w:tcW w:w="44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Vanitha Narayanan</w:t>
            </w:r>
          </w:p>
        </w:tc>
        <w:tc>
          <w:tcPr>
            <w:tcW w:w="6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Former Chairman and Managing Director, IBM India</w:t>
            </w:r>
          </w:p>
        </w:tc>
      </w:tr>
      <w:tr>
        <w:trPr>
          <w:trHeight w:val="209"/>
        </w:trPr>
        <w:tc>
          <w:tcPr>
            <w:tcW w:w="44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Jeff W. Sheets</w:t>
            </w:r>
          </w:p>
        </w:tc>
        <w:tc>
          <w:tcPr>
            <w:tcW w:w="6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Former Chief Financial Officer, ConocoPhillips Company</w:t>
            </w:r>
          </w:p>
        </w:tc>
      </w:tr>
      <w:tr>
        <w:trPr>
          <w:trHeight w:val="210"/>
        </w:trPr>
        <w:tc>
          <w:tcPr>
            <w:tcW w:w="44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Ulrich Spiesshofer</w:t>
            </w:r>
          </w:p>
        </w:tc>
        <w:tc>
          <w:tcPr>
            <w:tcW w:w="6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Former President and Chief Executive Officer, ABB Ltd.</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11. Executive Compensation.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information set forth under the captions “Compensation Committee Report,” “Compensation Discussion and Analysis,” “Executive Compensation Tables,” “Pay vs. Performance Comparison,” and “Director Compensation” in SLB’s 2024 Proxy Statement is incorporated herein by reference.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12. Security Ownership of Certain Beneficial Owners and Management and Related Stockholder Matters.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information under the captions “Stock Ownership Information—Security Ownership by Management and Our Board,” “Stock Ownership Information— Security Ownership by Certain Beneficial Owners,” and “Executive Compensation Tables—Equity Compensation Plan Information” in SLB’s 2024 Proxy Statement is incorporated herein by reference.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13. Certain Relationships and Related Transactions, and Director Independence.</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information under the captions “Corporate Governance—Director Independence” and “Corporate Governance—Certain Relationships and Related Person Transactions” in SLB’s 2024 Proxy Statement is incorporated herein by reference.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14. Principal Accounting Fees and Services.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information under the caption “Ratification of Appointment of Independent Auditors for 2024” in SLB’s 2024 Proxy Statement is incorporated herein by reference.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23"/>
        </w:trPr>
        <w:tc>
          <w:tcPr>
            <w:tcW w:w="7420" w:type="dxa"/>
            <w:vAlign w:val="bottom"/>
            <w:gridSpan w:val="9"/>
          </w:tcPr>
          <w:p>
            <w:pPr>
              <w:spacing w:after="0"/>
              <w:rPr>
                <w:sz w:val="20"/>
                <w:szCs w:val="20"/>
                <w:color w:val="auto"/>
              </w:rPr>
            </w:pPr>
            <w:r>
              <w:rPr>
                <w:rFonts w:ascii="Arial" w:cs="Arial" w:eastAsia="Arial" w:hAnsi="Arial"/>
                <w:sz w:val="16"/>
                <w:szCs w:val="16"/>
                <w:b w:val="1"/>
                <w:bCs w:val="1"/>
                <w:color w:val="auto"/>
              </w:rPr>
              <w:t>PART IV</w:t>
            </w:r>
          </w:p>
        </w:tc>
        <w:tc>
          <w:tcPr>
            <w:tcW w:w="3680" w:type="dxa"/>
            <w:vAlign w:val="bottom"/>
          </w:tcPr>
          <w:p>
            <w:pPr>
              <w:spacing w:after="0"/>
              <w:rPr>
                <w:sz w:val="19"/>
                <w:szCs w:val="19"/>
                <w:color w:val="auto"/>
              </w:rPr>
            </w:pPr>
          </w:p>
        </w:tc>
      </w:tr>
      <w:tr>
        <w:trPr>
          <w:trHeight w:val="332"/>
        </w:trPr>
        <w:tc>
          <w:tcPr>
            <w:tcW w:w="7420" w:type="dxa"/>
            <w:vAlign w:val="bottom"/>
            <w:gridSpan w:val="9"/>
          </w:tcPr>
          <w:p>
            <w:pPr>
              <w:spacing w:after="0"/>
              <w:rPr>
                <w:sz w:val="20"/>
                <w:szCs w:val="20"/>
                <w:color w:val="auto"/>
              </w:rPr>
            </w:pPr>
            <w:r>
              <w:rPr>
                <w:rFonts w:ascii="Arial" w:cs="Arial" w:eastAsia="Arial" w:hAnsi="Arial"/>
                <w:sz w:val="16"/>
                <w:szCs w:val="16"/>
                <w:b w:val="1"/>
                <w:bCs w:val="1"/>
                <w:color w:val="auto"/>
              </w:rPr>
              <w:t>Item 15. Exhibits and Financial Statement Schedules.</w:t>
            </w:r>
          </w:p>
        </w:tc>
        <w:tc>
          <w:tcPr>
            <w:tcW w:w="3680" w:type="dxa"/>
            <w:vAlign w:val="bottom"/>
          </w:tcPr>
          <w:p>
            <w:pPr>
              <w:spacing w:after="0"/>
              <w:rPr>
                <w:sz w:val="24"/>
                <w:szCs w:val="24"/>
                <w:color w:val="auto"/>
              </w:rPr>
            </w:pPr>
          </w:p>
        </w:tc>
      </w:tr>
      <w:tr>
        <w:trPr>
          <w:trHeight w:val="20"/>
        </w:trPr>
        <w:tc>
          <w:tcPr>
            <w:tcW w:w="440" w:type="dxa"/>
            <w:vAlign w:val="bottom"/>
            <w:tcBorders>
              <w:right w:val="single" w:sz="8" w:color="auto"/>
            </w:tcBorders>
            <w:shd w:val="clear" w:color="auto" w:fill="000000"/>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315"/>
        </w:trPr>
        <w:tc>
          <w:tcPr>
            <w:tcW w:w="7420" w:type="dxa"/>
            <w:vAlign w:val="bottom"/>
            <w:gridSpan w:val="9"/>
          </w:tcPr>
          <w:p>
            <w:pPr>
              <w:spacing w:after="0"/>
              <w:rPr>
                <w:sz w:val="20"/>
                <w:szCs w:val="20"/>
                <w:color w:val="auto"/>
              </w:rPr>
            </w:pPr>
            <w:r>
              <w:rPr>
                <w:rFonts w:ascii="Arial" w:cs="Arial" w:eastAsia="Arial" w:hAnsi="Arial"/>
                <w:sz w:val="16"/>
                <w:szCs w:val="16"/>
                <w:color w:val="auto"/>
              </w:rPr>
              <w:t>(a)  The following documents are filed as part of this Report:</w:t>
            </w:r>
          </w:p>
        </w:tc>
        <w:tc>
          <w:tcPr>
            <w:tcW w:w="3680" w:type="dxa"/>
            <w:vAlign w:val="bottom"/>
          </w:tcPr>
          <w:p>
            <w:pPr>
              <w:spacing w:after="0"/>
              <w:rPr>
                <w:sz w:val="24"/>
                <w:szCs w:val="24"/>
                <w:color w:val="auto"/>
              </w:rPr>
            </w:pPr>
          </w:p>
        </w:tc>
      </w:tr>
      <w:tr>
        <w:trPr>
          <w:trHeight w:val="392"/>
        </w:trPr>
        <w:tc>
          <w:tcPr>
            <w:tcW w:w="4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80" w:type="dxa"/>
            <w:vAlign w:val="bottom"/>
          </w:tcPr>
          <w:p>
            <w:pPr>
              <w:jc w:val="center"/>
              <w:ind w:left="2879"/>
              <w:spacing w:after="0"/>
              <w:rPr>
                <w:sz w:val="20"/>
                <w:szCs w:val="20"/>
                <w:color w:val="auto"/>
              </w:rPr>
            </w:pPr>
            <w:r>
              <w:rPr>
                <w:rFonts w:ascii="Arial" w:cs="Arial" w:eastAsia="Arial" w:hAnsi="Arial"/>
                <w:sz w:val="16"/>
                <w:szCs w:val="16"/>
                <w:color w:val="auto"/>
                <w:w w:val="99"/>
              </w:rPr>
              <w:t>Page(s)</w:t>
            </w:r>
          </w:p>
        </w:tc>
      </w:tr>
      <w:tr>
        <w:trPr>
          <w:trHeight w:val="216"/>
        </w:trPr>
        <w:tc>
          <w:tcPr>
            <w:tcW w:w="7420" w:type="dxa"/>
            <w:vAlign w:val="bottom"/>
            <w:gridSpan w:val="9"/>
          </w:tcPr>
          <w:p>
            <w:pPr>
              <w:ind w:left="20"/>
              <w:spacing w:after="0"/>
              <w:rPr>
                <w:sz w:val="20"/>
                <w:szCs w:val="20"/>
                <w:color w:val="auto"/>
              </w:rPr>
            </w:pPr>
            <w:r>
              <w:rPr>
                <w:rFonts w:ascii="Arial" w:cs="Arial" w:eastAsia="Arial" w:hAnsi="Arial"/>
                <w:sz w:val="16"/>
                <w:szCs w:val="16"/>
                <w:color w:val="auto"/>
              </w:rPr>
              <w:t>(1)   Financial Statements</w:t>
            </w:r>
          </w:p>
        </w:tc>
        <w:tc>
          <w:tcPr>
            <w:tcW w:w="3680" w:type="dxa"/>
            <w:vAlign w:val="bottom"/>
          </w:tcPr>
          <w:p>
            <w:pPr>
              <w:spacing w:after="0"/>
              <w:rPr>
                <w:sz w:val="18"/>
                <w:szCs w:val="18"/>
                <w:color w:val="auto"/>
              </w:rPr>
            </w:pPr>
          </w:p>
        </w:tc>
      </w:tr>
      <w:tr>
        <w:trPr>
          <w:trHeight w:val="178"/>
        </w:trPr>
        <w:tc>
          <w:tcPr>
            <w:tcW w:w="440" w:type="dxa"/>
            <w:vAlign w:val="bottom"/>
          </w:tcPr>
          <w:p>
            <w:pPr>
              <w:spacing w:after="0"/>
              <w:rPr>
                <w:sz w:val="15"/>
                <w:szCs w:val="15"/>
                <w:color w:val="auto"/>
              </w:rPr>
            </w:pPr>
          </w:p>
        </w:tc>
        <w:tc>
          <w:tcPr>
            <w:tcW w:w="6980" w:type="dxa"/>
            <w:vAlign w:val="bottom"/>
            <w:gridSpan w:val="8"/>
          </w:tcPr>
          <w:p>
            <w:pPr>
              <w:spacing w:after="0" w:line="178" w:lineRule="exact"/>
              <w:rPr>
                <w:sz w:val="20"/>
                <w:szCs w:val="20"/>
                <w:color w:val="auto"/>
              </w:rPr>
            </w:pPr>
            <w:r>
              <w:rPr>
                <w:rFonts w:ascii="Arial" w:cs="Arial" w:eastAsia="Arial" w:hAnsi="Arial"/>
                <w:sz w:val="16"/>
                <w:szCs w:val="16"/>
                <w:color w:val="0000FF"/>
              </w:rPr>
              <w:t>Consolidated Statement of Income for the three years ended December 31, 2023</w:t>
            </w:r>
          </w:p>
        </w:tc>
        <w:tc>
          <w:tcPr>
            <w:tcW w:w="3680" w:type="dxa"/>
            <w:vAlign w:val="bottom"/>
          </w:tcPr>
          <w:p>
            <w:pPr>
              <w:jc w:val="center"/>
              <w:ind w:left="2899"/>
              <w:spacing w:after="0" w:line="178" w:lineRule="exact"/>
              <w:rPr>
                <w:sz w:val="20"/>
                <w:szCs w:val="20"/>
                <w:color w:val="auto"/>
              </w:rPr>
            </w:pPr>
            <w:r>
              <w:rPr>
                <w:rFonts w:ascii="Arial" w:cs="Arial" w:eastAsia="Arial" w:hAnsi="Arial"/>
                <w:sz w:val="16"/>
                <w:szCs w:val="16"/>
                <w:color w:val="auto"/>
              </w:rPr>
              <w:t>29</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980" w:type="dxa"/>
            <w:vAlign w:val="bottom"/>
            <w:gridSpan w:val="8"/>
          </w:tcPr>
          <w:p>
            <w:pPr>
              <w:spacing w:after="0"/>
              <w:rPr>
                <w:sz w:val="20"/>
                <w:szCs w:val="20"/>
                <w:color w:val="auto"/>
              </w:rPr>
            </w:pPr>
            <w:r>
              <w:rPr>
                <w:rFonts w:ascii="Arial" w:cs="Arial" w:eastAsia="Arial" w:hAnsi="Arial"/>
                <w:sz w:val="16"/>
                <w:szCs w:val="16"/>
                <w:color w:val="0000FF"/>
              </w:rPr>
              <w:t>Consolidated Statement of Comprehensive Income for the three years ended December 31, 2023</w:t>
            </w:r>
          </w:p>
        </w:tc>
        <w:tc>
          <w:tcPr>
            <w:tcW w:w="3680" w:type="dxa"/>
            <w:vAlign w:val="bottom"/>
          </w:tcPr>
          <w:p>
            <w:pPr>
              <w:jc w:val="center"/>
              <w:ind w:left="2899"/>
              <w:spacing w:after="0"/>
              <w:rPr>
                <w:sz w:val="20"/>
                <w:szCs w:val="20"/>
                <w:color w:val="auto"/>
              </w:rPr>
            </w:pPr>
            <w:r>
              <w:rPr>
                <w:rFonts w:ascii="Arial" w:cs="Arial" w:eastAsia="Arial" w:hAnsi="Arial"/>
                <w:sz w:val="16"/>
                <w:szCs w:val="16"/>
                <w:color w:val="auto"/>
              </w:rPr>
              <w:t>30</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980" w:type="dxa"/>
            <w:vAlign w:val="bottom"/>
            <w:gridSpan w:val="8"/>
          </w:tcPr>
          <w:p>
            <w:pPr>
              <w:spacing w:after="0"/>
              <w:rPr>
                <w:sz w:val="20"/>
                <w:szCs w:val="20"/>
                <w:color w:val="auto"/>
              </w:rPr>
            </w:pPr>
            <w:r>
              <w:rPr>
                <w:rFonts w:ascii="Arial" w:cs="Arial" w:eastAsia="Arial" w:hAnsi="Arial"/>
                <w:sz w:val="16"/>
                <w:szCs w:val="16"/>
                <w:color w:val="0000FF"/>
              </w:rPr>
              <w:t>Consolidated Balance Sheet at December 31, 2023 and 2022</w:t>
            </w:r>
          </w:p>
        </w:tc>
        <w:tc>
          <w:tcPr>
            <w:tcW w:w="3680" w:type="dxa"/>
            <w:vAlign w:val="bottom"/>
          </w:tcPr>
          <w:p>
            <w:pPr>
              <w:jc w:val="center"/>
              <w:ind w:left="2899"/>
              <w:spacing w:after="0"/>
              <w:rPr>
                <w:sz w:val="20"/>
                <w:szCs w:val="20"/>
                <w:color w:val="auto"/>
              </w:rPr>
            </w:pPr>
            <w:r>
              <w:rPr>
                <w:rFonts w:ascii="Arial" w:cs="Arial" w:eastAsia="Arial" w:hAnsi="Arial"/>
                <w:sz w:val="16"/>
                <w:szCs w:val="16"/>
                <w:color w:val="auto"/>
              </w:rPr>
              <w:t>31</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980" w:type="dxa"/>
            <w:vAlign w:val="bottom"/>
            <w:gridSpan w:val="8"/>
          </w:tcPr>
          <w:p>
            <w:pPr>
              <w:spacing w:after="0"/>
              <w:rPr>
                <w:sz w:val="20"/>
                <w:szCs w:val="20"/>
                <w:color w:val="auto"/>
              </w:rPr>
            </w:pPr>
            <w:r>
              <w:rPr>
                <w:rFonts w:ascii="Arial" w:cs="Arial" w:eastAsia="Arial" w:hAnsi="Arial"/>
                <w:sz w:val="16"/>
                <w:szCs w:val="16"/>
                <w:color w:val="0000FF"/>
              </w:rPr>
              <w:t>Consolidated Statement of Cash Flows for the three years ended December 31, 2023</w:t>
            </w:r>
          </w:p>
        </w:tc>
        <w:tc>
          <w:tcPr>
            <w:tcW w:w="3680" w:type="dxa"/>
            <w:vAlign w:val="bottom"/>
          </w:tcPr>
          <w:p>
            <w:pPr>
              <w:jc w:val="center"/>
              <w:ind w:left="2899"/>
              <w:spacing w:after="0"/>
              <w:rPr>
                <w:sz w:val="20"/>
                <w:szCs w:val="20"/>
                <w:color w:val="auto"/>
              </w:rPr>
            </w:pPr>
            <w:r>
              <w:rPr>
                <w:rFonts w:ascii="Arial" w:cs="Arial" w:eastAsia="Arial" w:hAnsi="Arial"/>
                <w:sz w:val="16"/>
                <w:szCs w:val="16"/>
                <w:color w:val="auto"/>
              </w:rPr>
              <w:t>32</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980" w:type="dxa"/>
            <w:vAlign w:val="bottom"/>
            <w:gridSpan w:val="8"/>
          </w:tcPr>
          <w:p>
            <w:pPr>
              <w:spacing w:after="0"/>
              <w:rPr>
                <w:sz w:val="20"/>
                <w:szCs w:val="20"/>
                <w:color w:val="auto"/>
              </w:rPr>
            </w:pPr>
            <w:r>
              <w:rPr>
                <w:rFonts w:ascii="Arial" w:cs="Arial" w:eastAsia="Arial" w:hAnsi="Arial"/>
                <w:sz w:val="16"/>
                <w:szCs w:val="16"/>
                <w:color w:val="0000FF"/>
              </w:rPr>
              <w:t>Consolidated Statement of Stockholders’ Equity for the three years ended December 31, 2023</w:t>
            </w:r>
          </w:p>
        </w:tc>
        <w:tc>
          <w:tcPr>
            <w:tcW w:w="3680" w:type="dxa"/>
            <w:vAlign w:val="bottom"/>
          </w:tcPr>
          <w:p>
            <w:pPr>
              <w:jc w:val="center"/>
              <w:ind w:left="2879"/>
              <w:spacing w:after="0"/>
              <w:rPr>
                <w:sz w:val="20"/>
                <w:szCs w:val="20"/>
                <w:color w:val="auto"/>
              </w:rPr>
            </w:pPr>
            <w:r>
              <w:rPr>
                <w:rFonts w:ascii="Arial" w:cs="Arial" w:eastAsia="Arial" w:hAnsi="Arial"/>
                <w:sz w:val="16"/>
                <w:szCs w:val="16"/>
                <w:color w:val="auto"/>
              </w:rPr>
              <w:t>33 and 34</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62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980" w:type="dxa"/>
            <w:vAlign w:val="bottom"/>
            <w:gridSpan w:val="8"/>
          </w:tcPr>
          <w:p>
            <w:pPr>
              <w:spacing w:after="0"/>
              <w:rPr>
                <w:sz w:val="20"/>
                <w:szCs w:val="20"/>
                <w:color w:val="auto"/>
              </w:rPr>
            </w:pPr>
            <w:r>
              <w:rPr>
                <w:rFonts w:ascii="Arial" w:cs="Arial" w:eastAsia="Arial" w:hAnsi="Arial"/>
                <w:sz w:val="16"/>
                <w:szCs w:val="16"/>
                <w:color w:val="0000FF"/>
              </w:rPr>
              <w:t>Notes to Consolidated Financial Statements</w:t>
            </w:r>
          </w:p>
        </w:tc>
        <w:tc>
          <w:tcPr>
            <w:tcW w:w="3680" w:type="dxa"/>
            <w:vAlign w:val="bottom"/>
          </w:tcPr>
          <w:p>
            <w:pPr>
              <w:jc w:val="center"/>
              <w:ind w:left="2879"/>
              <w:spacing w:after="0"/>
              <w:rPr>
                <w:sz w:val="20"/>
                <w:szCs w:val="20"/>
                <w:color w:val="auto"/>
              </w:rPr>
            </w:pPr>
            <w:r>
              <w:rPr>
                <w:rFonts w:ascii="Arial" w:cs="Arial" w:eastAsia="Arial" w:hAnsi="Arial"/>
                <w:sz w:val="16"/>
                <w:szCs w:val="16"/>
                <w:color w:val="auto"/>
              </w:rPr>
              <w:t>35 to 56</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980" w:type="dxa"/>
            <w:vAlign w:val="bottom"/>
            <w:gridSpan w:val="8"/>
          </w:tcPr>
          <w:p>
            <w:pPr>
              <w:spacing w:after="0"/>
              <w:rPr>
                <w:sz w:val="20"/>
                <w:szCs w:val="20"/>
                <w:color w:val="auto"/>
              </w:rPr>
            </w:pPr>
            <w:r>
              <w:rPr>
                <w:rFonts w:ascii="Arial" w:cs="Arial" w:eastAsia="Arial" w:hAnsi="Arial"/>
                <w:sz w:val="16"/>
                <w:szCs w:val="16"/>
                <w:color w:val="0000FF"/>
              </w:rPr>
              <w:t xml:space="preserve">Report of Independent Registered Public Accounting Firm </w:t>
            </w:r>
            <w:r>
              <w:rPr>
                <w:rFonts w:ascii="Arial" w:cs="Arial" w:eastAsia="Arial" w:hAnsi="Arial"/>
                <w:sz w:val="16"/>
                <w:szCs w:val="16"/>
                <w:color w:val="000000"/>
              </w:rPr>
              <w:t>(PCAOB ID 238)</w:t>
            </w:r>
          </w:p>
        </w:tc>
        <w:tc>
          <w:tcPr>
            <w:tcW w:w="3680" w:type="dxa"/>
            <w:vAlign w:val="bottom"/>
          </w:tcPr>
          <w:p>
            <w:pPr>
              <w:jc w:val="center"/>
              <w:ind w:left="2899"/>
              <w:spacing w:after="0"/>
              <w:rPr>
                <w:sz w:val="20"/>
                <w:szCs w:val="20"/>
                <w:color w:val="auto"/>
              </w:rPr>
            </w:pPr>
            <w:r>
              <w:rPr>
                <w:rFonts w:ascii="Arial" w:cs="Arial" w:eastAsia="Arial" w:hAnsi="Arial"/>
                <w:sz w:val="16"/>
                <w:szCs w:val="16"/>
                <w:color w:val="auto"/>
              </w:rPr>
              <w:t>58</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Financial statements of companies accounted for under the equity method and unconsolidated subsidiaries have been omitted because they do not meet the materiality tests for assets or income.</w:t>
      </w:r>
    </w:p>
    <w:p>
      <w:pPr>
        <w:spacing w:after="0" w:line="142" w:lineRule="exact"/>
        <w:rPr>
          <w:sz w:val="20"/>
          <w:szCs w:val="20"/>
          <w:color w:val="auto"/>
        </w:rPr>
      </w:pPr>
    </w:p>
    <w:p>
      <w:pPr>
        <w:ind w:left="420" w:hanging="399"/>
        <w:spacing w:after="0"/>
        <w:tabs>
          <w:tab w:leader="none" w:pos="4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Financial Statement Schedules not required.</w:t>
      </w:r>
    </w:p>
    <w:p>
      <w:pPr>
        <w:spacing w:after="0" w:line="32" w:lineRule="exact"/>
        <w:rPr>
          <w:rFonts w:ascii="Arial" w:cs="Arial" w:eastAsia="Arial" w:hAnsi="Arial"/>
          <w:sz w:val="16"/>
          <w:szCs w:val="16"/>
          <w:color w:val="auto"/>
        </w:rPr>
      </w:pPr>
    </w:p>
    <w:p>
      <w:pPr>
        <w:ind w:left="420" w:hanging="399"/>
        <w:spacing w:after="0"/>
        <w:tabs>
          <w:tab w:leader="none" w:pos="4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Exhibits: See exhibits listed under Part (b) below.</w:t>
      </w:r>
    </w:p>
    <w:p>
      <w:pPr>
        <w:spacing w:after="0" w:line="234" w:lineRule="exact"/>
        <w:rPr>
          <w:rFonts w:ascii="Arial" w:cs="Arial" w:eastAsia="Arial" w:hAnsi="Arial"/>
          <w:sz w:val="16"/>
          <w:szCs w:val="16"/>
          <w:color w:val="auto"/>
        </w:rPr>
      </w:pPr>
    </w:p>
    <w:p>
      <w:pPr>
        <w:ind w:left="360" w:hanging="352"/>
        <w:spacing w:after="0"/>
        <w:tabs>
          <w:tab w:leader="none" w:pos="3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color w:val="auto"/>
        </w:rPr>
        <w:t>INDEX TO EXHIBITS</w:t>
      </w:r>
    </w:p>
    <w:p>
      <w:pPr>
        <w:spacing w:after="0" w:line="200" w:lineRule="exact"/>
        <w:rPr>
          <w:sz w:val="20"/>
          <w:szCs w:val="20"/>
          <w:color w:val="auto"/>
        </w:rPr>
      </w:pPr>
    </w:p>
    <w:p>
      <w:pPr>
        <w:spacing w:after="0" w:line="251" w:lineRule="exact"/>
        <w:rPr>
          <w:sz w:val="20"/>
          <w:szCs w:val="20"/>
          <w:color w:val="auto"/>
        </w:rPr>
      </w:pPr>
    </w:p>
    <w:p>
      <w:pPr>
        <w:jc w:val="both"/>
        <w:ind w:left="80"/>
        <w:spacing w:after="0" w:line="286" w:lineRule="auto"/>
        <w:rPr>
          <w:rFonts w:ascii="Arial" w:cs="Arial" w:eastAsia="Arial" w:hAnsi="Arial"/>
          <w:sz w:val="16"/>
          <w:szCs w:val="16"/>
          <w:color w:val="auto"/>
        </w:rPr>
      </w:pPr>
      <w:hyperlink r:id="rId501">
        <w:r>
          <w:rPr>
            <w:rFonts w:ascii="Arial" w:cs="Arial" w:eastAsia="Arial" w:hAnsi="Arial"/>
            <w:sz w:val="16"/>
            <w:szCs w:val="16"/>
            <w:color w:val="auto"/>
          </w:rPr>
          <w:t>Articles of Incorporation of Schlumberger Limited (Schlumberger N.V.) (incorporated by reference to Exhibit 3.1 to SLB’s Current Report</w:t>
        </w:r>
      </w:hyperlink>
      <w:r>
        <w:rPr>
          <w:rFonts w:ascii="Arial" w:cs="Arial" w:eastAsia="Arial" w:hAnsi="Arial"/>
          <w:sz w:val="16"/>
          <w:szCs w:val="16"/>
          <w:color w:val="auto"/>
        </w:rPr>
        <w:t xml:space="preserve"> </w:t>
      </w:r>
      <w:hyperlink r:id="rId501">
        <w:r>
          <w:rPr>
            <w:rFonts w:ascii="Arial" w:cs="Arial" w:eastAsia="Arial" w:hAnsi="Arial"/>
            <w:sz w:val="16"/>
            <w:szCs w:val="16"/>
            <w:color w:val="auto"/>
          </w:rPr>
          <w:t>on Form 8-K filed on April 6,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-165735</wp:posOffset>
            </wp:positionV>
            <wp:extent cx="623506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2">
                      <a:extLst>
                        <a:ext uri="{28A0092B-C50C-407E-A947-70E740481C1C}"/>
                      </a:extLst>
                    </a:blip>
                    <a:srcRect/>
                    <a:stretch>
                      <a:fillRect/>
                    </a:stretch>
                  </pic:blipFill>
                  <pic:spPr bwMode="auto">
                    <a:xfrm>
                      <a:off x="0" y="0"/>
                      <a:ext cx="6235065" cy="8255"/>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-45720</wp:posOffset>
            </wp:positionV>
            <wp:extent cx="157226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3">
                      <a:extLst>
                        <a:ext uri="{28A0092B-C50C-407E-A947-70E740481C1C}"/>
                      </a:extLst>
                    </a:blip>
                    <a:srcRect/>
                    <a:stretch>
                      <a:fillRect/>
                    </a:stretch>
                  </pic:blipFill>
                  <pic:spPr bwMode="auto">
                    <a:xfrm>
                      <a:off x="0" y="0"/>
                      <a:ext cx="1572260" cy="8255"/>
                    </a:xfrm>
                    <a:prstGeom prst="rect">
                      <a:avLst/>
                    </a:prstGeom>
                    <a:noFill/>
                  </pic:spPr>
                </pic:pic>
              </a:graphicData>
            </a:graphic>
          </wp:anchor>
        </w:drawing>
      </w:r>
    </w:p>
    <w:p>
      <w:pPr>
        <w:spacing w:after="0" w:line="163" w:lineRule="exact"/>
        <w:rPr>
          <w:sz w:val="20"/>
          <w:szCs w:val="20"/>
          <w:color w:val="auto"/>
        </w:rPr>
      </w:pPr>
    </w:p>
    <w:p>
      <w:pPr>
        <w:jc w:val="both"/>
        <w:ind w:left="80"/>
        <w:spacing w:after="0" w:line="286" w:lineRule="auto"/>
        <w:rPr>
          <w:rFonts w:ascii="Arial" w:cs="Arial" w:eastAsia="Arial" w:hAnsi="Arial"/>
          <w:sz w:val="16"/>
          <w:szCs w:val="16"/>
          <w:color w:val="auto"/>
        </w:rPr>
      </w:pPr>
      <w:hyperlink r:id="rId504">
        <w:r>
          <w:rPr>
            <w:rFonts w:ascii="Arial" w:cs="Arial" w:eastAsia="Arial" w:hAnsi="Arial"/>
            <w:sz w:val="16"/>
            <w:szCs w:val="16"/>
            <w:color w:val="auto"/>
          </w:rPr>
          <w:t>Amended and Restated By-Laws of Schlumberger Limited (Schlumberger N.V.) (incorporated by reference to Exhibit 3 to SLB’s Current</w:t>
        </w:r>
      </w:hyperlink>
      <w:r>
        <w:rPr>
          <w:rFonts w:ascii="Arial" w:cs="Arial" w:eastAsia="Arial" w:hAnsi="Arial"/>
          <w:sz w:val="16"/>
          <w:szCs w:val="16"/>
          <w:color w:val="auto"/>
        </w:rPr>
        <w:t xml:space="preserve"> </w:t>
      </w:r>
      <w:hyperlink r:id="rId504">
        <w:r>
          <w:rPr>
            <w:rFonts w:ascii="Arial" w:cs="Arial" w:eastAsia="Arial" w:hAnsi="Arial"/>
            <w:sz w:val="16"/>
            <w:szCs w:val="16"/>
            <w:color w:val="auto"/>
          </w:rPr>
          <w:t>Report on Form 8-K filed on April 21,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-165735</wp:posOffset>
            </wp:positionV>
            <wp:extent cx="623506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5">
                      <a:extLst>
                        <a:ext uri="{28A0092B-C50C-407E-A947-70E740481C1C}"/>
                      </a:extLst>
                    </a:blip>
                    <a:srcRect/>
                    <a:stretch>
                      <a:fillRect/>
                    </a:stretch>
                  </pic:blipFill>
                  <pic:spPr bwMode="auto">
                    <a:xfrm>
                      <a:off x="0" y="0"/>
                      <a:ext cx="6235065" cy="8255"/>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-45720</wp:posOffset>
            </wp:positionV>
            <wp:extent cx="196659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6">
                      <a:extLst>
                        <a:ext uri="{28A0092B-C50C-407E-A947-70E740481C1C}"/>
                      </a:extLst>
                    </a:blip>
                    <a:srcRect/>
                    <a:stretch>
                      <a:fillRect/>
                    </a:stretch>
                  </pic:blipFill>
                  <pic:spPr bwMode="auto">
                    <a:xfrm>
                      <a:off x="0" y="0"/>
                      <a:ext cx="1966595" cy="8255"/>
                    </a:xfrm>
                    <a:prstGeom prst="rect">
                      <a:avLst/>
                    </a:prstGeom>
                    <a:noFill/>
                  </pic:spPr>
                </pic:pic>
              </a:graphicData>
            </a:graphic>
          </wp:anchor>
        </w:drawing>
      </w:r>
    </w:p>
    <w:p>
      <w:pPr>
        <w:spacing w:after="0" w:line="163" w:lineRule="exact"/>
        <w:rPr>
          <w:sz w:val="20"/>
          <w:szCs w:val="20"/>
          <w:color w:val="auto"/>
        </w:rPr>
      </w:pPr>
    </w:p>
    <w:p>
      <w:pPr>
        <w:jc w:val="both"/>
        <w:ind w:left="80"/>
        <w:spacing w:after="0" w:line="286" w:lineRule="auto"/>
        <w:rPr>
          <w:rFonts w:ascii="Arial" w:cs="Arial" w:eastAsia="Arial" w:hAnsi="Arial"/>
          <w:sz w:val="16"/>
          <w:szCs w:val="16"/>
          <w:color w:val="auto"/>
        </w:rPr>
      </w:pPr>
      <w:hyperlink r:id="rId507">
        <w:r>
          <w:rPr>
            <w:rFonts w:ascii="Arial" w:cs="Arial" w:eastAsia="Arial" w:hAnsi="Arial"/>
            <w:sz w:val="16"/>
            <w:szCs w:val="16"/>
            <w:color w:val="auto"/>
          </w:rPr>
          <w:t>Description of Common Stock of Schlumberger Limited (incorporated by reference to Exhibit 4.1 to SLB’s Annual Report on Form 10-K</w:t>
        </w:r>
      </w:hyperlink>
      <w:r>
        <w:rPr>
          <w:rFonts w:ascii="Arial" w:cs="Arial" w:eastAsia="Arial" w:hAnsi="Arial"/>
          <w:sz w:val="16"/>
          <w:szCs w:val="16"/>
          <w:color w:val="auto"/>
        </w:rPr>
        <w:t xml:space="preserve"> </w:t>
      </w:r>
      <w:hyperlink r:id="rId507">
        <w:r>
          <w:rPr>
            <w:rFonts w:ascii="Arial" w:cs="Arial" w:eastAsia="Arial" w:hAnsi="Arial"/>
            <w:sz w:val="16"/>
            <w:szCs w:val="16"/>
            <w:color w:val="auto"/>
          </w:rPr>
          <w:t>filed on January 27,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-165735</wp:posOffset>
            </wp:positionV>
            <wp:extent cx="623633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8">
                      <a:extLst>
                        <a:ext uri="{28A0092B-C50C-407E-A947-70E740481C1C}"/>
                      </a:extLst>
                    </a:blip>
                    <a:srcRect/>
                    <a:stretch>
                      <a:fillRect/>
                    </a:stretch>
                  </pic:blipFill>
                  <pic:spPr bwMode="auto">
                    <a:xfrm>
                      <a:off x="0" y="0"/>
                      <a:ext cx="6236335" cy="8255"/>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-45720</wp:posOffset>
            </wp:positionV>
            <wp:extent cx="11893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9">
                      <a:extLst>
                        <a:ext uri="{28A0092B-C50C-407E-A947-70E740481C1C}"/>
                      </a:extLst>
                    </a:blip>
                    <a:srcRect/>
                    <a:stretch>
                      <a:fillRect/>
                    </a:stretch>
                  </pic:blipFill>
                  <pic:spPr bwMode="auto">
                    <a:xfrm>
                      <a:off x="0" y="0"/>
                      <a:ext cx="1189355" cy="8255"/>
                    </a:xfrm>
                    <a:prstGeom prst="rect">
                      <a:avLst/>
                    </a:prstGeom>
                    <a:noFill/>
                  </pic:spPr>
                </pic:pic>
              </a:graphicData>
            </a:graphic>
          </wp:anchor>
        </w:drawing>
      </w:r>
    </w:p>
    <w:p>
      <w:pPr>
        <w:spacing w:after="0" w:line="163" w:lineRule="exact"/>
        <w:rPr>
          <w:sz w:val="20"/>
          <w:szCs w:val="20"/>
          <w:color w:val="auto"/>
        </w:rPr>
      </w:pPr>
    </w:p>
    <w:p>
      <w:pPr>
        <w:jc w:val="both"/>
        <w:ind w:left="80"/>
        <w:spacing w:after="0" w:line="266" w:lineRule="auto"/>
        <w:rPr>
          <w:rFonts w:ascii="Arial" w:cs="Arial" w:eastAsia="Arial" w:hAnsi="Arial"/>
          <w:sz w:val="16"/>
          <w:szCs w:val="16"/>
          <w:color w:val="auto"/>
        </w:rPr>
      </w:pPr>
      <w:hyperlink r:id="rId510">
        <w:r>
          <w:rPr>
            <w:rFonts w:ascii="Arial" w:cs="Arial" w:eastAsia="Arial" w:hAnsi="Arial"/>
            <w:sz w:val="16"/>
            <w:szCs w:val="16"/>
            <w:color w:val="auto"/>
          </w:rPr>
          <w:t>Indenture dated as of December 3, 2013, by and among Schlumberger Investment SA, as issuer, Schlumberger Limited, as guarantor,</w:t>
        </w:r>
      </w:hyperlink>
      <w:r>
        <w:rPr>
          <w:rFonts w:ascii="Arial" w:cs="Arial" w:eastAsia="Arial" w:hAnsi="Arial"/>
          <w:sz w:val="16"/>
          <w:szCs w:val="16"/>
          <w:color w:val="auto"/>
        </w:rPr>
        <w:t xml:space="preserve"> </w:t>
      </w:r>
      <w:hyperlink r:id="rId510">
        <w:r>
          <w:rPr>
            <w:rFonts w:ascii="Arial" w:cs="Arial" w:eastAsia="Arial" w:hAnsi="Arial"/>
            <w:sz w:val="16"/>
            <w:szCs w:val="16"/>
            <w:color w:val="auto"/>
          </w:rPr>
          <w:t>and The Bank of New York Mellon, as trustee (incorporated by reference to Exhibit 4.1 to SLB’s Current Report on Form 8-K filed on</w:t>
        </w:r>
      </w:hyperlink>
      <w:r>
        <w:rPr>
          <w:rFonts w:ascii="Arial" w:cs="Arial" w:eastAsia="Arial" w:hAnsi="Arial"/>
          <w:sz w:val="16"/>
          <w:szCs w:val="16"/>
          <w:color w:val="auto"/>
        </w:rPr>
        <w:t xml:space="preserve"> </w:t>
      </w:r>
      <w:hyperlink r:id="rId510">
        <w:r>
          <w:rPr>
            <w:rFonts w:ascii="Arial" w:cs="Arial" w:eastAsia="Arial" w:hAnsi="Arial"/>
            <w:sz w:val="16"/>
            <w:szCs w:val="16"/>
            <w:color w:val="auto"/>
          </w:rPr>
          <w:t>December 3, 2013)</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52070</wp:posOffset>
            </wp:positionH>
            <wp:positionV relativeFrom="paragraph">
              <wp:posOffset>-276225</wp:posOffset>
            </wp:positionV>
            <wp:extent cx="623824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1">
                      <a:extLst>
                        <a:ext uri="{28A0092B-C50C-407E-A947-70E740481C1C}"/>
                      </a:extLst>
                    </a:blip>
                    <a:srcRect/>
                    <a:stretch>
                      <a:fillRect/>
                    </a:stretch>
                  </pic:blipFill>
                  <pic:spPr bwMode="auto">
                    <a:xfrm>
                      <a:off x="0" y="0"/>
                      <a:ext cx="6238240" cy="8255"/>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-156210</wp:posOffset>
            </wp:positionV>
            <wp:extent cx="623824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2">
                      <a:extLst>
                        <a:ext uri="{28A0092B-C50C-407E-A947-70E740481C1C}"/>
                      </a:extLst>
                    </a:blip>
                    <a:srcRect/>
                    <a:stretch>
                      <a:fillRect/>
                    </a:stretch>
                  </pic:blipFill>
                  <pic:spPr bwMode="auto">
                    <a:xfrm>
                      <a:off x="0" y="0"/>
                      <a:ext cx="6238240" cy="8255"/>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-36195</wp:posOffset>
            </wp:positionV>
            <wp:extent cx="88074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3">
                      <a:extLst>
                        <a:ext uri="{28A0092B-C50C-407E-A947-70E740481C1C}"/>
                      </a:extLst>
                    </a:blip>
                    <a:srcRect/>
                    <a:stretch>
                      <a:fillRect/>
                    </a:stretch>
                  </pic:blipFill>
                  <pic:spPr bwMode="auto">
                    <a:xfrm>
                      <a:off x="0" y="0"/>
                      <a:ext cx="880745" cy="8255"/>
                    </a:xfrm>
                    <a:prstGeom prst="rect">
                      <a:avLst/>
                    </a:prstGeom>
                    <a:noFill/>
                  </pic:spPr>
                </pic:pic>
              </a:graphicData>
            </a:graphic>
          </wp:anchor>
        </w:drawing>
      </w:r>
    </w:p>
    <w:p>
      <w:pPr>
        <w:spacing w:after="0" w:line="178" w:lineRule="exact"/>
        <w:rPr>
          <w:rFonts w:ascii="Arial" w:cs="Arial" w:eastAsia="Arial" w:hAnsi="Arial"/>
          <w:sz w:val="16"/>
          <w:szCs w:val="16"/>
          <w:color w:val="auto"/>
        </w:rPr>
      </w:pPr>
    </w:p>
    <w:p>
      <w:pPr>
        <w:jc w:val="both"/>
        <w:ind w:left="80"/>
        <w:spacing w:after="0" w:line="266" w:lineRule="auto"/>
        <w:rPr>
          <w:rFonts w:ascii="Arial" w:cs="Arial" w:eastAsia="Arial" w:hAnsi="Arial"/>
          <w:sz w:val="16"/>
          <w:szCs w:val="16"/>
          <w:color w:val="auto"/>
        </w:rPr>
      </w:pPr>
      <w:hyperlink r:id="rId514">
        <w:r>
          <w:rPr>
            <w:rFonts w:ascii="Arial" w:cs="Arial" w:eastAsia="Arial" w:hAnsi="Arial"/>
            <w:sz w:val="16"/>
            <w:szCs w:val="16"/>
            <w:color w:val="auto"/>
          </w:rPr>
          <w:t>Second Supplemental Indenture dated as of June 26, 2020, by and among Schlumberger Investment SA, as issuer, Schlumberger</w:t>
        </w:r>
      </w:hyperlink>
      <w:r>
        <w:rPr>
          <w:rFonts w:ascii="Arial" w:cs="Arial" w:eastAsia="Arial" w:hAnsi="Arial"/>
          <w:sz w:val="16"/>
          <w:szCs w:val="16"/>
          <w:color w:val="auto"/>
        </w:rPr>
        <w:t xml:space="preserve"> </w:t>
      </w:r>
      <w:hyperlink r:id="rId514">
        <w:r>
          <w:rPr>
            <w:rFonts w:ascii="Arial" w:cs="Arial" w:eastAsia="Arial" w:hAnsi="Arial"/>
            <w:sz w:val="16"/>
            <w:szCs w:val="16"/>
            <w:color w:val="auto"/>
          </w:rPr>
          <w:t>Limited, as guarantor, and The Bank of New York Mellon, as trustee (including form of global notes representing 2.650% Senior Notes</w:t>
        </w:r>
      </w:hyperlink>
      <w:r>
        <w:rPr>
          <w:rFonts w:ascii="Arial" w:cs="Arial" w:eastAsia="Arial" w:hAnsi="Arial"/>
          <w:sz w:val="16"/>
          <w:szCs w:val="16"/>
          <w:color w:val="auto"/>
        </w:rPr>
        <w:t xml:space="preserve"> </w:t>
      </w:r>
      <w:hyperlink r:id="rId514">
        <w:r>
          <w:rPr>
            <w:rFonts w:ascii="Arial" w:cs="Arial" w:eastAsia="Arial" w:hAnsi="Arial"/>
            <w:sz w:val="16"/>
            <w:szCs w:val="16"/>
            <w:color w:val="auto"/>
          </w:rPr>
          <w:t>due 2030) (incorporated by reference to Exhibit 4.1 to SLB’s Current Report on Form 8-K filed on June 26, 2020)</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52070</wp:posOffset>
            </wp:positionH>
            <wp:positionV relativeFrom="paragraph">
              <wp:posOffset>-276225</wp:posOffset>
            </wp:positionV>
            <wp:extent cx="623316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5">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-156210</wp:posOffset>
            </wp:positionV>
            <wp:extent cx="623443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6">
                      <a:extLst>
                        <a:ext uri="{28A0092B-C50C-407E-A947-70E740481C1C}"/>
                      </a:extLst>
                    </a:blip>
                    <a:srcRect/>
                    <a:stretch>
                      <a:fillRect/>
                    </a:stretch>
                  </pic:blipFill>
                  <pic:spPr bwMode="auto">
                    <a:xfrm>
                      <a:off x="0" y="0"/>
                      <a:ext cx="6234430" cy="8255"/>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-36195</wp:posOffset>
            </wp:positionV>
            <wp:extent cx="511619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7">
                      <a:extLst>
                        <a:ext uri="{28A0092B-C50C-407E-A947-70E740481C1C}"/>
                      </a:extLst>
                    </a:blip>
                    <a:srcRect/>
                    <a:stretch>
                      <a:fillRect/>
                    </a:stretch>
                  </pic:blipFill>
                  <pic:spPr bwMode="auto">
                    <a:xfrm>
                      <a:off x="0" y="0"/>
                      <a:ext cx="5116195" cy="8255"/>
                    </a:xfrm>
                    <a:prstGeom prst="rect">
                      <a:avLst/>
                    </a:prstGeom>
                    <a:noFill/>
                  </pic:spPr>
                </pic:pic>
              </a:graphicData>
            </a:graphic>
          </wp:anchor>
        </w:drawing>
      </w:r>
    </w:p>
    <w:p>
      <w:pPr>
        <w:spacing w:after="0" w:line="178" w:lineRule="exact"/>
        <w:rPr>
          <w:rFonts w:ascii="Arial" w:cs="Arial" w:eastAsia="Arial" w:hAnsi="Arial"/>
          <w:sz w:val="16"/>
          <w:szCs w:val="16"/>
          <w:color w:val="auto"/>
        </w:rPr>
      </w:pPr>
    </w:p>
    <w:p>
      <w:pPr>
        <w:jc w:val="both"/>
        <w:ind w:left="80"/>
        <w:spacing w:after="0" w:line="259" w:lineRule="auto"/>
        <w:rPr>
          <w:rFonts w:ascii="Arial" w:cs="Arial" w:eastAsia="Arial" w:hAnsi="Arial"/>
          <w:sz w:val="16"/>
          <w:szCs w:val="16"/>
          <w:color w:val="auto"/>
        </w:rPr>
      </w:pPr>
      <w:hyperlink r:id="rId518">
        <w:r>
          <w:rPr>
            <w:rFonts w:ascii="Arial" w:cs="Arial" w:eastAsia="Arial" w:hAnsi="Arial"/>
            <w:sz w:val="16"/>
            <w:szCs w:val="16"/>
            <w:color w:val="auto"/>
          </w:rPr>
          <w:t>Third Supplemental Indenture dated as of May 15, 2023, by and among Schlumberger Investment SA, as issuer, Schlumberger Limited,</w:t>
        </w:r>
      </w:hyperlink>
      <w:r>
        <w:rPr>
          <w:rFonts w:ascii="Arial" w:cs="Arial" w:eastAsia="Arial" w:hAnsi="Arial"/>
          <w:sz w:val="16"/>
          <w:szCs w:val="16"/>
          <w:color w:val="auto"/>
        </w:rPr>
        <w:t xml:space="preserve"> </w:t>
      </w:r>
      <w:hyperlink r:id="rId518">
        <w:r>
          <w:rPr>
            <w:rFonts w:ascii="Arial" w:cs="Arial" w:eastAsia="Arial" w:hAnsi="Arial"/>
            <w:sz w:val="16"/>
            <w:szCs w:val="16"/>
            <w:color w:val="auto"/>
          </w:rPr>
          <w:t>as guarantor, and The Bank of New York Mellon, as trustee (including form of global notes representing 4.500% Senior Notes due 2028</w:t>
        </w:r>
      </w:hyperlink>
      <w:r>
        <w:rPr>
          <w:rFonts w:ascii="Arial" w:cs="Arial" w:eastAsia="Arial" w:hAnsi="Arial"/>
          <w:sz w:val="16"/>
          <w:szCs w:val="16"/>
          <w:color w:val="auto"/>
        </w:rPr>
        <w:t xml:space="preserve"> </w:t>
      </w:r>
      <w:hyperlink r:id="rId518">
        <w:r>
          <w:rPr>
            <w:rFonts w:ascii="Arial" w:cs="Arial" w:eastAsia="Arial" w:hAnsi="Arial"/>
            <w:sz w:val="16"/>
            <w:szCs w:val="16"/>
            <w:color w:val="auto"/>
          </w:rPr>
          <w:t>and form of global notes representing 4.850% Senior Notes due 2033) (incorporated by reference to Exhibit 4.1 to SLB’s Current Report</w:t>
        </w:r>
      </w:hyperlink>
      <w:r>
        <w:rPr>
          <w:rFonts w:ascii="Arial" w:cs="Arial" w:eastAsia="Arial" w:hAnsi="Arial"/>
          <w:sz w:val="16"/>
          <w:szCs w:val="16"/>
          <w:color w:val="auto"/>
        </w:rPr>
        <w:t xml:space="preserve"> </w:t>
      </w:r>
      <w:hyperlink r:id="rId518">
        <w:r>
          <w:rPr>
            <w:rFonts w:ascii="Arial" w:cs="Arial" w:eastAsia="Arial" w:hAnsi="Arial"/>
            <w:sz w:val="16"/>
            <w:szCs w:val="16"/>
            <w:color w:val="auto"/>
          </w:rPr>
          <w:t>on Form 8-K filed on May 15, 2023)</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52070</wp:posOffset>
            </wp:positionH>
            <wp:positionV relativeFrom="paragraph">
              <wp:posOffset>-391795</wp:posOffset>
            </wp:positionV>
            <wp:extent cx="623824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9">
                      <a:extLst>
                        <a:ext uri="{28A0092B-C50C-407E-A947-70E740481C1C}"/>
                      </a:extLst>
                    </a:blip>
                    <a:srcRect/>
                    <a:stretch>
                      <a:fillRect/>
                    </a:stretch>
                  </pic:blipFill>
                  <pic:spPr bwMode="auto">
                    <a:xfrm>
                      <a:off x="0" y="0"/>
                      <a:ext cx="6238240" cy="8255"/>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-271780</wp:posOffset>
            </wp:positionV>
            <wp:extent cx="623506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0">
                      <a:extLst>
                        <a:ext uri="{28A0092B-C50C-407E-A947-70E740481C1C}"/>
                      </a:extLst>
                    </a:blip>
                    <a:srcRect/>
                    <a:stretch>
                      <a:fillRect/>
                    </a:stretch>
                  </pic:blipFill>
                  <pic:spPr bwMode="auto">
                    <a:xfrm>
                      <a:off x="0" y="0"/>
                      <a:ext cx="6235065" cy="8255"/>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-151765</wp:posOffset>
            </wp:positionV>
            <wp:extent cx="623379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1">
                      <a:extLst>
                        <a:ext uri="{28A0092B-C50C-407E-A947-70E740481C1C}"/>
                      </a:extLst>
                    </a:blip>
                    <a:srcRect/>
                    <a:stretch>
                      <a:fillRect/>
                    </a:stretch>
                  </pic:blipFill>
                  <pic:spPr bwMode="auto">
                    <a:xfrm>
                      <a:off x="0" y="0"/>
                      <a:ext cx="6233795" cy="8255"/>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-31750</wp:posOffset>
            </wp:positionV>
            <wp:extent cx="161798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2">
                      <a:extLst>
                        <a:ext uri="{28A0092B-C50C-407E-A947-70E740481C1C}"/>
                      </a:extLst>
                    </a:blip>
                    <a:srcRect/>
                    <a:stretch>
                      <a:fillRect/>
                    </a:stretch>
                  </pic:blipFill>
                  <pic:spPr bwMode="auto">
                    <a:xfrm>
                      <a:off x="0" y="0"/>
                      <a:ext cx="1617980" cy="8890"/>
                    </a:xfrm>
                    <a:prstGeom prst="rect">
                      <a:avLst/>
                    </a:prstGeom>
                    <a:noFill/>
                  </pic:spPr>
                </pic:pic>
              </a:graphicData>
            </a:graphic>
          </wp:anchor>
        </w:drawing>
      </w:r>
    </w:p>
    <w:p>
      <w:pPr>
        <w:spacing w:after="0" w:line="185" w:lineRule="exact"/>
        <w:rPr>
          <w:rFonts w:ascii="Arial" w:cs="Arial" w:eastAsia="Arial" w:hAnsi="Arial"/>
          <w:sz w:val="16"/>
          <w:szCs w:val="16"/>
          <w:color w:val="auto"/>
        </w:rPr>
      </w:pPr>
    </w:p>
    <w:p>
      <w:pPr>
        <w:jc w:val="both"/>
        <w:ind w:left="80"/>
        <w:spacing w:after="0" w:line="266" w:lineRule="auto"/>
        <w:rPr>
          <w:rFonts w:ascii="Arial" w:cs="Arial" w:eastAsia="Arial" w:hAnsi="Arial"/>
          <w:sz w:val="16"/>
          <w:szCs w:val="16"/>
          <w:color w:val="auto"/>
        </w:rPr>
      </w:pPr>
      <w:hyperlink r:id="rId523">
        <w:r>
          <w:rPr>
            <w:rFonts w:ascii="Arial" w:cs="Arial" w:eastAsia="Arial" w:hAnsi="Arial"/>
            <w:sz w:val="16"/>
            <w:szCs w:val="16"/>
            <w:color w:val="auto"/>
          </w:rPr>
          <w:t>Officers’ Certificate dated as of August 11, 2020, executed by Schlumberger Investment SA, as issuer, and Schlumberger Limited, as</w:t>
        </w:r>
      </w:hyperlink>
      <w:r>
        <w:rPr>
          <w:rFonts w:ascii="Arial" w:cs="Arial" w:eastAsia="Arial" w:hAnsi="Arial"/>
          <w:sz w:val="16"/>
          <w:szCs w:val="16"/>
          <w:color w:val="auto"/>
        </w:rPr>
        <w:t xml:space="preserve"> </w:t>
      </w:r>
      <w:hyperlink r:id="rId523">
        <w:r>
          <w:rPr>
            <w:rFonts w:ascii="Arial" w:cs="Arial" w:eastAsia="Arial" w:hAnsi="Arial"/>
            <w:sz w:val="16"/>
            <w:szCs w:val="16"/>
            <w:color w:val="auto"/>
          </w:rPr>
          <w:t>guarantor (including form of global notes representing 2.650% Senior Notes due 2030) (incorporated by reference to Exhibit 4.1 to SLB’s</w:t>
        </w:r>
      </w:hyperlink>
      <w:r>
        <w:rPr>
          <w:rFonts w:ascii="Arial" w:cs="Arial" w:eastAsia="Arial" w:hAnsi="Arial"/>
          <w:sz w:val="16"/>
          <w:szCs w:val="16"/>
          <w:color w:val="auto"/>
        </w:rPr>
        <w:t xml:space="preserve"> </w:t>
      </w:r>
      <w:hyperlink r:id="rId523">
        <w:r>
          <w:rPr>
            <w:rFonts w:ascii="Arial" w:cs="Arial" w:eastAsia="Arial" w:hAnsi="Arial"/>
            <w:sz w:val="16"/>
            <w:szCs w:val="16"/>
            <w:color w:val="auto"/>
          </w:rPr>
          <w:t>Current Report on Form 8-K filed on August 11, 2020)</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52070</wp:posOffset>
            </wp:positionH>
            <wp:positionV relativeFrom="paragraph">
              <wp:posOffset>-276225</wp:posOffset>
            </wp:positionV>
            <wp:extent cx="623697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4">
                      <a:extLst>
                        <a:ext uri="{28A0092B-C50C-407E-A947-70E740481C1C}"/>
                      </a:extLst>
                    </a:blip>
                    <a:srcRect/>
                    <a:stretch>
                      <a:fillRect/>
                    </a:stretch>
                  </pic:blipFill>
                  <pic:spPr bwMode="auto">
                    <a:xfrm>
                      <a:off x="0" y="0"/>
                      <a:ext cx="6236970" cy="8255"/>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-156210</wp:posOffset>
            </wp:positionV>
            <wp:extent cx="623697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5">
                      <a:extLst>
                        <a:ext uri="{28A0092B-C50C-407E-A947-70E740481C1C}"/>
                      </a:extLst>
                    </a:blip>
                    <a:srcRect/>
                    <a:stretch>
                      <a:fillRect/>
                    </a:stretch>
                  </pic:blipFill>
                  <pic:spPr bwMode="auto">
                    <a:xfrm>
                      <a:off x="0" y="0"/>
                      <a:ext cx="6236970" cy="8255"/>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-36195</wp:posOffset>
            </wp:positionV>
            <wp:extent cx="244538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6">
                      <a:extLst>
                        <a:ext uri="{28A0092B-C50C-407E-A947-70E740481C1C}"/>
                      </a:extLst>
                    </a:blip>
                    <a:srcRect/>
                    <a:stretch>
                      <a:fillRect/>
                    </a:stretch>
                  </pic:blipFill>
                  <pic:spPr bwMode="auto">
                    <a:xfrm>
                      <a:off x="0" y="0"/>
                      <a:ext cx="2445385" cy="8890"/>
                    </a:xfrm>
                    <a:prstGeom prst="rect">
                      <a:avLst/>
                    </a:prstGeom>
                    <a:noFill/>
                  </pic:spPr>
                </pic:pic>
              </a:graphicData>
            </a:graphic>
          </wp:anchor>
        </w:drawing>
      </w:r>
    </w:p>
    <w:p>
      <w:pPr>
        <w:spacing w:after="0" w:line="178" w:lineRule="exact"/>
        <w:rPr>
          <w:rFonts w:ascii="Arial" w:cs="Arial" w:eastAsia="Arial" w:hAnsi="Arial"/>
          <w:sz w:val="16"/>
          <w:szCs w:val="16"/>
          <w:color w:val="auto"/>
        </w:rPr>
      </w:pPr>
    </w:p>
    <w:p>
      <w:pPr>
        <w:jc w:val="both"/>
        <w:ind w:left="80"/>
        <w:spacing w:after="0" w:line="266" w:lineRule="auto"/>
        <w:rPr>
          <w:rFonts w:ascii="Arial" w:cs="Arial" w:eastAsia="Arial" w:hAnsi="Arial"/>
          <w:sz w:val="16"/>
          <w:szCs w:val="16"/>
          <w:color w:val="auto"/>
        </w:rPr>
      </w:pPr>
      <w:hyperlink r:id="rId527">
        <w:r>
          <w:rPr>
            <w:rFonts w:ascii="Arial" w:cs="Arial" w:eastAsia="Arial" w:hAnsi="Arial"/>
            <w:sz w:val="16"/>
            <w:szCs w:val="16"/>
            <w:color w:val="auto"/>
          </w:rPr>
          <w:t>Indenture dated as of September 18, 2020, by and among Schlumberger Finance Canada Ltd., as issuer, Schlumberger Limited, as</w:t>
        </w:r>
      </w:hyperlink>
      <w:r>
        <w:rPr>
          <w:rFonts w:ascii="Arial" w:cs="Arial" w:eastAsia="Arial" w:hAnsi="Arial"/>
          <w:sz w:val="16"/>
          <w:szCs w:val="16"/>
          <w:color w:val="auto"/>
        </w:rPr>
        <w:t xml:space="preserve"> </w:t>
      </w:r>
      <w:hyperlink r:id="rId527">
        <w:r>
          <w:rPr>
            <w:rFonts w:ascii="Arial" w:cs="Arial" w:eastAsia="Arial" w:hAnsi="Arial"/>
            <w:sz w:val="16"/>
            <w:szCs w:val="16"/>
            <w:color w:val="auto"/>
          </w:rPr>
          <w:t>guarantor, and The Bank of New York Mellon, as trustee (incorporated by reference to Exhibit 4.1 to SLB’s Current Report on Form 8-K</w:t>
        </w:r>
      </w:hyperlink>
      <w:r>
        <w:rPr>
          <w:rFonts w:ascii="Arial" w:cs="Arial" w:eastAsia="Arial" w:hAnsi="Arial"/>
          <w:sz w:val="16"/>
          <w:szCs w:val="16"/>
          <w:color w:val="auto"/>
        </w:rPr>
        <w:t xml:space="preserve"> </w:t>
      </w:r>
      <w:hyperlink r:id="rId527">
        <w:r>
          <w:rPr>
            <w:rFonts w:ascii="Arial" w:cs="Arial" w:eastAsia="Arial" w:hAnsi="Arial"/>
            <w:sz w:val="16"/>
            <w:szCs w:val="16"/>
            <w:color w:val="auto"/>
          </w:rPr>
          <w:t>filed on September 18, 2020)</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52070</wp:posOffset>
            </wp:positionH>
            <wp:positionV relativeFrom="paragraph">
              <wp:posOffset>-276225</wp:posOffset>
            </wp:positionV>
            <wp:extent cx="623887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8">
                      <a:extLst>
                        <a:ext uri="{28A0092B-C50C-407E-A947-70E740481C1C}"/>
                      </a:extLst>
                    </a:blip>
                    <a:srcRect/>
                    <a:stretch>
                      <a:fillRect/>
                    </a:stretch>
                  </pic:blipFill>
                  <pic:spPr bwMode="auto">
                    <a:xfrm>
                      <a:off x="0" y="0"/>
                      <a:ext cx="6238875" cy="8255"/>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-156210</wp:posOffset>
            </wp:positionV>
            <wp:extent cx="623252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9">
                      <a:extLst>
                        <a:ext uri="{28A0092B-C50C-407E-A947-70E740481C1C}"/>
                      </a:extLst>
                    </a:blip>
                    <a:srcRect/>
                    <a:stretch>
                      <a:fillRect/>
                    </a:stretch>
                  </pic:blipFill>
                  <pic:spPr bwMode="auto">
                    <a:xfrm>
                      <a:off x="0" y="0"/>
                      <a:ext cx="6232525" cy="8255"/>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-36195</wp:posOffset>
            </wp:positionV>
            <wp:extent cx="132651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0">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spacing w:after="0" w:line="178"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hyperlink r:id="rId531">
        <w:r>
          <w:rPr>
            <w:rFonts w:ascii="Arial" w:cs="Arial" w:eastAsia="Arial" w:hAnsi="Arial"/>
            <w:sz w:val="16"/>
            <w:szCs w:val="16"/>
            <w:color w:val="auto"/>
          </w:rPr>
          <w:t>First Supplemental Indenture dated as of September 18, 2020, by and among Schlumberger Finance Canada Ltd., as issuer,</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52070</wp:posOffset>
            </wp:positionH>
            <wp:positionV relativeFrom="paragraph">
              <wp:posOffset>-4445</wp:posOffset>
            </wp:positionV>
            <wp:extent cx="623824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2">
                      <a:extLst>
                        <a:ext uri="{28A0092B-C50C-407E-A947-70E740481C1C}"/>
                      </a:extLst>
                    </a:blip>
                    <a:srcRect/>
                    <a:stretch>
                      <a:fillRect/>
                    </a:stretch>
                  </pic:blipFill>
                  <pic:spPr bwMode="auto">
                    <a:xfrm>
                      <a:off x="0" y="0"/>
                      <a:ext cx="6238240" cy="8890"/>
                    </a:xfrm>
                    <a:prstGeom prst="rect">
                      <a:avLst/>
                    </a:prstGeom>
                    <a:noFill/>
                  </pic:spPr>
                </pic:pic>
              </a:graphicData>
            </a:graphic>
          </wp:anchor>
        </w:drawing>
      </w:r>
    </w:p>
    <w:p>
      <w:pPr>
        <w:spacing w:after="0" w:line="1"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hyperlink r:id="rId531">
        <w:r>
          <w:rPr>
            <w:rFonts w:ascii="Arial" w:cs="Arial" w:eastAsia="Arial" w:hAnsi="Arial"/>
            <w:sz w:val="16"/>
            <w:szCs w:val="16"/>
            <w:color w:val="auto"/>
          </w:rPr>
          <w:t>Schlumberger Limited, as guarantor, and The Bank of New York Mellon, as trustee (including form of global notes representing 1.400%</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52070</wp:posOffset>
            </wp:positionH>
            <wp:positionV relativeFrom="paragraph">
              <wp:posOffset>-14605</wp:posOffset>
            </wp:positionV>
            <wp:extent cx="623760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3">
                      <a:extLst>
                        <a:ext uri="{28A0092B-C50C-407E-A947-70E740481C1C}"/>
                      </a:extLst>
                    </a:blip>
                    <a:srcRect/>
                    <a:stretch>
                      <a:fillRect/>
                    </a:stretch>
                  </pic:blipFill>
                  <pic:spPr bwMode="auto">
                    <a:xfrm>
                      <a:off x="0" y="0"/>
                      <a:ext cx="6237605" cy="8255"/>
                    </a:xfrm>
                    <a:prstGeom prst="rect">
                      <a:avLst/>
                    </a:prstGeom>
                    <a:noFill/>
                  </pic:spPr>
                </pic:pic>
              </a:graphicData>
            </a:graphic>
          </wp:anchor>
        </w:drawing>
      </w:r>
    </w:p>
    <w:p>
      <w:pPr>
        <w:ind w:left="80"/>
        <w:spacing w:after="0"/>
        <w:rPr>
          <w:rFonts w:ascii="Arial" w:cs="Arial" w:eastAsia="Arial" w:hAnsi="Arial"/>
          <w:sz w:val="16"/>
          <w:szCs w:val="16"/>
          <w:color w:val="auto"/>
        </w:rPr>
      </w:pPr>
      <w:hyperlink r:id="rId531">
        <w:r>
          <w:rPr>
            <w:rFonts w:ascii="Arial" w:cs="Arial" w:eastAsia="Arial" w:hAnsi="Arial"/>
            <w:sz w:val="16"/>
            <w:szCs w:val="16"/>
            <w:color w:val="auto"/>
          </w:rPr>
          <w:t>Senior Notes due 2025) (incorporated by reference to Exhibit 4.2 to SLB’s Current Report on Form 8-K filed on September 18, 2020)</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52070</wp:posOffset>
            </wp:positionH>
            <wp:positionV relativeFrom="paragraph">
              <wp:posOffset>-14605</wp:posOffset>
            </wp:positionV>
            <wp:extent cx="601916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4">
                      <a:extLst>
                        <a:ext uri="{28A0092B-C50C-407E-A947-70E740481C1C}"/>
                      </a:extLst>
                    </a:blip>
                    <a:srcRect/>
                    <a:stretch>
                      <a:fillRect/>
                    </a:stretch>
                  </pic:blipFill>
                  <pic:spPr bwMode="auto">
                    <a:xfrm>
                      <a:off x="0" y="0"/>
                      <a:ext cx="6019165" cy="8890"/>
                    </a:xfrm>
                    <a:prstGeom prst="rect">
                      <a:avLst/>
                    </a:prstGeom>
                    <a:noFill/>
                  </pic:spPr>
                </pic:pic>
              </a:graphicData>
            </a:graphic>
          </wp:anchor>
        </w:drawing>
      </w:r>
    </w:p>
    <w:p>
      <w:pPr>
        <w:spacing w:after="0" w:line="212" w:lineRule="exact"/>
        <w:rPr>
          <w:rFonts w:ascii="Arial" w:cs="Arial" w:eastAsia="Arial" w:hAnsi="Arial"/>
          <w:sz w:val="16"/>
          <w:szCs w:val="16"/>
          <w:color w:val="auto"/>
        </w:rPr>
      </w:pPr>
    </w:p>
    <w:p>
      <w:pPr>
        <w:jc w:val="both"/>
        <w:ind w:left="80"/>
        <w:spacing w:after="0" w:line="266" w:lineRule="auto"/>
        <w:rPr>
          <w:rFonts w:ascii="Arial" w:cs="Arial" w:eastAsia="Arial" w:hAnsi="Arial"/>
          <w:sz w:val="16"/>
          <w:szCs w:val="16"/>
          <w:color w:val="auto"/>
        </w:rPr>
      </w:pPr>
      <w:hyperlink r:id="rId535">
        <w:r>
          <w:rPr>
            <w:rFonts w:ascii="Arial" w:cs="Arial" w:eastAsia="Arial" w:hAnsi="Arial"/>
            <w:sz w:val="16"/>
            <w:szCs w:val="16"/>
            <w:color w:val="auto"/>
          </w:rPr>
          <w:t>Schlumberger Limited Supplementary Benefit Plan, as amended and restated effective November 1, 2020 and conformed to include</w:t>
        </w:r>
      </w:hyperlink>
      <w:r>
        <w:rPr>
          <w:rFonts w:ascii="Arial" w:cs="Arial" w:eastAsia="Arial" w:hAnsi="Arial"/>
          <w:sz w:val="16"/>
          <w:szCs w:val="16"/>
          <w:color w:val="auto"/>
        </w:rPr>
        <w:t xml:space="preserve"> </w:t>
      </w:r>
      <w:hyperlink r:id="rId535">
        <w:r>
          <w:rPr>
            <w:rFonts w:ascii="Arial" w:cs="Arial" w:eastAsia="Arial" w:hAnsi="Arial"/>
            <w:sz w:val="16"/>
            <w:szCs w:val="16"/>
            <w:color w:val="auto"/>
          </w:rPr>
          <w:t>amendments effective through January 1, 2023 (incorporated by reference to Exhibit 10.1 to SLB’s Quarterly Report on Form 10-Q for</w:t>
        </w:r>
      </w:hyperlink>
      <w:r>
        <w:rPr>
          <w:rFonts w:ascii="Arial" w:cs="Arial" w:eastAsia="Arial" w:hAnsi="Arial"/>
          <w:sz w:val="16"/>
          <w:szCs w:val="16"/>
          <w:color w:val="auto"/>
        </w:rPr>
        <w:t xml:space="preserve"> </w:t>
      </w:r>
      <w:hyperlink r:id="rId535">
        <w:r>
          <w:rPr>
            <w:rFonts w:ascii="Arial" w:cs="Arial" w:eastAsia="Arial" w:hAnsi="Arial"/>
            <w:sz w:val="16"/>
            <w:szCs w:val="16"/>
            <w:color w:val="auto"/>
          </w:rPr>
          <w:t>the quarter ended September 30, 2023) (+)</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52070</wp:posOffset>
            </wp:positionH>
            <wp:positionV relativeFrom="paragraph">
              <wp:posOffset>-276225</wp:posOffset>
            </wp:positionV>
            <wp:extent cx="623633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6">
                      <a:extLst>
                        <a:ext uri="{28A0092B-C50C-407E-A947-70E740481C1C}"/>
                      </a:extLst>
                    </a:blip>
                    <a:srcRect/>
                    <a:stretch>
                      <a:fillRect/>
                    </a:stretch>
                  </pic:blipFill>
                  <pic:spPr bwMode="auto">
                    <a:xfrm>
                      <a:off x="0" y="0"/>
                      <a:ext cx="6236335" cy="889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-156210</wp:posOffset>
            </wp:positionV>
            <wp:extent cx="623443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7">
                      <a:extLst>
                        <a:ext uri="{28A0092B-C50C-407E-A947-70E740481C1C}"/>
                      </a:extLst>
                    </a:blip>
                    <a:srcRect/>
                    <a:stretch>
                      <a:fillRect/>
                    </a:stretch>
                  </pic:blipFill>
                  <pic:spPr bwMode="auto">
                    <a:xfrm>
                      <a:off x="0" y="0"/>
                      <a:ext cx="6234430" cy="8255"/>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-36195</wp:posOffset>
            </wp:positionV>
            <wp:extent cx="196405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8">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178" w:lineRule="exact"/>
        <w:rPr>
          <w:rFonts w:ascii="Arial" w:cs="Arial" w:eastAsia="Arial" w:hAnsi="Arial"/>
          <w:sz w:val="16"/>
          <w:szCs w:val="16"/>
          <w:color w:val="auto"/>
        </w:rPr>
      </w:pPr>
    </w:p>
    <w:p>
      <w:pPr>
        <w:jc w:val="both"/>
        <w:ind w:left="80"/>
        <w:spacing w:after="0" w:line="286" w:lineRule="auto"/>
        <w:rPr>
          <w:rFonts w:ascii="Arial" w:cs="Arial" w:eastAsia="Arial" w:hAnsi="Arial"/>
          <w:sz w:val="16"/>
          <w:szCs w:val="16"/>
          <w:color w:val="auto"/>
        </w:rPr>
      </w:pPr>
      <w:hyperlink r:id="rId539">
        <w:r>
          <w:rPr>
            <w:rFonts w:ascii="Arial" w:cs="Arial" w:eastAsia="Arial" w:hAnsi="Arial"/>
            <w:sz w:val="16"/>
            <w:szCs w:val="16"/>
            <w:color w:val="auto"/>
          </w:rPr>
          <w:t>Schlumberger Limited Restoration Savings Plan, as amended and restated effective January 1, 2023 (incorporated by reference to</w:t>
        </w:r>
      </w:hyperlink>
      <w:r>
        <w:rPr>
          <w:rFonts w:ascii="Arial" w:cs="Arial" w:eastAsia="Arial" w:hAnsi="Arial"/>
          <w:sz w:val="16"/>
          <w:szCs w:val="16"/>
          <w:color w:val="auto"/>
        </w:rPr>
        <w:t xml:space="preserve"> </w:t>
      </w:r>
      <w:hyperlink r:id="rId539">
        <w:r>
          <w:rPr>
            <w:rFonts w:ascii="Arial" w:cs="Arial" w:eastAsia="Arial" w:hAnsi="Arial"/>
            <w:sz w:val="16"/>
            <w:szCs w:val="16"/>
            <w:color w:val="auto"/>
          </w:rPr>
          <w:t>Exhibit 10.2 to SLB’s Quarterly Report on Form 10-Q for the quarter ended September 30, 2023)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-165735</wp:posOffset>
            </wp:positionV>
            <wp:extent cx="623379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0">
                      <a:extLst>
                        <a:ext uri="{28A0092B-C50C-407E-A947-70E740481C1C}"/>
                      </a:extLst>
                    </a:blip>
                    <a:srcRect/>
                    <a:stretch>
                      <a:fillRect/>
                    </a:stretch>
                  </pic:blipFill>
                  <pic:spPr bwMode="auto">
                    <a:xfrm>
                      <a:off x="0" y="0"/>
                      <a:ext cx="6233795" cy="8255"/>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-45720</wp:posOffset>
            </wp:positionV>
            <wp:extent cx="454660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1">
                      <a:extLst>
                        <a:ext uri="{28A0092B-C50C-407E-A947-70E740481C1C}"/>
                      </a:extLst>
                    </a:blip>
                    <a:srcRect/>
                    <a:stretch>
                      <a:fillRect/>
                    </a:stretch>
                  </pic:blipFill>
                  <pic:spPr bwMode="auto">
                    <a:xfrm>
                      <a:off x="0" y="0"/>
                      <a:ext cx="4546600" cy="8255"/>
                    </a:xfrm>
                    <a:prstGeom prst="rect">
                      <a:avLst/>
                    </a:prstGeom>
                    <a:noFill/>
                  </pic:spPr>
                </pic:pic>
              </a:graphicData>
            </a:graphic>
          </wp:anchor>
        </w:drawing>
      </w:r>
    </w:p>
    <w:p>
      <w:pPr>
        <w:spacing w:after="0" w:line="190" w:lineRule="exact"/>
        <w:rPr>
          <w:sz w:val="20"/>
          <w:szCs w:val="20"/>
          <w:color w:val="auto"/>
        </w:rPr>
      </w:pPr>
    </w:p>
    <w:p>
      <w:pPr>
        <w:jc w:val="both"/>
        <w:ind w:left="80"/>
        <w:spacing w:after="0" w:line="286" w:lineRule="auto"/>
        <w:rPr>
          <w:sz w:val="20"/>
          <w:szCs w:val="20"/>
          <w:color w:val="auto"/>
        </w:rPr>
      </w:pPr>
      <w:r>
        <w:rPr>
          <w:rFonts w:ascii="Arial" w:cs="Arial" w:eastAsia="Arial" w:hAnsi="Arial"/>
          <w:sz w:val="16"/>
          <w:szCs w:val="16"/>
          <w:color w:val="auto"/>
        </w:rPr>
        <w:t>Schlumberger Technology Corporation Supplementary Benefit Plan, as established effective January 1, 1995 and conformed to include amendments through January 1, 2023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-165735</wp:posOffset>
            </wp:positionV>
            <wp:extent cx="623697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2">
                      <a:extLst>
                        <a:ext uri="{28A0092B-C50C-407E-A947-70E740481C1C}"/>
                      </a:extLst>
                    </a:blip>
                    <a:srcRect/>
                    <a:stretch>
                      <a:fillRect/>
                    </a:stretch>
                  </pic:blipFill>
                  <pic:spPr bwMode="auto">
                    <a:xfrm>
                      <a:off x="0" y="0"/>
                      <a:ext cx="6236970" cy="8255"/>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-45720</wp:posOffset>
            </wp:positionV>
            <wp:extent cx="203263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3">
                      <a:extLst>
                        <a:ext uri="{28A0092B-C50C-407E-A947-70E740481C1C}"/>
                      </a:extLst>
                    </a:blip>
                    <a:srcRect/>
                    <a:stretch>
                      <a:fillRect/>
                    </a:stretch>
                  </pic:blipFill>
                  <pic:spPr bwMode="auto">
                    <a:xfrm>
                      <a:off x="0" y="0"/>
                      <a:ext cx="2032635" cy="8255"/>
                    </a:xfrm>
                    <a:prstGeom prst="rect">
                      <a:avLst/>
                    </a:prstGeom>
                    <a:noFill/>
                  </pic:spPr>
                </pic:pic>
              </a:graphicData>
            </a:graphic>
          </wp:anchor>
        </w:drawing>
      </w:r>
    </w:p>
    <w:p>
      <w:pPr>
        <w:spacing w:after="0" w:line="190" w:lineRule="exact"/>
        <w:rPr>
          <w:sz w:val="20"/>
          <w:szCs w:val="20"/>
          <w:color w:val="auto"/>
        </w:rPr>
      </w:pPr>
    </w:p>
    <w:p>
      <w:pPr>
        <w:jc w:val="both"/>
        <w:ind w:left="80"/>
        <w:spacing w:after="0" w:line="286" w:lineRule="auto"/>
        <w:rPr>
          <w:rFonts w:ascii="Arial" w:cs="Arial" w:eastAsia="Arial" w:hAnsi="Arial"/>
          <w:sz w:val="16"/>
          <w:szCs w:val="16"/>
          <w:color w:val="auto"/>
        </w:rPr>
      </w:pPr>
      <w:hyperlink r:id="rId544">
        <w:r>
          <w:rPr>
            <w:rFonts w:ascii="Arial" w:cs="Arial" w:eastAsia="Arial" w:hAnsi="Arial"/>
            <w:sz w:val="16"/>
            <w:szCs w:val="16"/>
            <w:color w:val="auto"/>
          </w:rPr>
          <w:t>2010 Omnibus Stock Incentive Plan, as amended and restated as of July 19, 2017 (incorporated by reference to Exhibit 10.8 to SLB’s</w:t>
        </w:r>
      </w:hyperlink>
      <w:r>
        <w:rPr>
          <w:rFonts w:ascii="Arial" w:cs="Arial" w:eastAsia="Arial" w:hAnsi="Arial"/>
          <w:sz w:val="16"/>
          <w:szCs w:val="16"/>
          <w:color w:val="auto"/>
        </w:rPr>
        <w:t xml:space="preserve"> </w:t>
      </w:r>
      <w:hyperlink r:id="rId544">
        <w:r>
          <w:rPr>
            <w:rFonts w:ascii="Arial" w:cs="Arial" w:eastAsia="Arial" w:hAnsi="Arial"/>
            <w:sz w:val="16"/>
            <w:szCs w:val="16"/>
            <w:color w:val="auto"/>
          </w:rPr>
          <w:t>Annual Report on Form 10-K for the year ended December 31, 2018)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-165735</wp:posOffset>
            </wp:positionV>
            <wp:extent cx="623379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5">
                      <a:extLst>
                        <a:ext uri="{28A0092B-C50C-407E-A947-70E740481C1C}"/>
                      </a:extLst>
                    </a:blip>
                    <a:srcRect/>
                    <a:stretch>
                      <a:fillRect/>
                    </a:stretch>
                  </pic:blipFill>
                  <pic:spPr bwMode="auto">
                    <a:xfrm>
                      <a:off x="0" y="0"/>
                      <a:ext cx="6233795" cy="889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-45720</wp:posOffset>
            </wp:positionV>
            <wp:extent cx="330200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6">
                      <a:extLst>
                        <a:ext uri="{28A0092B-C50C-407E-A947-70E740481C1C}"/>
                      </a:extLst>
                    </a:blip>
                    <a:srcRect/>
                    <a:stretch>
                      <a:fillRect/>
                    </a:stretch>
                  </pic:blipFill>
                  <pic:spPr bwMode="auto">
                    <a:xfrm>
                      <a:off x="0" y="0"/>
                      <a:ext cx="3302000" cy="8255"/>
                    </a:xfrm>
                    <a:prstGeom prst="rect">
                      <a:avLst/>
                    </a:prstGeom>
                    <a:noFill/>
                  </pic:spPr>
                </pic:pic>
              </a:graphicData>
            </a:graphic>
          </wp:anchor>
        </w:drawing>
      </w:r>
    </w:p>
    <w:p>
      <w:pPr>
        <w:spacing w:after="0" w:line="190" w:lineRule="exact"/>
        <w:rPr>
          <w:sz w:val="20"/>
          <w:szCs w:val="20"/>
          <w:color w:val="auto"/>
        </w:rPr>
      </w:pPr>
    </w:p>
    <w:p>
      <w:pPr>
        <w:jc w:val="both"/>
        <w:ind w:left="80"/>
        <w:spacing w:after="0" w:line="286" w:lineRule="auto"/>
        <w:rPr>
          <w:rFonts w:ascii="Arial" w:cs="Arial" w:eastAsia="Arial" w:hAnsi="Arial"/>
          <w:sz w:val="16"/>
          <w:szCs w:val="16"/>
          <w:color w:val="auto"/>
        </w:rPr>
      </w:pPr>
      <w:hyperlink r:id="rId547">
        <w:r>
          <w:rPr>
            <w:rFonts w:ascii="Arial" w:cs="Arial" w:eastAsia="Arial" w:hAnsi="Arial"/>
            <w:sz w:val="16"/>
            <w:szCs w:val="16"/>
            <w:color w:val="auto"/>
          </w:rPr>
          <w:t>Form of Option Agreement (Employees in France), Incentive Stock Option, under SLB’s 2010 Omnibus Stock Incentive Plan</w:t>
        </w:r>
      </w:hyperlink>
      <w:r>
        <w:rPr>
          <w:rFonts w:ascii="Arial" w:cs="Arial" w:eastAsia="Arial" w:hAnsi="Arial"/>
          <w:sz w:val="16"/>
          <w:szCs w:val="16"/>
          <w:color w:val="auto"/>
        </w:rPr>
        <w:t xml:space="preserve"> </w:t>
      </w:r>
      <w:hyperlink r:id="rId547">
        <w:r>
          <w:rPr>
            <w:rFonts w:ascii="Arial" w:cs="Arial" w:eastAsia="Arial" w:hAnsi="Arial"/>
            <w:sz w:val="16"/>
            <w:szCs w:val="16"/>
            <w:color w:val="auto"/>
          </w:rPr>
          <w:t>(incorporated by reference to Exhibit 10.10 to SLB’s Quarterly Report on Form 10-Q for the quarter ended June 30, 2013)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-165735</wp:posOffset>
            </wp:positionV>
            <wp:extent cx="623316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8">
                      <a:extLst>
                        <a:ext uri="{28A0092B-C50C-407E-A947-70E740481C1C}"/>
                      </a:extLst>
                    </a:blip>
                    <a:srcRect/>
                    <a:stretch>
                      <a:fillRect/>
                    </a:stretch>
                  </pic:blipFill>
                  <pic:spPr bwMode="auto">
                    <a:xfrm>
                      <a:off x="0" y="0"/>
                      <a:ext cx="6233160" cy="889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-45720</wp:posOffset>
            </wp:positionV>
            <wp:extent cx="567309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9">
                      <a:extLst>
                        <a:ext uri="{28A0092B-C50C-407E-A947-70E740481C1C}"/>
                      </a:extLst>
                    </a:blip>
                    <a:srcRect/>
                    <a:stretch>
                      <a:fillRect/>
                    </a:stretch>
                  </pic:blipFill>
                  <pic:spPr bwMode="auto">
                    <a:xfrm>
                      <a:off x="0" y="0"/>
                      <a:ext cx="5673090" cy="8255"/>
                    </a:xfrm>
                    <a:prstGeom prst="rect">
                      <a:avLst/>
                    </a:prstGeom>
                    <a:noFill/>
                  </pic:spPr>
                </pic:pic>
              </a:graphicData>
            </a:graphic>
          </wp:anchor>
        </w:drawing>
      </w:r>
    </w:p>
    <w:p>
      <w:pPr>
        <w:spacing w:after="0" w:line="163" w:lineRule="exact"/>
        <w:rPr>
          <w:sz w:val="20"/>
          <w:szCs w:val="20"/>
          <w:color w:val="auto"/>
        </w:rPr>
      </w:pPr>
    </w:p>
    <w:p>
      <w:pPr>
        <w:jc w:val="both"/>
        <w:ind w:left="80"/>
        <w:spacing w:after="0" w:line="286" w:lineRule="auto"/>
        <w:rPr>
          <w:rFonts w:ascii="Arial" w:cs="Arial" w:eastAsia="Arial" w:hAnsi="Arial"/>
          <w:sz w:val="16"/>
          <w:szCs w:val="16"/>
          <w:color w:val="auto"/>
        </w:rPr>
      </w:pPr>
      <w:hyperlink r:id="rId550">
        <w:r>
          <w:rPr>
            <w:rFonts w:ascii="Arial" w:cs="Arial" w:eastAsia="Arial" w:hAnsi="Arial"/>
            <w:sz w:val="16"/>
            <w:szCs w:val="16"/>
            <w:color w:val="auto"/>
          </w:rPr>
          <w:t>Form of Option Agreement (Employees in France), Non-Qualified Stock Option, under SLB’s 2010 Omnibus Stock Incentive Plan</w:t>
        </w:r>
      </w:hyperlink>
      <w:r>
        <w:rPr>
          <w:rFonts w:ascii="Arial" w:cs="Arial" w:eastAsia="Arial" w:hAnsi="Arial"/>
          <w:sz w:val="16"/>
          <w:szCs w:val="16"/>
          <w:color w:val="auto"/>
        </w:rPr>
        <w:t xml:space="preserve"> </w:t>
      </w:r>
      <w:hyperlink r:id="rId550">
        <w:r>
          <w:rPr>
            <w:rFonts w:ascii="Arial" w:cs="Arial" w:eastAsia="Arial" w:hAnsi="Arial"/>
            <w:sz w:val="16"/>
            <w:szCs w:val="16"/>
            <w:color w:val="auto"/>
          </w:rPr>
          <w:t>(incorporated by reference to Exhibit 10.11 to SLB’s Quarterly Report on Form 10-Q for the quarter ended June 30, 2013)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-165735</wp:posOffset>
            </wp:positionV>
            <wp:extent cx="623570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1">
                      <a:extLst>
                        <a:ext uri="{28A0092B-C50C-407E-A947-70E740481C1C}"/>
                      </a:extLst>
                    </a:blip>
                    <a:srcRect/>
                    <a:stretch>
                      <a:fillRect/>
                    </a:stretch>
                  </pic:blipFill>
                  <pic:spPr bwMode="auto">
                    <a:xfrm>
                      <a:off x="0" y="0"/>
                      <a:ext cx="6235700" cy="8255"/>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-45720</wp:posOffset>
            </wp:positionV>
            <wp:extent cx="566547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2">
                      <a:extLst>
                        <a:ext uri="{28A0092B-C50C-407E-A947-70E740481C1C}"/>
                      </a:extLst>
                    </a:blip>
                    <a:srcRect/>
                    <a:stretch>
                      <a:fillRect/>
                    </a:stretch>
                  </pic:blipFill>
                  <pic:spPr bwMode="auto">
                    <a:xfrm>
                      <a:off x="0" y="0"/>
                      <a:ext cx="5665470" cy="8890"/>
                    </a:xfrm>
                    <a:prstGeom prst="rect">
                      <a:avLst/>
                    </a:prstGeom>
                    <a:noFill/>
                  </pic:spPr>
                </pic:pic>
              </a:graphicData>
            </a:graphic>
          </wp:anchor>
        </w:drawing>
      </w:r>
    </w:p>
    <w:p>
      <w:pPr>
        <w:spacing w:after="0" w:line="36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3.1</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3.2</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4.1</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10.2</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10.3</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10.4</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10.5</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10.6</w:t>
      </w:r>
    </w:p>
    <w:p>
      <w:pPr>
        <w:sectPr>
          <w:pgSz w:w="11900" w:h="16838" w:orient="portrait"/>
          <w:cols w:equalWidth="0" w:num="2">
            <w:col w:w="9900" w:space="440"/>
            <w:col w:w="820"/>
          </w:cols>
          <w:pgMar w:left="320" w:top="341" w:right="419" w:bottom="1440" w:gutter="0" w:footer="0" w:header="0"/>
        </w:sectPr>
      </w:pPr>
    </w:p>
    <w:bookmarkStart w:id="63" w:name="page64"/>
    <w:bookmarkEnd w:id="63"/>
    <w:p>
      <w:pPr>
        <w:spacing w:after="0" w:line="216" w:lineRule="exact"/>
        <w:rPr>
          <w:sz w:val="20"/>
          <w:szCs w:val="20"/>
          <w:color w:val="auto"/>
        </w:rPr>
      </w:pPr>
    </w:p>
    <w:p>
      <w:pPr>
        <w:jc w:val="both"/>
        <w:spacing w:after="0" w:line="286" w:lineRule="auto"/>
        <w:rPr>
          <w:rFonts w:ascii="Arial" w:cs="Arial" w:eastAsia="Arial" w:hAnsi="Arial"/>
          <w:sz w:val="16"/>
          <w:szCs w:val="16"/>
          <w:color w:val="auto"/>
        </w:rPr>
      </w:pPr>
      <w:hyperlink r:id="rId554">
        <w:r>
          <w:rPr>
            <w:rFonts w:ascii="Arial" w:cs="Arial" w:eastAsia="Arial" w:hAnsi="Arial"/>
            <w:sz w:val="16"/>
            <w:szCs w:val="16"/>
            <w:color w:val="auto"/>
          </w:rPr>
          <w:t>2018 Rules of SLB’s 2010, 2013 and 2017 Omnibus Incentive Plans for Employees in France (incorporated by reference to Appendix B</w:t>
        </w:r>
      </w:hyperlink>
      <w:r>
        <w:rPr>
          <w:rFonts w:ascii="Arial" w:cs="Arial" w:eastAsia="Arial" w:hAnsi="Arial"/>
          <w:sz w:val="16"/>
          <w:szCs w:val="16"/>
          <w:color w:val="auto"/>
        </w:rPr>
        <w:t xml:space="preserve"> </w:t>
      </w:r>
      <w:hyperlink r:id="rId554">
        <w:r>
          <w:rPr>
            <w:rFonts w:ascii="Arial" w:cs="Arial" w:eastAsia="Arial" w:hAnsi="Arial"/>
            <w:sz w:val="16"/>
            <w:szCs w:val="16"/>
            <w:color w:val="auto"/>
          </w:rPr>
          <w:t>to SLB’s Definitive Proxy Statement on Schedule 14A filed with the SEC on March 2, 2018)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-165735</wp:posOffset>
            </wp:positionV>
            <wp:extent cx="623951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5">
                      <a:extLst>
                        <a:ext uri="{28A0092B-C50C-407E-A947-70E740481C1C}"/>
                      </a:extLst>
                    </a:blip>
                    <a:srcRect/>
                    <a:stretch>
                      <a:fillRect/>
                    </a:stretch>
                  </pic:blipFill>
                  <pic:spPr bwMode="auto">
                    <a:xfrm>
                      <a:off x="0" y="0"/>
                      <a:ext cx="623951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-45720</wp:posOffset>
            </wp:positionV>
            <wp:extent cx="429514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6">
                      <a:extLst>
                        <a:ext uri="{28A0092B-C50C-407E-A947-70E740481C1C}"/>
                      </a:extLst>
                    </a:blip>
                    <a:srcRect/>
                    <a:stretch>
                      <a:fillRect/>
                    </a:stretch>
                  </pic:blipFill>
                  <pic:spPr bwMode="auto">
                    <a:xfrm>
                      <a:off x="0" y="0"/>
                      <a:ext cx="4295140" cy="8255"/>
                    </a:xfrm>
                    <a:prstGeom prst="rect">
                      <a:avLst/>
                    </a:prstGeom>
                    <a:noFill/>
                  </pic:spPr>
                </pic:pic>
              </a:graphicData>
            </a:graphic>
          </wp:anchor>
        </w:drawing>
      </w:r>
    </w:p>
    <w:p>
      <w:pPr>
        <w:spacing w:after="0" w:line="163" w:lineRule="exact"/>
        <w:rPr>
          <w:sz w:val="20"/>
          <w:szCs w:val="20"/>
          <w:color w:val="auto"/>
        </w:rPr>
      </w:pPr>
    </w:p>
    <w:p>
      <w:pPr>
        <w:jc w:val="both"/>
        <w:spacing w:after="0" w:line="286" w:lineRule="auto"/>
        <w:rPr>
          <w:rFonts w:ascii="Arial" w:cs="Arial" w:eastAsia="Arial" w:hAnsi="Arial"/>
          <w:sz w:val="16"/>
          <w:szCs w:val="16"/>
          <w:color w:val="auto"/>
        </w:rPr>
      </w:pPr>
      <w:hyperlink r:id="rId557">
        <w:r>
          <w:rPr>
            <w:rFonts w:ascii="Arial" w:cs="Arial" w:eastAsia="Arial" w:hAnsi="Arial"/>
            <w:sz w:val="16"/>
            <w:szCs w:val="16"/>
            <w:color w:val="auto"/>
          </w:rPr>
          <w:t>2013 Omnibus Stock Incentive Plan, as amended and restated as of July 19, 2017 (incorporated by reference to Exhibit 10.15 to SLB’s</w:t>
        </w:r>
      </w:hyperlink>
      <w:r>
        <w:rPr>
          <w:rFonts w:ascii="Arial" w:cs="Arial" w:eastAsia="Arial" w:hAnsi="Arial"/>
          <w:sz w:val="16"/>
          <w:szCs w:val="16"/>
          <w:color w:val="auto"/>
        </w:rPr>
        <w:t xml:space="preserve"> </w:t>
      </w:r>
      <w:hyperlink r:id="rId557">
        <w:r>
          <w:rPr>
            <w:rFonts w:ascii="Arial" w:cs="Arial" w:eastAsia="Arial" w:hAnsi="Arial"/>
            <w:sz w:val="16"/>
            <w:szCs w:val="16"/>
            <w:color w:val="auto"/>
          </w:rPr>
          <w:t>Annual Report on Form 10-K for the year ended December 31, 2018)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-165735</wp:posOffset>
            </wp:positionV>
            <wp:extent cx="623951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8">
                      <a:extLst>
                        <a:ext uri="{28A0092B-C50C-407E-A947-70E740481C1C}"/>
                      </a:extLst>
                    </a:blip>
                    <a:srcRect/>
                    <a:stretch>
                      <a:fillRect/>
                    </a:stretch>
                  </pic:blipFill>
                  <pic:spPr bwMode="auto">
                    <a:xfrm>
                      <a:off x="0" y="0"/>
                      <a:ext cx="623951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-45720</wp:posOffset>
            </wp:positionV>
            <wp:extent cx="330200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9">
                      <a:extLst>
                        <a:ext uri="{28A0092B-C50C-407E-A947-70E740481C1C}"/>
                      </a:extLst>
                    </a:blip>
                    <a:srcRect/>
                    <a:stretch>
                      <a:fillRect/>
                    </a:stretch>
                  </pic:blipFill>
                  <pic:spPr bwMode="auto">
                    <a:xfrm>
                      <a:off x="0" y="0"/>
                      <a:ext cx="3302000" cy="8255"/>
                    </a:xfrm>
                    <a:prstGeom prst="rect">
                      <a:avLst/>
                    </a:prstGeom>
                    <a:noFill/>
                  </pic:spPr>
                </pic:pic>
              </a:graphicData>
            </a:graphic>
          </wp:anchor>
        </w:drawing>
      </w:r>
    </w:p>
    <w:p>
      <w:pPr>
        <w:spacing w:after="0" w:line="163" w:lineRule="exact"/>
        <w:rPr>
          <w:sz w:val="20"/>
          <w:szCs w:val="20"/>
          <w:color w:val="auto"/>
        </w:rPr>
      </w:pPr>
    </w:p>
    <w:p>
      <w:pPr>
        <w:jc w:val="both"/>
        <w:spacing w:after="0" w:line="286" w:lineRule="auto"/>
        <w:rPr>
          <w:rFonts w:ascii="Arial" w:cs="Arial" w:eastAsia="Arial" w:hAnsi="Arial"/>
          <w:sz w:val="16"/>
          <w:szCs w:val="16"/>
          <w:color w:val="auto"/>
        </w:rPr>
      </w:pPr>
      <w:hyperlink r:id="rId560">
        <w:r>
          <w:rPr>
            <w:rFonts w:ascii="Arial" w:cs="Arial" w:eastAsia="Arial" w:hAnsi="Arial"/>
            <w:sz w:val="16"/>
            <w:szCs w:val="16"/>
            <w:color w:val="auto"/>
          </w:rPr>
          <w:t>Form of Option Agreement, Incentive Stock Option, under SLB’s 2013 Omnibus Stock Incentive Plan (incorporated by reference to</w:t>
        </w:r>
      </w:hyperlink>
      <w:r>
        <w:rPr>
          <w:rFonts w:ascii="Arial" w:cs="Arial" w:eastAsia="Arial" w:hAnsi="Arial"/>
          <w:sz w:val="16"/>
          <w:szCs w:val="16"/>
          <w:color w:val="auto"/>
        </w:rPr>
        <w:t xml:space="preserve"> </w:t>
      </w:r>
      <w:hyperlink r:id="rId560">
        <w:r>
          <w:rPr>
            <w:rFonts w:ascii="Arial" w:cs="Arial" w:eastAsia="Arial" w:hAnsi="Arial"/>
            <w:sz w:val="16"/>
            <w:szCs w:val="16"/>
            <w:color w:val="auto"/>
          </w:rPr>
          <w:t>Exhibit 10.1 to the SLB’s Quarterly Report on Form 10-Q for the quarter ended June 30, 2015)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-165735</wp:posOffset>
            </wp:positionV>
            <wp:extent cx="623633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1">
                      <a:extLst>
                        <a:ext uri="{28A0092B-C50C-407E-A947-70E740481C1C}"/>
                      </a:extLst>
                    </a:blip>
                    <a:srcRect/>
                    <a:stretch>
                      <a:fillRect/>
                    </a:stretch>
                  </pic:blipFill>
                  <pic:spPr bwMode="auto">
                    <a:xfrm>
                      <a:off x="0" y="0"/>
                      <a:ext cx="623633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-45720</wp:posOffset>
            </wp:positionV>
            <wp:extent cx="443801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2">
                      <a:extLst>
                        <a:ext uri="{28A0092B-C50C-407E-A947-70E740481C1C}"/>
                      </a:extLst>
                    </a:blip>
                    <a:srcRect/>
                    <a:stretch>
                      <a:fillRect/>
                    </a:stretch>
                  </pic:blipFill>
                  <pic:spPr bwMode="auto">
                    <a:xfrm>
                      <a:off x="0" y="0"/>
                      <a:ext cx="4438015" cy="8255"/>
                    </a:xfrm>
                    <a:prstGeom prst="rect">
                      <a:avLst/>
                    </a:prstGeom>
                    <a:noFill/>
                  </pic:spPr>
                </pic:pic>
              </a:graphicData>
            </a:graphic>
          </wp:anchor>
        </w:drawing>
      </w:r>
    </w:p>
    <w:p>
      <w:pPr>
        <w:spacing w:after="0" w:line="163" w:lineRule="exact"/>
        <w:rPr>
          <w:sz w:val="20"/>
          <w:szCs w:val="20"/>
          <w:color w:val="auto"/>
        </w:rPr>
      </w:pPr>
    </w:p>
    <w:p>
      <w:pPr>
        <w:jc w:val="both"/>
        <w:spacing w:after="0" w:line="286" w:lineRule="auto"/>
        <w:rPr>
          <w:rFonts w:ascii="Arial" w:cs="Arial" w:eastAsia="Arial" w:hAnsi="Arial"/>
          <w:sz w:val="16"/>
          <w:szCs w:val="16"/>
          <w:color w:val="auto"/>
        </w:rPr>
      </w:pPr>
      <w:hyperlink r:id="rId563">
        <w:r>
          <w:rPr>
            <w:rFonts w:ascii="Arial" w:cs="Arial" w:eastAsia="Arial" w:hAnsi="Arial"/>
            <w:sz w:val="16"/>
            <w:szCs w:val="16"/>
            <w:color w:val="auto"/>
          </w:rPr>
          <w:t>Form of Restricted Stock Unit Award Agreement under SLB’s 2013 Omnibus Stock Incentive Plan (ratable vesting) (incorporated by</w:t>
        </w:r>
      </w:hyperlink>
      <w:r>
        <w:rPr>
          <w:rFonts w:ascii="Arial" w:cs="Arial" w:eastAsia="Arial" w:hAnsi="Arial"/>
          <w:sz w:val="16"/>
          <w:szCs w:val="16"/>
          <w:color w:val="auto"/>
        </w:rPr>
        <w:t xml:space="preserve"> </w:t>
      </w:r>
      <w:hyperlink r:id="rId563">
        <w:r>
          <w:rPr>
            <w:rFonts w:ascii="Arial" w:cs="Arial" w:eastAsia="Arial" w:hAnsi="Arial"/>
            <w:sz w:val="16"/>
            <w:szCs w:val="16"/>
            <w:color w:val="auto"/>
          </w:rPr>
          <w:t>reference to Exhibit 10.15 to SLB’s Annual Report on Form 10-K filed on January 27, 2021)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-165735</wp:posOffset>
            </wp:positionV>
            <wp:extent cx="623379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4">
                      <a:extLst>
                        <a:ext uri="{28A0092B-C50C-407E-A947-70E740481C1C}"/>
                      </a:extLst>
                    </a:blip>
                    <a:srcRect/>
                    <a:stretch>
                      <a:fillRect/>
                    </a:stretch>
                  </pic:blipFill>
                  <pic:spPr bwMode="auto">
                    <a:xfrm>
                      <a:off x="0" y="0"/>
                      <a:ext cx="623379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-45720</wp:posOffset>
            </wp:positionV>
            <wp:extent cx="430085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5">
                      <a:extLst>
                        <a:ext uri="{28A0092B-C50C-407E-A947-70E740481C1C}"/>
                      </a:extLst>
                    </a:blip>
                    <a:srcRect/>
                    <a:stretch>
                      <a:fillRect/>
                    </a:stretch>
                  </pic:blipFill>
                  <pic:spPr bwMode="auto">
                    <a:xfrm>
                      <a:off x="0" y="0"/>
                      <a:ext cx="4300855" cy="8255"/>
                    </a:xfrm>
                    <a:prstGeom prst="rect">
                      <a:avLst/>
                    </a:prstGeom>
                    <a:noFill/>
                  </pic:spPr>
                </pic:pic>
              </a:graphicData>
            </a:graphic>
          </wp:anchor>
        </w:drawing>
      </w:r>
    </w:p>
    <w:p>
      <w:pPr>
        <w:spacing w:after="0" w:line="163" w:lineRule="exact"/>
        <w:rPr>
          <w:sz w:val="20"/>
          <w:szCs w:val="20"/>
          <w:color w:val="auto"/>
        </w:rPr>
      </w:pPr>
    </w:p>
    <w:p>
      <w:pPr>
        <w:jc w:val="both"/>
        <w:spacing w:after="0" w:line="286" w:lineRule="auto"/>
        <w:rPr>
          <w:rFonts w:ascii="Arial" w:cs="Arial" w:eastAsia="Arial" w:hAnsi="Arial"/>
          <w:sz w:val="16"/>
          <w:szCs w:val="16"/>
          <w:color w:val="auto"/>
        </w:rPr>
      </w:pPr>
      <w:hyperlink r:id="rId566">
        <w:r>
          <w:rPr>
            <w:rFonts w:ascii="Arial" w:cs="Arial" w:eastAsia="Arial" w:hAnsi="Arial"/>
            <w:sz w:val="16"/>
            <w:szCs w:val="16"/>
            <w:color w:val="auto"/>
          </w:rPr>
          <w:t>Form of Restricted Stock Unit Award Agreement under SLB’s 2017 Omnibus Stock Incentive Plan (incorporated by reference to Exhibit</w:t>
        </w:r>
      </w:hyperlink>
      <w:r>
        <w:rPr>
          <w:rFonts w:ascii="Arial" w:cs="Arial" w:eastAsia="Arial" w:hAnsi="Arial"/>
          <w:sz w:val="16"/>
          <w:szCs w:val="16"/>
          <w:color w:val="auto"/>
        </w:rPr>
        <w:t xml:space="preserve"> </w:t>
      </w:r>
      <w:hyperlink r:id="rId566">
        <w:r>
          <w:rPr>
            <w:rFonts w:ascii="Arial" w:cs="Arial" w:eastAsia="Arial" w:hAnsi="Arial"/>
            <w:sz w:val="16"/>
            <w:szCs w:val="16"/>
            <w:color w:val="auto"/>
          </w:rPr>
          <w:t>10.4 to SLB’s Quarterly Report on Form 10-Q for the quarter ended March 31, 2017)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-165735</wp:posOffset>
            </wp:positionV>
            <wp:extent cx="623697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7">
                      <a:extLst>
                        <a:ext uri="{28A0092B-C50C-407E-A947-70E740481C1C}"/>
                      </a:extLst>
                    </a:blip>
                    <a:srcRect/>
                    <a:stretch>
                      <a:fillRect/>
                    </a:stretch>
                  </pic:blipFill>
                  <pic:spPr bwMode="auto">
                    <a:xfrm>
                      <a:off x="0" y="0"/>
                      <a:ext cx="623697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-45720</wp:posOffset>
            </wp:positionV>
            <wp:extent cx="399224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8">
                      <a:extLst>
                        <a:ext uri="{28A0092B-C50C-407E-A947-70E740481C1C}"/>
                      </a:extLst>
                    </a:blip>
                    <a:srcRect/>
                    <a:stretch>
                      <a:fillRect/>
                    </a:stretch>
                  </pic:blipFill>
                  <pic:spPr bwMode="auto">
                    <a:xfrm>
                      <a:off x="0" y="0"/>
                      <a:ext cx="3992245" cy="8255"/>
                    </a:xfrm>
                    <a:prstGeom prst="rect">
                      <a:avLst/>
                    </a:prstGeom>
                    <a:noFill/>
                  </pic:spPr>
                </pic:pic>
              </a:graphicData>
            </a:graphic>
          </wp:anchor>
        </w:drawing>
      </w:r>
    </w:p>
    <w:p>
      <w:pPr>
        <w:spacing w:after="0" w:line="163" w:lineRule="exact"/>
        <w:rPr>
          <w:sz w:val="20"/>
          <w:szCs w:val="20"/>
          <w:color w:val="auto"/>
        </w:rPr>
      </w:pPr>
    </w:p>
    <w:p>
      <w:pPr>
        <w:jc w:val="both"/>
        <w:spacing w:after="0" w:line="266" w:lineRule="auto"/>
        <w:rPr>
          <w:rFonts w:ascii="Arial" w:cs="Arial" w:eastAsia="Arial" w:hAnsi="Arial"/>
          <w:sz w:val="16"/>
          <w:szCs w:val="16"/>
          <w:color w:val="auto"/>
        </w:rPr>
      </w:pPr>
      <w:hyperlink r:id="rId569">
        <w:r>
          <w:rPr>
            <w:rFonts w:ascii="Arial" w:cs="Arial" w:eastAsia="Arial" w:hAnsi="Arial"/>
            <w:sz w:val="16"/>
            <w:szCs w:val="16"/>
            <w:color w:val="auto"/>
          </w:rPr>
          <w:t>Addendum to Restricted Stock Unit Award Agreements, Performance Share Unit Agreements, Incentive Stock Option Agreements, and</w:t>
        </w:r>
      </w:hyperlink>
      <w:r>
        <w:rPr>
          <w:rFonts w:ascii="Arial" w:cs="Arial" w:eastAsia="Arial" w:hAnsi="Arial"/>
          <w:sz w:val="16"/>
          <w:szCs w:val="16"/>
          <w:color w:val="auto"/>
        </w:rPr>
        <w:t xml:space="preserve"> </w:t>
      </w:r>
      <w:hyperlink r:id="rId569">
        <w:r>
          <w:rPr>
            <w:rFonts w:ascii="Arial" w:cs="Arial" w:eastAsia="Arial" w:hAnsi="Arial"/>
            <w:sz w:val="16"/>
            <w:szCs w:val="16"/>
            <w:color w:val="auto"/>
          </w:rPr>
          <w:t>Non-Qualified Stock Option Agreements Issued Prior to July 19, 2017 (incorporated by reference to Exhibit 10.27 to SLB’s Annual Report</w:t>
        </w:r>
      </w:hyperlink>
      <w:r>
        <w:rPr>
          <w:rFonts w:ascii="Arial" w:cs="Arial" w:eastAsia="Arial" w:hAnsi="Arial"/>
          <w:sz w:val="16"/>
          <w:szCs w:val="16"/>
          <w:color w:val="auto"/>
        </w:rPr>
        <w:t xml:space="preserve"> </w:t>
      </w:r>
      <w:hyperlink r:id="rId569">
        <w:r>
          <w:rPr>
            <w:rFonts w:ascii="Arial" w:cs="Arial" w:eastAsia="Arial" w:hAnsi="Arial"/>
            <w:sz w:val="16"/>
            <w:szCs w:val="16"/>
            <w:color w:val="auto"/>
          </w:rPr>
          <w:t>on Form 10-K for the year ended December 31, 2018) (+)</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1270</wp:posOffset>
            </wp:positionH>
            <wp:positionV relativeFrom="paragraph">
              <wp:posOffset>-276225</wp:posOffset>
            </wp:positionV>
            <wp:extent cx="623887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0">
                      <a:extLst>
                        <a:ext uri="{28A0092B-C50C-407E-A947-70E740481C1C}"/>
                      </a:extLst>
                    </a:blip>
                    <a:srcRect/>
                    <a:stretch>
                      <a:fillRect/>
                    </a:stretch>
                  </pic:blipFill>
                  <pic:spPr bwMode="auto">
                    <a:xfrm>
                      <a:off x="0" y="0"/>
                      <a:ext cx="62388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-156210</wp:posOffset>
            </wp:positionV>
            <wp:extent cx="623951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1">
                      <a:extLst>
                        <a:ext uri="{28A0092B-C50C-407E-A947-70E740481C1C}"/>
                      </a:extLst>
                    </a:blip>
                    <a:srcRect/>
                    <a:stretch>
                      <a:fillRect/>
                    </a:stretch>
                  </pic:blipFill>
                  <pic:spPr bwMode="auto">
                    <a:xfrm>
                      <a:off x="0" y="0"/>
                      <a:ext cx="623951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-36195</wp:posOffset>
            </wp:positionV>
            <wp:extent cx="261620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2">
                      <a:extLst>
                        <a:ext uri="{28A0092B-C50C-407E-A947-70E740481C1C}"/>
                      </a:extLst>
                    </a:blip>
                    <a:srcRect/>
                    <a:stretch>
                      <a:fillRect/>
                    </a:stretch>
                  </pic:blipFill>
                  <pic:spPr bwMode="auto">
                    <a:xfrm>
                      <a:off x="0" y="0"/>
                      <a:ext cx="2616200" cy="8255"/>
                    </a:xfrm>
                    <a:prstGeom prst="rect">
                      <a:avLst/>
                    </a:prstGeom>
                    <a:noFill/>
                  </pic:spPr>
                </pic:pic>
              </a:graphicData>
            </a:graphic>
          </wp:anchor>
        </w:drawing>
      </w:r>
    </w:p>
    <w:p>
      <w:pPr>
        <w:spacing w:after="0" w:line="178" w:lineRule="exact"/>
        <w:rPr>
          <w:rFonts w:ascii="Arial" w:cs="Arial" w:eastAsia="Arial" w:hAnsi="Arial"/>
          <w:sz w:val="16"/>
          <w:szCs w:val="16"/>
          <w:color w:val="auto"/>
        </w:rPr>
      </w:pPr>
    </w:p>
    <w:p>
      <w:pPr>
        <w:jc w:val="both"/>
        <w:spacing w:after="0" w:line="266" w:lineRule="auto"/>
        <w:rPr>
          <w:rFonts w:ascii="Arial" w:cs="Arial" w:eastAsia="Arial" w:hAnsi="Arial"/>
          <w:sz w:val="16"/>
          <w:szCs w:val="16"/>
          <w:color w:val="auto"/>
        </w:rPr>
      </w:pPr>
      <w:hyperlink r:id="rId573">
        <w:r>
          <w:rPr>
            <w:rFonts w:ascii="Arial" w:cs="Arial" w:eastAsia="Arial" w:hAnsi="Arial"/>
            <w:sz w:val="16"/>
            <w:szCs w:val="16"/>
            <w:color w:val="auto"/>
          </w:rPr>
          <w:t>Form of Performance Share Unit Award Agreement (Based on Free Cash Flow Margin Performance) under SLB’s 2017 Omnibus Stock</w:t>
        </w:r>
      </w:hyperlink>
      <w:r>
        <w:rPr>
          <w:rFonts w:ascii="Arial" w:cs="Arial" w:eastAsia="Arial" w:hAnsi="Arial"/>
          <w:sz w:val="16"/>
          <w:szCs w:val="16"/>
          <w:color w:val="auto"/>
        </w:rPr>
        <w:t xml:space="preserve"> </w:t>
      </w:r>
      <w:hyperlink r:id="rId573">
        <w:r>
          <w:rPr>
            <w:rFonts w:ascii="Arial" w:cs="Arial" w:eastAsia="Arial" w:hAnsi="Arial"/>
            <w:sz w:val="16"/>
            <w:szCs w:val="16"/>
            <w:color w:val="auto"/>
          </w:rPr>
          <w:t>Incentive Plan (incorporated by reference to Exhibit 10.3 to SLB’s Quarterly Report on Form 10-Q for the quarter ended March 31, 2022)</w:t>
        </w:r>
      </w:hyperlink>
      <w:r>
        <w:rPr>
          <w:rFonts w:ascii="Arial" w:cs="Arial" w:eastAsia="Arial" w:hAnsi="Arial"/>
          <w:sz w:val="16"/>
          <w:szCs w:val="16"/>
          <w:color w:val="auto"/>
        </w:rPr>
        <w:t xml:space="preserve"> </w:t>
      </w:r>
      <w:hyperlink r:id="rId573">
        <w:r>
          <w:rPr>
            <w:rFonts w:ascii="Arial" w:cs="Arial" w:eastAsia="Arial" w:hAnsi="Arial"/>
            <w:sz w:val="16"/>
            <w:szCs w:val="16"/>
            <w:color w:val="auto"/>
          </w:rPr>
          <w:t>(+)</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1270</wp:posOffset>
            </wp:positionH>
            <wp:positionV relativeFrom="paragraph">
              <wp:posOffset>-276225</wp:posOffset>
            </wp:positionV>
            <wp:extent cx="623951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4">
                      <a:extLst>
                        <a:ext uri="{28A0092B-C50C-407E-A947-70E740481C1C}"/>
                      </a:extLst>
                    </a:blip>
                    <a:srcRect/>
                    <a:stretch>
                      <a:fillRect/>
                    </a:stretch>
                  </pic:blipFill>
                  <pic:spPr bwMode="auto">
                    <a:xfrm>
                      <a:off x="0" y="0"/>
                      <a:ext cx="623951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-156210</wp:posOffset>
            </wp:positionV>
            <wp:extent cx="623951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5">
                      <a:extLst>
                        <a:ext uri="{28A0092B-C50C-407E-A947-70E740481C1C}"/>
                      </a:extLst>
                    </a:blip>
                    <a:srcRect/>
                    <a:stretch>
                      <a:fillRect/>
                    </a:stretch>
                  </pic:blipFill>
                  <pic:spPr bwMode="auto">
                    <a:xfrm>
                      <a:off x="0" y="0"/>
                      <a:ext cx="623951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-36195</wp:posOffset>
            </wp:positionV>
            <wp:extent cx="12890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6">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78" w:lineRule="exact"/>
        <w:rPr>
          <w:rFonts w:ascii="Arial" w:cs="Arial" w:eastAsia="Arial" w:hAnsi="Arial"/>
          <w:sz w:val="16"/>
          <w:szCs w:val="16"/>
          <w:color w:val="auto"/>
        </w:rPr>
      </w:pPr>
    </w:p>
    <w:p>
      <w:pPr>
        <w:jc w:val="both"/>
        <w:spacing w:after="0" w:line="266" w:lineRule="auto"/>
        <w:rPr>
          <w:rFonts w:ascii="Arial" w:cs="Arial" w:eastAsia="Arial" w:hAnsi="Arial"/>
          <w:sz w:val="16"/>
          <w:szCs w:val="16"/>
          <w:color w:val="auto"/>
        </w:rPr>
      </w:pPr>
      <w:hyperlink r:id="rId577">
        <w:r>
          <w:rPr>
            <w:rFonts w:ascii="Arial" w:cs="Arial" w:eastAsia="Arial" w:hAnsi="Arial"/>
            <w:sz w:val="16"/>
            <w:szCs w:val="16"/>
            <w:color w:val="auto"/>
          </w:rPr>
          <w:t>Form of Performance Share Unit Award Agreement (Based on Return on Capital Employed Performance) under SLB’s 2017 Omnibus</w:t>
        </w:r>
      </w:hyperlink>
      <w:r>
        <w:rPr>
          <w:rFonts w:ascii="Arial" w:cs="Arial" w:eastAsia="Arial" w:hAnsi="Arial"/>
          <w:sz w:val="16"/>
          <w:szCs w:val="16"/>
          <w:color w:val="auto"/>
        </w:rPr>
        <w:t xml:space="preserve"> </w:t>
      </w:r>
      <w:hyperlink r:id="rId577">
        <w:r>
          <w:rPr>
            <w:rFonts w:ascii="Arial" w:cs="Arial" w:eastAsia="Arial" w:hAnsi="Arial"/>
            <w:sz w:val="16"/>
            <w:szCs w:val="16"/>
            <w:color w:val="auto"/>
          </w:rPr>
          <w:t>Stock Incentive Plan (incorporated by reference to Exhibit 10.4 to SLB’s Quarterly Report on Form 10-Q for the quarter ended March 31,</w:t>
        </w:r>
      </w:hyperlink>
      <w:r>
        <w:rPr>
          <w:rFonts w:ascii="Arial" w:cs="Arial" w:eastAsia="Arial" w:hAnsi="Arial"/>
          <w:sz w:val="16"/>
          <w:szCs w:val="16"/>
          <w:color w:val="auto"/>
        </w:rPr>
        <w:t xml:space="preserve"> </w:t>
      </w:r>
      <w:hyperlink r:id="rId577">
        <w:r>
          <w:rPr>
            <w:rFonts w:ascii="Arial" w:cs="Arial" w:eastAsia="Arial" w:hAnsi="Arial"/>
            <w:sz w:val="16"/>
            <w:szCs w:val="16"/>
            <w:color w:val="auto"/>
          </w:rPr>
          <w:t>2022) (+)</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1270</wp:posOffset>
            </wp:positionH>
            <wp:positionV relativeFrom="paragraph">
              <wp:posOffset>-276225</wp:posOffset>
            </wp:positionV>
            <wp:extent cx="624014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8">
                      <a:extLst>
                        <a:ext uri="{28A0092B-C50C-407E-A947-70E740481C1C}"/>
                      </a:extLst>
                    </a:blip>
                    <a:srcRect/>
                    <a:stretch>
                      <a:fillRect/>
                    </a:stretch>
                  </pic:blipFill>
                  <pic:spPr bwMode="auto">
                    <a:xfrm>
                      <a:off x="0" y="0"/>
                      <a:ext cx="624014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-156210</wp:posOffset>
            </wp:positionV>
            <wp:extent cx="623316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9">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-36195</wp:posOffset>
            </wp:positionV>
            <wp:extent cx="42037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0">
                      <a:extLst>
                        <a:ext uri="{28A0092B-C50C-407E-A947-70E740481C1C}"/>
                      </a:extLst>
                    </a:blip>
                    <a:srcRect/>
                    <a:stretch>
                      <a:fillRect/>
                    </a:stretch>
                  </pic:blipFill>
                  <pic:spPr bwMode="auto">
                    <a:xfrm>
                      <a:off x="0" y="0"/>
                      <a:ext cx="420370" cy="8255"/>
                    </a:xfrm>
                    <a:prstGeom prst="rect">
                      <a:avLst/>
                    </a:prstGeom>
                    <a:noFill/>
                  </pic:spPr>
                </pic:pic>
              </a:graphicData>
            </a:graphic>
          </wp:anchor>
        </w:drawing>
      </w:r>
    </w:p>
    <w:p>
      <w:pPr>
        <w:spacing w:after="0" w:line="178" w:lineRule="exact"/>
        <w:rPr>
          <w:rFonts w:ascii="Arial" w:cs="Arial" w:eastAsia="Arial" w:hAnsi="Arial"/>
          <w:sz w:val="16"/>
          <w:szCs w:val="16"/>
          <w:color w:val="auto"/>
        </w:rPr>
      </w:pPr>
    </w:p>
    <w:p>
      <w:pPr>
        <w:jc w:val="both"/>
        <w:spacing w:after="0" w:line="286" w:lineRule="auto"/>
        <w:rPr>
          <w:rFonts w:ascii="Arial" w:cs="Arial" w:eastAsia="Arial" w:hAnsi="Arial"/>
          <w:sz w:val="16"/>
          <w:szCs w:val="16"/>
          <w:color w:val="auto"/>
        </w:rPr>
      </w:pPr>
      <w:hyperlink r:id="rId581">
        <w:r>
          <w:rPr>
            <w:rFonts w:ascii="Arial" w:cs="Arial" w:eastAsia="Arial" w:hAnsi="Arial"/>
            <w:sz w:val="16"/>
            <w:szCs w:val="16"/>
            <w:color w:val="auto"/>
          </w:rPr>
          <w:t>Form of Performance Share Unit Award Agreement (Based on Relative TSR Performance) under SLB’s 2017 Omnibus Stock Incentive</w:t>
        </w:r>
      </w:hyperlink>
      <w:r>
        <w:rPr>
          <w:rFonts w:ascii="Arial" w:cs="Arial" w:eastAsia="Arial" w:hAnsi="Arial"/>
          <w:sz w:val="16"/>
          <w:szCs w:val="16"/>
          <w:color w:val="auto"/>
        </w:rPr>
        <w:t xml:space="preserve"> </w:t>
      </w:r>
      <w:hyperlink r:id="rId581">
        <w:r>
          <w:rPr>
            <w:rFonts w:ascii="Arial" w:cs="Arial" w:eastAsia="Arial" w:hAnsi="Arial"/>
            <w:sz w:val="16"/>
            <w:szCs w:val="16"/>
            <w:color w:val="auto"/>
          </w:rPr>
          <w:t>Plan (incorporated by reference to Exhibit 10.5 to SLB’s Quarterly Report on Form 10-Q for the quarter ended March 31, 2022)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-165735</wp:posOffset>
            </wp:positionV>
            <wp:extent cx="623379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2">
                      <a:extLst>
                        <a:ext uri="{28A0092B-C50C-407E-A947-70E740481C1C}"/>
                      </a:extLst>
                    </a:blip>
                    <a:srcRect/>
                    <a:stretch>
                      <a:fillRect/>
                    </a:stretch>
                  </pic:blipFill>
                  <pic:spPr bwMode="auto">
                    <a:xfrm>
                      <a:off x="0" y="0"/>
                      <a:ext cx="623379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-45720</wp:posOffset>
            </wp:positionV>
            <wp:extent cx="591312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3">
                      <a:extLst>
                        <a:ext uri="{28A0092B-C50C-407E-A947-70E740481C1C}"/>
                      </a:extLst>
                    </a:blip>
                    <a:srcRect/>
                    <a:stretch>
                      <a:fillRect/>
                    </a:stretch>
                  </pic:blipFill>
                  <pic:spPr bwMode="auto">
                    <a:xfrm>
                      <a:off x="0" y="0"/>
                      <a:ext cx="5913120" cy="8255"/>
                    </a:xfrm>
                    <a:prstGeom prst="rect">
                      <a:avLst/>
                    </a:prstGeom>
                    <a:noFill/>
                  </pic:spPr>
                </pic:pic>
              </a:graphicData>
            </a:graphic>
          </wp:anchor>
        </w:drawing>
      </w:r>
    </w:p>
    <w:p>
      <w:pPr>
        <w:spacing w:after="0" w:line="163" w:lineRule="exact"/>
        <w:rPr>
          <w:sz w:val="20"/>
          <w:szCs w:val="20"/>
          <w:color w:val="auto"/>
        </w:rPr>
      </w:pPr>
    </w:p>
    <w:p>
      <w:pPr>
        <w:jc w:val="both"/>
        <w:spacing w:after="0" w:line="286" w:lineRule="auto"/>
        <w:rPr>
          <w:rFonts w:ascii="Arial" w:cs="Arial" w:eastAsia="Arial" w:hAnsi="Arial"/>
          <w:sz w:val="16"/>
          <w:szCs w:val="16"/>
          <w:color w:val="auto"/>
        </w:rPr>
      </w:pPr>
      <w:hyperlink r:id="rId584">
        <w:r>
          <w:rPr>
            <w:rFonts w:ascii="Arial" w:cs="Arial" w:eastAsia="Arial" w:hAnsi="Arial"/>
            <w:sz w:val="16"/>
            <w:szCs w:val="16"/>
            <w:color w:val="auto"/>
          </w:rPr>
          <w:t>2017 Omnibus Stock Incentive Plan, as amended and restated effective January 21, 2021 (incorporated by reference to Exhibit 10.1 to</w:t>
        </w:r>
      </w:hyperlink>
      <w:r>
        <w:rPr>
          <w:rFonts w:ascii="Arial" w:cs="Arial" w:eastAsia="Arial" w:hAnsi="Arial"/>
          <w:sz w:val="16"/>
          <w:szCs w:val="16"/>
          <w:color w:val="auto"/>
        </w:rPr>
        <w:t xml:space="preserve"> </w:t>
      </w:r>
      <w:hyperlink r:id="rId584">
        <w:r>
          <w:rPr>
            <w:rFonts w:ascii="Arial" w:cs="Arial" w:eastAsia="Arial" w:hAnsi="Arial"/>
            <w:sz w:val="16"/>
            <w:szCs w:val="16"/>
            <w:color w:val="auto"/>
          </w:rPr>
          <w:t>SLB’s Current Report on Form 8-K filed on April 7, 2021)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-165735</wp:posOffset>
            </wp:positionV>
            <wp:extent cx="623697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5">
                      <a:extLst>
                        <a:ext uri="{28A0092B-C50C-407E-A947-70E740481C1C}"/>
                      </a:extLst>
                    </a:blip>
                    <a:srcRect/>
                    <a:stretch>
                      <a:fillRect/>
                    </a:stretch>
                  </pic:blipFill>
                  <pic:spPr bwMode="auto">
                    <a:xfrm>
                      <a:off x="0" y="0"/>
                      <a:ext cx="623697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-45720</wp:posOffset>
            </wp:positionV>
            <wp:extent cx="273367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6">
                      <a:extLst>
                        <a:ext uri="{28A0092B-C50C-407E-A947-70E740481C1C}"/>
                      </a:extLst>
                    </a:blip>
                    <a:srcRect/>
                    <a:stretch>
                      <a:fillRect/>
                    </a:stretch>
                  </pic:blipFill>
                  <pic:spPr bwMode="auto">
                    <a:xfrm>
                      <a:off x="0" y="0"/>
                      <a:ext cx="2733675" cy="8255"/>
                    </a:xfrm>
                    <a:prstGeom prst="rect">
                      <a:avLst/>
                    </a:prstGeom>
                    <a:noFill/>
                  </pic:spPr>
                </pic:pic>
              </a:graphicData>
            </a:graphic>
          </wp:anchor>
        </w:drawing>
      </w:r>
    </w:p>
    <w:p>
      <w:pPr>
        <w:spacing w:after="0" w:line="163" w:lineRule="exact"/>
        <w:rPr>
          <w:sz w:val="20"/>
          <w:szCs w:val="20"/>
          <w:color w:val="auto"/>
        </w:rPr>
      </w:pPr>
    </w:p>
    <w:p>
      <w:pPr>
        <w:jc w:val="both"/>
        <w:spacing w:after="0" w:line="286" w:lineRule="auto"/>
        <w:rPr>
          <w:rFonts w:ascii="Arial" w:cs="Arial" w:eastAsia="Arial" w:hAnsi="Arial"/>
          <w:sz w:val="16"/>
          <w:szCs w:val="16"/>
          <w:color w:val="auto"/>
        </w:rPr>
      </w:pPr>
      <w:hyperlink r:id="rId587">
        <w:r>
          <w:rPr>
            <w:rFonts w:ascii="Arial" w:cs="Arial" w:eastAsia="Arial" w:hAnsi="Arial"/>
            <w:sz w:val="16"/>
            <w:szCs w:val="16"/>
            <w:color w:val="auto"/>
          </w:rPr>
          <w:t>Discounted Stock Purchase Plan, as amended and restated effective July 1, 2022 (incorporated by reference to Exhibit 10.1 to SLB’s</w:t>
        </w:r>
      </w:hyperlink>
      <w:r>
        <w:rPr>
          <w:rFonts w:ascii="Arial" w:cs="Arial" w:eastAsia="Arial" w:hAnsi="Arial"/>
          <w:sz w:val="16"/>
          <w:szCs w:val="16"/>
          <w:color w:val="auto"/>
        </w:rPr>
        <w:t xml:space="preserve"> </w:t>
      </w:r>
      <w:hyperlink r:id="rId587">
        <w:r>
          <w:rPr>
            <w:rFonts w:ascii="Arial" w:cs="Arial" w:eastAsia="Arial" w:hAnsi="Arial"/>
            <w:sz w:val="16"/>
            <w:szCs w:val="16"/>
            <w:color w:val="auto"/>
          </w:rPr>
          <w:t>Current Report on Form 10-Q filed on July 27, 2022)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-165735</wp:posOffset>
            </wp:positionV>
            <wp:extent cx="623760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8">
                      <a:extLst>
                        <a:ext uri="{28A0092B-C50C-407E-A947-70E740481C1C}"/>
                      </a:extLst>
                    </a:blip>
                    <a:srcRect/>
                    <a:stretch>
                      <a:fillRect/>
                    </a:stretch>
                  </pic:blipFill>
                  <pic:spPr bwMode="auto">
                    <a:xfrm>
                      <a:off x="0" y="0"/>
                      <a:ext cx="623760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-45720</wp:posOffset>
            </wp:positionV>
            <wp:extent cx="254127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9">
                      <a:extLst>
                        <a:ext uri="{28A0092B-C50C-407E-A947-70E740481C1C}"/>
                      </a:extLst>
                    </a:blip>
                    <a:srcRect/>
                    <a:stretch>
                      <a:fillRect/>
                    </a:stretch>
                  </pic:blipFill>
                  <pic:spPr bwMode="auto">
                    <a:xfrm>
                      <a:off x="0" y="0"/>
                      <a:ext cx="2541270" cy="8255"/>
                    </a:xfrm>
                    <a:prstGeom prst="rect">
                      <a:avLst/>
                    </a:prstGeom>
                    <a:noFill/>
                  </pic:spPr>
                </pic:pic>
              </a:graphicData>
            </a:graphic>
          </wp:anchor>
        </w:drawing>
      </w:r>
    </w:p>
    <w:p>
      <w:pPr>
        <w:spacing w:after="0" w:line="163" w:lineRule="exact"/>
        <w:rPr>
          <w:sz w:val="20"/>
          <w:szCs w:val="20"/>
          <w:color w:val="auto"/>
        </w:rPr>
      </w:pPr>
    </w:p>
    <w:p>
      <w:pPr>
        <w:jc w:val="both"/>
        <w:spacing w:after="0" w:line="286" w:lineRule="auto"/>
        <w:rPr>
          <w:rFonts w:ascii="Arial" w:cs="Arial" w:eastAsia="Arial" w:hAnsi="Arial"/>
          <w:sz w:val="16"/>
          <w:szCs w:val="16"/>
          <w:color w:val="auto"/>
        </w:rPr>
      </w:pPr>
      <w:hyperlink r:id="rId590">
        <w:r>
          <w:rPr>
            <w:rFonts w:ascii="Arial" w:cs="Arial" w:eastAsia="Arial" w:hAnsi="Arial"/>
            <w:sz w:val="16"/>
            <w:szCs w:val="16"/>
            <w:color w:val="auto"/>
          </w:rPr>
          <w:t>2004 Stock and Deferral Plan for Non-Employee Directors, as amended and restated effective January 21, 2021 (incorporated by</w:t>
        </w:r>
      </w:hyperlink>
      <w:r>
        <w:rPr>
          <w:rFonts w:ascii="Arial" w:cs="Arial" w:eastAsia="Arial" w:hAnsi="Arial"/>
          <w:sz w:val="16"/>
          <w:szCs w:val="16"/>
          <w:color w:val="auto"/>
        </w:rPr>
        <w:t xml:space="preserve"> </w:t>
      </w:r>
      <w:hyperlink r:id="rId590">
        <w:r>
          <w:rPr>
            <w:rFonts w:ascii="Arial" w:cs="Arial" w:eastAsia="Arial" w:hAnsi="Arial"/>
            <w:sz w:val="16"/>
            <w:szCs w:val="16"/>
            <w:color w:val="auto"/>
          </w:rPr>
          <w:t>reference to Exhibit 10.3 to SLB’s Current Report on Form 8-K filed on April 7, 2021)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-165735</wp:posOffset>
            </wp:positionV>
            <wp:extent cx="623951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1">
                      <a:extLst>
                        <a:ext uri="{28A0092B-C50C-407E-A947-70E740481C1C}"/>
                      </a:extLst>
                    </a:blip>
                    <a:srcRect/>
                    <a:stretch>
                      <a:fillRect/>
                    </a:stretch>
                  </pic:blipFill>
                  <pic:spPr bwMode="auto">
                    <a:xfrm>
                      <a:off x="0" y="0"/>
                      <a:ext cx="623951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-45720</wp:posOffset>
            </wp:positionV>
            <wp:extent cx="399224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2">
                      <a:extLst>
                        <a:ext uri="{28A0092B-C50C-407E-A947-70E740481C1C}"/>
                      </a:extLst>
                    </a:blip>
                    <a:srcRect/>
                    <a:stretch>
                      <a:fillRect/>
                    </a:stretch>
                  </pic:blipFill>
                  <pic:spPr bwMode="auto">
                    <a:xfrm>
                      <a:off x="0" y="0"/>
                      <a:ext cx="3992245" cy="889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Form of Indemnification Agreement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wp:posOffset>
            </wp:positionV>
            <wp:extent cx="19005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3">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228" w:lineRule="exact"/>
        <w:rPr>
          <w:sz w:val="20"/>
          <w:szCs w:val="20"/>
          <w:color w:val="auto"/>
        </w:rPr>
      </w:pPr>
    </w:p>
    <w:p>
      <w:pPr>
        <w:jc w:val="both"/>
        <w:spacing w:after="0" w:line="275" w:lineRule="auto"/>
        <w:rPr>
          <w:rFonts w:ascii="Arial" w:cs="Arial" w:eastAsia="Arial" w:hAnsi="Arial"/>
          <w:sz w:val="16"/>
          <w:szCs w:val="16"/>
          <w:color w:val="auto"/>
        </w:rPr>
      </w:pPr>
      <w:hyperlink r:id="rId594">
        <w:r>
          <w:rPr>
            <w:rFonts w:ascii="Arial" w:cs="Arial" w:eastAsia="Arial" w:hAnsi="Arial"/>
            <w:sz w:val="16"/>
            <w:szCs w:val="16"/>
            <w:color w:val="auto"/>
          </w:rPr>
          <w:t>Employment, Non-Competition and Non-Solicitation Agreement effective as of April 1, 2022, by and between Schlumberger Limited and</w:t>
        </w:r>
      </w:hyperlink>
      <w:r>
        <w:rPr>
          <w:rFonts w:ascii="Arial" w:cs="Arial" w:eastAsia="Arial" w:hAnsi="Arial"/>
          <w:sz w:val="16"/>
          <w:szCs w:val="16"/>
          <w:color w:val="auto"/>
        </w:rPr>
        <w:t xml:space="preserve"> </w:t>
      </w:r>
      <w:hyperlink r:id="rId594">
        <w:r>
          <w:rPr>
            <w:rFonts w:ascii="Arial" w:cs="Arial" w:eastAsia="Arial" w:hAnsi="Arial"/>
            <w:sz w:val="16"/>
            <w:szCs w:val="16"/>
            <w:color w:val="auto"/>
          </w:rPr>
          <w:t>Ashok Belani (incorporated by reference to Exhibit 10.1 to SLB’s Quarterly Report on Form 10-Q for the quarter ended March 31, 2022)</w:t>
        </w:r>
      </w:hyperlink>
      <w:r>
        <w:rPr>
          <w:rFonts w:ascii="Arial" w:cs="Arial" w:eastAsia="Arial" w:hAnsi="Arial"/>
          <w:sz w:val="16"/>
          <w:szCs w:val="16"/>
          <w:color w:val="auto"/>
        </w:rPr>
        <w:t xml:space="preserve"> </w:t>
      </w:r>
      <w:hyperlink r:id="rId594">
        <w:r>
          <w:rPr>
            <w:rFonts w:ascii="Arial" w:cs="Arial" w:eastAsia="Arial" w:hAnsi="Arial"/>
            <w:sz w:val="16"/>
            <w:szCs w:val="16"/>
            <w:color w:val="auto"/>
          </w:rPr>
          <w:t>(+)</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1270</wp:posOffset>
            </wp:positionH>
            <wp:positionV relativeFrom="paragraph">
              <wp:posOffset>-155575</wp:posOffset>
            </wp:positionV>
            <wp:extent cx="623951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5">
                      <a:extLst>
                        <a:ext uri="{28A0092B-C50C-407E-A947-70E740481C1C}"/>
                      </a:extLst>
                    </a:blip>
                    <a:srcRect/>
                    <a:stretch>
                      <a:fillRect/>
                    </a:stretch>
                  </pic:blipFill>
                  <pic:spPr bwMode="auto">
                    <a:xfrm>
                      <a:off x="0" y="0"/>
                      <a:ext cx="623951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-35560</wp:posOffset>
            </wp:positionV>
            <wp:extent cx="623633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6">
                      <a:extLst>
                        <a:ext uri="{28A0092B-C50C-407E-A947-70E740481C1C}"/>
                      </a:extLst>
                    </a:blip>
                    <a:srcRect/>
                    <a:stretch>
                      <a:fillRect/>
                    </a:stretch>
                  </pic:blipFill>
                  <pic:spPr bwMode="auto">
                    <a:xfrm>
                      <a:off x="0" y="0"/>
                      <a:ext cx="623633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83820</wp:posOffset>
            </wp:positionV>
            <wp:extent cx="12890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7">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368"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color w:val="auto"/>
        </w:rPr>
        <w:t>Significant Subsidiaries (*)</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1270</wp:posOffset>
            </wp:positionH>
            <wp:positionV relativeFrom="paragraph">
              <wp:posOffset>-4445</wp:posOffset>
            </wp:positionV>
            <wp:extent cx="120078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8">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228"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color w:val="auto"/>
        </w:rPr>
        <w:t>Issuers of Registered Guaranteed Debt Securities (*)</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1270</wp:posOffset>
            </wp:positionH>
            <wp:positionV relativeFrom="paragraph">
              <wp:posOffset>-4445</wp:posOffset>
            </wp:positionV>
            <wp:extent cx="240728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9">
                      <a:extLst>
                        <a:ext uri="{28A0092B-C50C-407E-A947-70E740481C1C}"/>
                      </a:extLst>
                    </a:blip>
                    <a:srcRect/>
                    <a:stretch>
                      <a:fillRect/>
                    </a:stretch>
                  </pic:blipFill>
                  <pic:spPr bwMode="auto">
                    <a:xfrm>
                      <a:off x="0" y="0"/>
                      <a:ext cx="2407285" cy="8890"/>
                    </a:xfrm>
                    <a:prstGeom prst="rect">
                      <a:avLst/>
                    </a:prstGeom>
                    <a:noFill/>
                  </pic:spPr>
                </pic:pic>
              </a:graphicData>
            </a:graphic>
          </wp:anchor>
        </w:drawing>
      </w:r>
    </w:p>
    <w:p>
      <w:pPr>
        <w:spacing w:after="0" w:line="228"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color w:val="auto"/>
        </w:rPr>
        <w:t>Consent of Independent Registered Public Accounting Firm (*)</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1270</wp:posOffset>
            </wp:positionH>
            <wp:positionV relativeFrom="paragraph">
              <wp:posOffset>-4445</wp:posOffset>
            </wp:positionV>
            <wp:extent cx="284162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0">
                      <a:extLst>
                        <a:ext uri="{28A0092B-C50C-407E-A947-70E740481C1C}"/>
                      </a:extLst>
                    </a:blip>
                    <a:srcRect/>
                    <a:stretch>
                      <a:fillRect/>
                    </a:stretch>
                  </pic:blipFill>
                  <pic:spPr bwMode="auto">
                    <a:xfrm>
                      <a:off x="0" y="0"/>
                      <a:ext cx="2841625" cy="8255"/>
                    </a:xfrm>
                    <a:prstGeom prst="rect">
                      <a:avLst/>
                    </a:prstGeom>
                    <a:noFill/>
                  </pic:spPr>
                </pic:pic>
              </a:graphicData>
            </a:graphic>
          </wp:anchor>
        </w:drawing>
      </w:r>
    </w:p>
    <w:p>
      <w:pPr>
        <w:spacing w:after="0" w:line="228"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color w:val="auto"/>
        </w:rPr>
        <w:t>Powers of Attorney (*)</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1270</wp:posOffset>
            </wp:positionH>
            <wp:positionV relativeFrom="paragraph">
              <wp:posOffset>-4445</wp:posOffset>
            </wp:positionV>
            <wp:extent cx="100647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1">
                      <a:extLst>
                        <a:ext uri="{28A0092B-C50C-407E-A947-70E740481C1C}"/>
                      </a:extLst>
                    </a:blip>
                    <a:srcRect/>
                    <a:stretch>
                      <a:fillRect/>
                    </a:stretch>
                  </pic:blipFill>
                  <pic:spPr bwMode="auto">
                    <a:xfrm>
                      <a:off x="0" y="0"/>
                      <a:ext cx="1006475" cy="8255"/>
                    </a:xfrm>
                    <a:prstGeom prst="rect">
                      <a:avLst/>
                    </a:prstGeom>
                    <a:noFill/>
                  </pic:spPr>
                </pic:pic>
              </a:graphicData>
            </a:graphic>
          </wp:anchor>
        </w:drawing>
      </w:r>
    </w:p>
    <w:p>
      <w:pPr>
        <w:spacing w:after="0" w:line="228" w:lineRule="exact"/>
        <w:rPr>
          <w:rFonts w:ascii="Arial" w:cs="Arial" w:eastAsia="Arial" w:hAnsi="Arial"/>
          <w:sz w:val="16"/>
          <w:szCs w:val="16"/>
          <w:color w:val="auto"/>
        </w:rPr>
      </w:pPr>
    </w:p>
    <w:p>
      <w:pPr>
        <w:jc w:val="both"/>
        <w:spacing w:after="0" w:line="286" w:lineRule="auto"/>
        <w:rPr>
          <w:sz w:val="20"/>
          <w:szCs w:val="20"/>
          <w:color w:val="auto"/>
        </w:rPr>
      </w:pPr>
      <w:r>
        <w:rPr>
          <w:rFonts w:ascii="Arial" w:cs="Arial" w:eastAsia="Arial" w:hAnsi="Arial"/>
          <w:sz w:val="16"/>
          <w:szCs w:val="16"/>
          <w:color w:val="auto"/>
        </w:rPr>
        <w:t>Certification of Chief Executive Officer pursuant to Rule 13a-14(a) as adopted pursuant to Section 302 of the Sarbanes-Oxley Act of 2002 (*)</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1270</wp:posOffset>
            </wp:positionH>
            <wp:positionV relativeFrom="paragraph">
              <wp:posOffset>-165735</wp:posOffset>
            </wp:positionV>
            <wp:extent cx="6233795"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2">
                      <a:extLst>
                        <a:ext uri="{28A0092B-C50C-407E-A947-70E740481C1C}"/>
                      </a:extLst>
                    </a:blip>
                    <a:srcRect/>
                    <a:stretch>
                      <a:fillRect/>
                    </a:stretch>
                  </pic:blipFill>
                  <pic:spPr bwMode="auto">
                    <a:xfrm>
                      <a:off x="0" y="0"/>
                      <a:ext cx="623379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-45720</wp:posOffset>
            </wp:positionV>
            <wp:extent cx="36576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3">
                      <a:extLst>
                        <a:ext uri="{28A0092B-C50C-407E-A947-70E740481C1C}"/>
                      </a:extLst>
                    </a:blip>
                    <a:srcRect/>
                    <a:stretch>
                      <a:fillRect/>
                    </a:stretch>
                  </pic:blipFill>
                  <pic:spPr bwMode="auto">
                    <a:xfrm>
                      <a:off x="0" y="0"/>
                      <a:ext cx="365760" cy="8890"/>
                    </a:xfrm>
                    <a:prstGeom prst="rect">
                      <a:avLst/>
                    </a:prstGeom>
                    <a:noFill/>
                  </pic:spPr>
                </pic:pic>
              </a:graphicData>
            </a:graphic>
          </wp:anchor>
        </w:drawing>
      </w:r>
    </w:p>
    <w:p>
      <w:pPr>
        <w:spacing w:after="0" w:line="163" w:lineRule="exact"/>
        <w:rPr>
          <w:rFonts w:ascii="Arial" w:cs="Arial" w:eastAsia="Arial" w:hAnsi="Arial"/>
          <w:sz w:val="16"/>
          <w:szCs w:val="16"/>
          <w:color w:val="auto"/>
        </w:rPr>
      </w:pPr>
    </w:p>
    <w:p>
      <w:pPr>
        <w:spacing w:after="0" w:line="286" w:lineRule="auto"/>
        <w:rPr>
          <w:sz w:val="20"/>
          <w:szCs w:val="20"/>
          <w:color w:val="auto"/>
        </w:rPr>
      </w:pPr>
      <w:r>
        <w:rPr>
          <w:rFonts w:ascii="Arial" w:cs="Arial" w:eastAsia="Arial" w:hAnsi="Arial"/>
          <w:sz w:val="16"/>
          <w:szCs w:val="16"/>
          <w:color w:val="auto"/>
        </w:rPr>
        <w:t>Certification of Chief Financial Officer pursuant to Rule 13a-14(a) as adopted pursuant to Section 302 of the Sarbanes-Oxley Act of 2002 (*)</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1270</wp:posOffset>
            </wp:positionH>
            <wp:positionV relativeFrom="paragraph">
              <wp:posOffset>-165735</wp:posOffset>
            </wp:positionV>
            <wp:extent cx="623379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4">
                      <a:extLst>
                        <a:ext uri="{28A0092B-C50C-407E-A947-70E740481C1C}"/>
                      </a:extLst>
                    </a:blip>
                    <a:srcRect/>
                    <a:stretch>
                      <a:fillRect/>
                    </a:stretch>
                  </pic:blipFill>
                  <pic:spPr bwMode="auto">
                    <a:xfrm>
                      <a:off x="0" y="0"/>
                      <a:ext cx="623379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-45720</wp:posOffset>
            </wp:positionV>
            <wp:extent cx="10858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5">
                      <a:extLst>
                        <a:ext uri="{28A0092B-C50C-407E-A947-70E740481C1C}"/>
                      </a:extLst>
                    </a:blip>
                    <a:srcRect/>
                    <a:stretch>
                      <a:fillRect/>
                    </a:stretch>
                  </pic:blipFill>
                  <pic:spPr bwMode="auto">
                    <a:xfrm>
                      <a:off x="0" y="0"/>
                      <a:ext cx="108585" cy="8890"/>
                    </a:xfrm>
                    <a:prstGeom prst="rect">
                      <a:avLst/>
                    </a:prstGeom>
                    <a:noFill/>
                  </pic:spPr>
                </pic:pic>
              </a:graphicData>
            </a:graphic>
          </wp:anchor>
        </w:drawing>
      </w:r>
    </w:p>
    <w:p>
      <w:pPr>
        <w:spacing w:after="0" w:line="365" w:lineRule="exact"/>
        <w:rPr>
          <w:rFonts w:ascii="Arial" w:cs="Arial" w:eastAsia="Arial" w:hAnsi="Arial"/>
          <w:sz w:val="16"/>
          <w:szCs w:val="16"/>
          <w:color w:val="auto"/>
        </w:rPr>
      </w:pPr>
    </w:p>
    <w:p>
      <w:pPr>
        <w:ind w:left="5460"/>
        <w:spacing w:after="0"/>
        <w:rPr>
          <w:sz w:val="20"/>
          <w:szCs w:val="20"/>
          <w:color w:val="auto"/>
        </w:rPr>
      </w:pPr>
      <w:r>
        <w:rPr>
          <w:rFonts w:ascii="Arial" w:cs="Arial" w:eastAsia="Arial" w:hAnsi="Arial"/>
          <w:sz w:val="16"/>
          <w:szCs w:val="16"/>
          <w:color w:val="auto"/>
        </w:rPr>
        <w:t>64</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-57785</wp:posOffset>
            </wp:positionH>
            <wp:positionV relativeFrom="paragraph">
              <wp:posOffset>410845</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rPr>
          <w:sz w:val="20"/>
          <w:szCs w:val="20"/>
          <w:color w:val="auto"/>
        </w:rPr>
      </w:pPr>
      <w:r>
        <w:rPr>
          <w:rFonts w:ascii="Arial" w:cs="Arial" w:eastAsia="Arial" w:hAnsi="Arial"/>
          <w:sz w:val="16"/>
          <w:szCs w:val="16"/>
          <w:b w:val="1"/>
          <w:bCs w:val="1"/>
          <w:color w:val="auto"/>
        </w:rPr>
        <w:t>Exhibit</w:t>
      </w:r>
    </w:p>
    <w:p>
      <w:pPr>
        <w:spacing w:after="0" w:line="39" w:lineRule="exact"/>
        <w:rPr>
          <w:rFonts w:ascii="Arial" w:cs="Arial" w:eastAsia="Arial" w:hAnsi="Arial"/>
          <w:sz w:val="16"/>
          <w:szCs w:val="16"/>
          <w:color w:val="auto"/>
        </w:rPr>
      </w:pPr>
    </w:p>
    <w:p>
      <w:pPr>
        <w:ind w:left="520"/>
        <w:spacing w:after="0"/>
        <w:rPr>
          <w:sz w:val="20"/>
          <w:szCs w:val="20"/>
          <w:color w:val="auto"/>
        </w:rPr>
      </w:pPr>
      <w:r>
        <w:rPr>
          <w:rFonts w:ascii="Arial" w:cs="Arial" w:eastAsia="Arial" w:hAnsi="Arial"/>
          <w:sz w:val="15"/>
          <w:szCs w:val="15"/>
          <w:color w:val="auto"/>
        </w:rPr>
        <w:t>10.7</w:t>
      </w:r>
    </w:p>
    <w:p>
      <w:pPr>
        <w:spacing w:after="0" w:line="200" w:lineRule="exact"/>
        <w:rPr>
          <w:rFonts w:ascii="Arial" w:cs="Arial" w:eastAsia="Arial" w:hAnsi="Arial"/>
          <w:sz w:val="16"/>
          <w:szCs w:val="16"/>
          <w:color w:val="auto"/>
        </w:rPr>
      </w:pPr>
    </w:p>
    <w:p>
      <w:pPr>
        <w:spacing w:after="0" w:line="242" w:lineRule="exact"/>
        <w:rPr>
          <w:rFonts w:ascii="Arial" w:cs="Arial" w:eastAsia="Arial" w:hAnsi="Arial"/>
          <w:sz w:val="16"/>
          <w:szCs w:val="16"/>
          <w:color w:val="auto"/>
        </w:rPr>
      </w:pPr>
    </w:p>
    <w:p>
      <w:pPr>
        <w:ind w:left="520"/>
        <w:spacing w:after="0"/>
        <w:rPr>
          <w:sz w:val="20"/>
          <w:szCs w:val="20"/>
          <w:color w:val="auto"/>
        </w:rPr>
      </w:pPr>
      <w:r>
        <w:rPr>
          <w:rFonts w:ascii="Arial" w:cs="Arial" w:eastAsia="Arial" w:hAnsi="Arial"/>
          <w:sz w:val="15"/>
          <w:szCs w:val="15"/>
          <w:color w:val="auto"/>
        </w:rPr>
        <w:t>10.8</w:t>
      </w:r>
    </w:p>
    <w:p>
      <w:pPr>
        <w:spacing w:after="0" w:line="200" w:lineRule="exact"/>
        <w:rPr>
          <w:rFonts w:ascii="Arial" w:cs="Arial" w:eastAsia="Arial" w:hAnsi="Arial"/>
          <w:sz w:val="16"/>
          <w:szCs w:val="16"/>
          <w:color w:val="auto"/>
        </w:rPr>
      </w:pPr>
    </w:p>
    <w:p>
      <w:pPr>
        <w:spacing w:after="0" w:line="249"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6"/>
          <w:szCs w:val="16"/>
          <w:color w:val="auto"/>
        </w:rPr>
        <w:t>10.9</w:t>
      </w: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6"/>
          <w:szCs w:val="16"/>
          <w:color w:val="auto"/>
        </w:rPr>
        <w:t>10.10</w:t>
      </w: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6"/>
          <w:szCs w:val="16"/>
          <w:color w:val="auto"/>
        </w:rPr>
        <w:t>10.11</w:t>
      </w: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420"/>
        <w:spacing w:after="0"/>
        <w:rPr>
          <w:sz w:val="20"/>
          <w:szCs w:val="20"/>
          <w:color w:val="auto"/>
        </w:rPr>
      </w:pPr>
      <w:r>
        <w:rPr>
          <w:rFonts w:ascii="Arial" w:cs="Arial" w:eastAsia="Arial" w:hAnsi="Arial"/>
          <w:sz w:val="15"/>
          <w:szCs w:val="15"/>
          <w:color w:val="auto"/>
        </w:rPr>
        <w:t>10.12</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8" w:lineRule="exact"/>
        <w:rPr>
          <w:rFonts w:ascii="Arial" w:cs="Arial" w:eastAsia="Arial" w:hAnsi="Arial"/>
          <w:sz w:val="16"/>
          <w:szCs w:val="16"/>
          <w:color w:val="auto"/>
        </w:rPr>
      </w:pPr>
    </w:p>
    <w:p>
      <w:pPr>
        <w:ind w:left="420"/>
        <w:spacing w:after="0"/>
        <w:rPr>
          <w:sz w:val="20"/>
          <w:szCs w:val="20"/>
          <w:color w:val="auto"/>
        </w:rPr>
      </w:pPr>
      <w:r>
        <w:rPr>
          <w:rFonts w:ascii="Arial" w:cs="Arial" w:eastAsia="Arial" w:hAnsi="Arial"/>
          <w:sz w:val="15"/>
          <w:szCs w:val="15"/>
          <w:color w:val="auto"/>
        </w:rPr>
        <w:t>10.13</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8" w:lineRule="exact"/>
        <w:rPr>
          <w:rFonts w:ascii="Arial" w:cs="Arial" w:eastAsia="Arial" w:hAnsi="Arial"/>
          <w:sz w:val="16"/>
          <w:szCs w:val="16"/>
          <w:color w:val="auto"/>
        </w:rPr>
      </w:pPr>
    </w:p>
    <w:p>
      <w:pPr>
        <w:ind w:left="420"/>
        <w:spacing w:after="0"/>
        <w:rPr>
          <w:sz w:val="20"/>
          <w:szCs w:val="20"/>
          <w:color w:val="auto"/>
        </w:rPr>
      </w:pPr>
      <w:r>
        <w:rPr>
          <w:rFonts w:ascii="Arial" w:cs="Arial" w:eastAsia="Arial" w:hAnsi="Arial"/>
          <w:sz w:val="15"/>
          <w:szCs w:val="15"/>
          <w:color w:val="auto"/>
        </w:rPr>
        <w:t>10.14</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8" w:lineRule="exact"/>
        <w:rPr>
          <w:rFonts w:ascii="Arial" w:cs="Arial" w:eastAsia="Arial" w:hAnsi="Arial"/>
          <w:sz w:val="16"/>
          <w:szCs w:val="16"/>
          <w:color w:val="auto"/>
        </w:rPr>
      </w:pPr>
    </w:p>
    <w:p>
      <w:pPr>
        <w:ind w:left="420"/>
        <w:spacing w:after="0"/>
        <w:rPr>
          <w:sz w:val="20"/>
          <w:szCs w:val="20"/>
          <w:color w:val="auto"/>
        </w:rPr>
      </w:pPr>
      <w:r>
        <w:rPr>
          <w:rFonts w:ascii="Arial" w:cs="Arial" w:eastAsia="Arial" w:hAnsi="Arial"/>
          <w:sz w:val="15"/>
          <w:szCs w:val="15"/>
          <w:color w:val="auto"/>
        </w:rPr>
        <w:t>10.15</w:t>
      </w:r>
    </w:p>
    <w:p>
      <w:pPr>
        <w:spacing w:after="0" w:line="200" w:lineRule="exact"/>
        <w:rPr>
          <w:rFonts w:ascii="Arial" w:cs="Arial" w:eastAsia="Arial" w:hAnsi="Arial"/>
          <w:sz w:val="16"/>
          <w:szCs w:val="16"/>
          <w:color w:val="auto"/>
        </w:rPr>
      </w:pPr>
    </w:p>
    <w:p>
      <w:pPr>
        <w:spacing w:after="0" w:line="249" w:lineRule="exact"/>
        <w:rPr>
          <w:rFonts w:ascii="Arial" w:cs="Arial" w:eastAsia="Arial" w:hAnsi="Arial"/>
          <w:sz w:val="16"/>
          <w:szCs w:val="16"/>
          <w:color w:val="auto"/>
        </w:rPr>
      </w:pPr>
    </w:p>
    <w:p>
      <w:pPr>
        <w:ind w:left="420"/>
        <w:spacing w:after="0"/>
        <w:rPr>
          <w:sz w:val="20"/>
          <w:szCs w:val="20"/>
          <w:color w:val="auto"/>
        </w:rPr>
      </w:pPr>
      <w:r>
        <w:rPr>
          <w:rFonts w:ascii="Arial" w:cs="Arial" w:eastAsia="Arial" w:hAnsi="Arial"/>
          <w:sz w:val="15"/>
          <w:szCs w:val="15"/>
          <w:color w:val="auto"/>
        </w:rPr>
        <w:t>10.16</w:t>
      </w:r>
    </w:p>
    <w:p>
      <w:pPr>
        <w:spacing w:after="0" w:line="200" w:lineRule="exact"/>
        <w:rPr>
          <w:rFonts w:ascii="Arial" w:cs="Arial" w:eastAsia="Arial" w:hAnsi="Arial"/>
          <w:sz w:val="16"/>
          <w:szCs w:val="16"/>
          <w:color w:val="auto"/>
        </w:rPr>
      </w:pPr>
    </w:p>
    <w:p>
      <w:pPr>
        <w:spacing w:after="0" w:line="249" w:lineRule="exact"/>
        <w:rPr>
          <w:rFonts w:ascii="Arial" w:cs="Arial" w:eastAsia="Arial" w:hAnsi="Arial"/>
          <w:sz w:val="16"/>
          <w:szCs w:val="16"/>
          <w:color w:val="auto"/>
        </w:rPr>
      </w:pPr>
    </w:p>
    <w:p>
      <w:pPr>
        <w:ind w:left="420"/>
        <w:spacing w:after="0"/>
        <w:rPr>
          <w:sz w:val="20"/>
          <w:szCs w:val="20"/>
          <w:color w:val="auto"/>
        </w:rPr>
      </w:pPr>
      <w:r>
        <w:rPr>
          <w:rFonts w:ascii="Arial" w:cs="Arial" w:eastAsia="Arial" w:hAnsi="Arial"/>
          <w:sz w:val="15"/>
          <w:szCs w:val="15"/>
          <w:color w:val="auto"/>
        </w:rPr>
        <w:t>10.17</w:t>
      </w:r>
    </w:p>
    <w:p>
      <w:pPr>
        <w:spacing w:after="0" w:line="200" w:lineRule="exact"/>
        <w:rPr>
          <w:rFonts w:ascii="Arial" w:cs="Arial" w:eastAsia="Arial" w:hAnsi="Arial"/>
          <w:sz w:val="16"/>
          <w:szCs w:val="16"/>
          <w:color w:val="auto"/>
        </w:rPr>
      </w:pPr>
    </w:p>
    <w:p>
      <w:pPr>
        <w:spacing w:after="0" w:line="249" w:lineRule="exact"/>
        <w:rPr>
          <w:rFonts w:ascii="Arial" w:cs="Arial" w:eastAsia="Arial" w:hAnsi="Arial"/>
          <w:sz w:val="16"/>
          <w:szCs w:val="16"/>
          <w:color w:val="auto"/>
        </w:rPr>
      </w:pPr>
    </w:p>
    <w:p>
      <w:pPr>
        <w:ind w:left="420"/>
        <w:spacing w:after="0"/>
        <w:rPr>
          <w:sz w:val="20"/>
          <w:szCs w:val="20"/>
          <w:color w:val="auto"/>
        </w:rPr>
      </w:pPr>
      <w:r>
        <w:rPr>
          <w:rFonts w:ascii="Arial" w:cs="Arial" w:eastAsia="Arial" w:hAnsi="Arial"/>
          <w:sz w:val="15"/>
          <w:szCs w:val="15"/>
          <w:color w:val="auto"/>
        </w:rPr>
        <w:t>10.18</w:t>
      </w:r>
    </w:p>
    <w:p>
      <w:pPr>
        <w:spacing w:after="0" w:line="200" w:lineRule="exact"/>
        <w:rPr>
          <w:rFonts w:ascii="Arial" w:cs="Arial" w:eastAsia="Arial" w:hAnsi="Arial"/>
          <w:sz w:val="16"/>
          <w:szCs w:val="16"/>
          <w:color w:val="auto"/>
        </w:rPr>
      </w:pPr>
    </w:p>
    <w:p>
      <w:pPr>
        <w:spacing w:after="0" w:line="249" w:lineRule="exact"/>
        <w:rPr>
          <w:rFonts w:ascii="Arial" w:cs="Arial" w:eastAsia="Arial" w:hAnsi="Arial"/>
          <w:sz w:val="16"/>
          <w:szCs w:val="16"/>
          <w:color w:val="auto"/>
        </w:rPr>
      </w:pPr>
    </w:p>
    <w:p>
      <w:pPr>
        <w:ind w:left="420"/>
        <w:spacing w:after="0"/>
        <w:rPr>
          <w:sz w:val="20"/>
          <w:szCs w:val="20"/>
          <w:color w:val="auto"/>
        </w:rPr>
      </w:pPr>
      <w:r>
        <w:rPr>
          <w:rFonts w:ascii="Arial" w:cs="Arial" w:eastAsia="Arial" w:hAnsi="Arial"/>
          <w:sz w:val="15"/>
          <w:szCs w:val="15"/>
          <w:color w:val="auto"/>
        </w:rPr>
        <w:t>10.19</w:t>
      </w:r>
    </w:p>
    <w:p>
      <w:pPr>
        <w:spacing w:after="0" w:line="260"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6"/>
          <w:szCs w:val="16"/>
          <w:color w:val="auto"/>
        </w:rPr>
        <w:t>10.20</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6"/>
          <w:szCs w:val="16"/>
          <w:color w:val="auto"/>
        </w:rPr>
        <w:t>21</w:t>
      </w:r>
    </w:p>
    <w:p>
      <w:pPr>
        <w:spacing w:after="0" w:line="248" w:lineRule="exact"/>
        <w:rPr>
          <w:rFonts w:ascii="Arial" w:cs="Arial" w:eastAsia="Arial" w:hAnsi="Arial"/>
          <w:sz w:val="16"/>
          <w:szCs w:val="16"/>
          <w:color w:val="auto"/>
        </w:rPr>
      </w:pPr>
    </w:p>
    <w:p>
      <w:pPr>
        <w:ind w:left="640"/>
        <w:spacing w:after="0"/>
        <w:rPr>
          <w:sz w:val="20"/>
          <w:szCs w:val="20"/>
          <w:color w:val="auto"/>
        </w:rPr>
      </w:pPr>
      <w:r>
        <w:rPr>
          <w:rFonts w:ascii="Arial" w:cs="Arial" w:eastAsia="Arial" w:hAnsi="Arial"/>
          <w:sz w:val="16"/>
          <w:szCs w:val="16"/>
          <w:color w:val="auto"/>
        </w:rPr>
        <w:t>22</w:t>
      </w:r>
    </w:p>
    <w:p>
      <w:pPr>
        <w:spacing w:after="0" w:line="248" w:lineRule="exact"/>
        <w:rPr>
          <w:rFonts w:ascii="Arial" w:cs="Arial" w:eastAsia="Arial" w:hAnsi="Arial"/>
          <w:sz w:val="16"/>
          <w:szCs w:val="16"/>
          <w:color w:val="auto"/>
        </w:rPr>
      </w:pPr>
    </w:p>
    <w:p>
      <w:pPr>
        <w:ind w:left="640"/>
        <w:spacing w:after="0"/>
        <w:rPr>
          <w:sz w:val="20"/>
          <w:szCs w:val="20"/>
          <w:color w:val="auto"/>
        </w:rPr>
      </w:pPr>
      <w:r>
        <w:rPr>
          <w:rFonts w:ascii="Arial" w:cs="Arial" w:eastAsia="Arial" w:hAnsi="Arial"/>
          <w:sz w:val="16"/>
          <w:szCs w:val="16"/>
          <w:color w:val="auto"/>
        </w:rPr>
        <w:t>23</w:t>
      </w:r>
    </w:p>
    <w:p>
      <w:pPr>
        <w:spacing w:after="0" w:line="248"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6"/>
          <w:szCs w:val="16"/>
          <w:color w:val="auto"/>
        </w:rPr>
        <w:t>24</w:t>
      </w:r>
    </w:p>
    <w:p>
      <w:pPr>
        <w:spacing w:after="0" w:line="248"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6"/>
          <w:szCs w:val="16"/>
          <w:color w:val="auto"/>
        </w:rPr>
        <w:t>31.1</w:t>
      </w: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520"/>
        <w:spacing w:after="0"/>
        <w:rPr>
          <w:sz w:val="20"/>
          <w:szCs w:val="20"/>
          <w:color w:val="auto"/>
        </w:rPr>
      </w:pPr>
      <w:r>
        <w:rPr>
          <w:rFonts w:ascii="Arial" w:cs="Arial" w:eastAsia="Arial" w:hAnsi="Arial"/>
          <w:sz w:val="15"/>
          <w:szCs w:val="15"/>
          <w:color w:val="auto"/>
        </w:rPr>
        <w:t>31.2</w:t>
      </w:r>
    </w:p>
    <w:p>
      <w:pPr>
        <w:sectPr>
          <w:pgSz w:w="11900" w:h="16838" w:orient="portrait"/>
          <w:cols w:equalWidth="0" w:num="2">
            <w:col w:w="9820" w:space="440"/>
            <w:col w:w="820"/>
          </w:cols>
          <w:pgMar w:left="400" w:top="355" w:right="419" w:bottom="1440" w:gutter="0" w:footer="0" w:header="0"/>
        </w:sectPr>
      </w:pPr>
    </w:p>
    <w:bookmarkStart w:id="64" w:name="page65"/>
    <w:bookmarkEnd w:id="64"/>
    <w:tbl>
      <w:tblPr>
        <w:tblLayout w:type="fixed"/>
        <w:tblInd w:w="8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Exhibit</w:t>
            </w:r>
          </w:p>
        </w:tc>
      </w:tr>
      <w:tr>
        <w:trPr>
          <w:trHeight w:val="176"/>
        </w:trPr>
        <w:tc>
          <w:tcPr>
            <w:tcW w:w="9820" w:type="dxa"/>
            <w:vAlign w:val="bottom"/>
            <w:tcBorders>
              <w:bottom w:val="single" w:sz="8" w:color="0000EE"/>
            </w:tcBorders>
            <w:gridSpan w:val="4"/>
          </w:tcPr>
          <w:p>
            <w:pPr>
              <w:spacing w:after="0" w:line="176" w:lineRule="exact"/>
              <w:rPr>
                <w:sz w:val="20"/>
                <w:szCs w:val="20"/>
                <w:color w:val="auto"/>
              </w:rPr>
            </w:pPr>
            <w:r>
              <w:rPr>
                <w:rFonts w:ascii="Arial" w:cs="Arial" w:eastAsia="Arial" w:hAnsi="Arial"/>
                <w:sz w:val="16"/>
                <w:szCs w:val="16"/>
                <w:color w:val="auto"/>
              </w:rPr>
              <w:t>Certification of Chief Executive Officer pursuant to 18 U.S.C. Section 1350, as adopted pursuant to Section 906 of the Sarbanes-Oxley</w:t>
            </w: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32.1</w:t>
            </w:r>
          </w:p>
        </w:tc>
      </w:tr>
      <w:tr>
        <w:trPr>
          <w:trHeight w:val="169"/>
        </w:trPr>
        <w:tc>
          <w:tcPr>
            <w:tcW w:w="9820" w:type="dxa"/>
            <w:vAlign w:val="bottom"/>
            <w:gridSpan w:val="4"/>
          </w:tcPr>
          <w:p>
            <w:pPr>
              <w:spacing w:after="0" w:line="169" w:lineRule="exact"/>
              <w:rPr>
                <w:sz w:val="20"/>
                <w:szCs w:val="20"/>
                <w:color w:val="auto"/>
              </w:rPr>
            </w:pPr>
            <w:r>
              <w:rPr>
                <w:rFonts w:ascii="Arial" w:cs="Arial" w:eastAsia="Arial" w:hAnsi="Arial"/>
                <w:sz w:val="16"/>
                <w:szCs w:val="16"/>
                <w:color w:val="auto"/>
              </w:rPr>
              <w:t>Act of 2002 (**)</w:t>
            </w:r>
          </w:p>
        </w:tc>
        <w:tc>
          <w:tcPr>
            <w:tcW w:w="1260" w:type="dxa"/>
            <w:vAlign w:val="bottom"/>
          </w:tcPr>
          <w:p>
            <w:pPr>
              <w:spacing w:after="0"/>
              <w:rPr>
                <w:sz w:val="14"/>
                <w:szCs w:val="14"/>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12"/>
        </w:trPr>
        <w:tc>
          <w:tcPr>
            <w:tcW w:w="982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auto"/>
              </w:rPr>
              <w:t>Certification of Chief Financial Officer pursuant to 18 U.S.C. Section 1350, as adopted pursuant to Section 906 of the Sarbanes-Oxley</w:t>
            </w:r>
          </w:p>
        </w:tc>
        <w:tc>
          <w:tcPr>
            <w:tcW w:w="1260" w:type="dxa"/>
            <w:vAlign w:val="bottom"/>
          </w:tcPr>
          <w:p>
            <w:pPr>
              <w:jc w:val="right"/>
              <w:spacing w:after="0"/>
              <w:rPr>
                <w:sz w:val="20"/>
                <w:szCs w:val="20"/>
                <w:color w:val="auto"/>
              </w:rPr>
            </w:pPr>
            <w:r>
              <w:rPr>
                <w:rFonts w:ascii="Arial" w:cs="Arial" w:eastAsia="Arial" w:hAnsi="Arial"/>
                <w:sz w:val="16"/>
                <w:szCs w:val="16"/>
                <w:color w:val="auto"/>
              </w:rPr>
              <w:t>32.2</w:t>
            </w:r>
          </w:p>
        </w:tc>
      </w:tr>
      <w:tr>
        <w:trPr>
          <w:trHeight w:val="169"/>
        </w:trPr>
        <w:tc>
          <w:tcPr>
            <w:tcW w:w="9820" w:type="dxa"/>
            <w:vAlign w:val="bottom"/>
            <w:gridSpan w:val="4"/>
          </w:tcPr>
          <w:p>
            <w:pPr>
              <w:spacing w:after="0" w:line="169" w:lineRule="exact"/>
              <w:rPr>
                <w:sz w:val="20"/>
                <w:szCs w:val="20"/>
                <w:color w:val="auto"/>
              </w:rPr>
            </w:pPr>
            <w:r>
              <w:rPr>
                <w:rFonts w:ascii="Arial" w:cs="Arial" w:eastAsia="Arial" w:hAnsi="Arial"/>
                <w:sz w:val="16"/>
                <w:szCs w:val="16"/>
                <w:color w:val="auto"/>
              </w:rPr>
              <w:t>Act of 2002 (**)</w:t>
            </w:r>
          </w:p>
        </w:tc>
        <w:tc>
          <w:tcPr>
            <w:tcW w:w="1260" w:type="dxa"/>
            <w:vAlign w:val="bottom"/>
          </w:tcPr>
          <w:p>
            <w:pPr>
              <w:spacing w:after="0"/>
              <w:rPr>
                <w:sz w:val="14"/>
                <w:szCs w:val="14"/>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12"/>
        </w:trPr>
        <w:tc>
          <w:tcPr>
            <w:tcW w:w="188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auto"/>
              </w:rPr>
              <w:t>Mine Safety Disclosure (*)</w:t>
            </w:r>
          </w:p>
        </w:tc>
        <w:tc>
          <w:tcPr>
            <w:tcW w:w="7940" w:type="dxa"/>
            <w:vAlign w:val="bottom"/>
            <w:gridSpan w:val="2"/>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412"/>
        </w:trPr>
        <w:tc>
          <w:tcPr>
            <w:tcW w:w="678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auto"/>
              </w:rPr>
              <w:t>Policy for Recovery of Performance-Based Incentive Compensation from Executive Officers (*)</w:t>
            </w:r>
          </w:p>
        </w:tc>
        <w:tc>
          <w:tcPr>
            <w:tcW w:w="30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450"/>
        </w:trPr>
        <w:tc>
          <w:tcPr>
            <w:tcW w:w="9820" w:type="dxa"/>
            <w:vAlign w:val="bottom"/>
            <w:gridSpan w:val="4"/>
          </w:tcPr>
          <w:p>
            <w:pPr>
              <w:spacing w:after="0"/>
              <w:rPr>
                <w:sz w:val="20"/>
                <w:szCs w:val="20"/>
                <w:color w:val="auto"/>
              </w:rPr>
            </w:pPr>
            <w:r>
              <w:rPr>
                <w:rFonts w:ascii="Arial" w:cs="Arial" w:eastAsia="Arial" w:hAnsi="Arial"/>
                <w:sz w:val="16"/>
                <w:szCs w:val="16"/>
                <w:color w:val="auto"/>
              </w:rPr>
              <w:t>Inline XBRL Instance Document (*)</w:t>
            </w:r>
          </w:p>
        </w:tc>
        <w:tc>
          <w:tcPr>
            <w:tcW w:w="1260" w:type="dxa"/>
            <w:vAlign w:val="bottom"/>
          </w:tcPr>
          <w:p>
            <w:pPr>
              <w:jc w:val="right"/>
              <w:spacing w:after="0"/>
              <w:rPr>
                <w:sz w:val="20"/>
                <w:szCs w:val="20"/>
                <w:color w:val="auto"/>
              </w:rPr>
            </w:pPr>
            <w:r>
              <w:rPr>
                <w:rFonts w:ascii="Arial" w:cs="Arial" w:eastAsia="Arial" w:hAnsi="Arial"/>
                <w:sz w:val="16"/>
                <w:szCs w:val="16"/>
                <w:color w:val="auto"/>
              </w:rPr>
              <w:t>101.INS</w:t>
            </w:r>
          </w:p>
        </w:tc>
      </w:tr>
      <w:tr>
        <w:trPr>
          <w:trHeight w:val="432"/>
        </w:trPr>
        <w:tc>
          <w:tcPr>
            <w:tcW w:w="9820" w:type="dxa"/>
            <w:vAlign w:val="bottom"/>
            <w:gridSpan w:val="4"/>
          </w:tcPr>
          <w:p>
            <w:pPr>
              <w:spacing w:after="0"/>
              <w:rPr>
                <w:sz w:val="20"/>
                <w:szCs w:val="20"/>
                <w:color w:val="auto"/>
              </w:rPr>
            </w:pPr>
            <w:r>
              <w:rPr>
                <w:rFonts w:ascii="Arial" w:cs="Arial" w:eastAsia="Arial" w:hAnsi="Arial"/>
                <w:sz w:val="16"/>
                <w:szCs w:val="16"/>
                <w:color w:val="auto"/>
              </w:rPr>
              <w:t>Inline XBRL Taxonomy Extension Schema Document (*)</w:t>
            </w:r>
          </w:p>
        </w:tc>
        <w:tc>
          <w:tcPr>
            <w:tcW w:w="1260" w:type="dxa"/>
            <w:vAlign w:val="bottom"/>
          </w:tcPr>
          <w:p>
            <w:pPr>
              <w:jc w:val="right"/>
              <w:spacing w:after="0"/>
              <w:rPr>
                <w:sz w:val="20"/>
                <w:szCs w:val="20"/>
                <w:color w:val="auto"/>
              </w:rPr>
            </w:pPr>
            <w:r>
              <w:rPr>
                <w:rFonts w:ascii="Arial" w:cs="Arial" w:eastAsia="Arial" w:hAnsi="Arial"/>
                <w:sz w:val="16"/>
                <w:szCs w:val="16"/>
                <w:color w:val="auto"/>
              </w:rPr>
              <w:t>101.SCH</w:t>
            </w:r>
          </w:p>
        </w:tc>
      </w:tr>
      <w:tr>
        <w:trPr>
          <w:trHeight w:val="432"/>
        </w:trPr>
        <w:tc>
          <w:tcPr>
            <w:tcW w:w="9820" w:type="dxa"/>
            <w:vAlign w:val="bottom"/>
            <w:gridSpan w:val="4"/>
          </w:tcPr>
          <w:p>
            <w:pPr>
              <w:spacing w:after="0"/>
              <w:rPr>
                <w:sz w:val="20"/>
                <w:szCs w:val="20"/>
                <w:color w:val="auto"/>
              </w:rPr>
            </w:pPr>
            <w:r>
              <w:rPr>
                <w:rFonts w:ascii="Arial" w:cs="Arial" w:eastAsia="Arial" w:hAnsi="Arial"/>
                <w:sz w:val="16"/>
                <w:szCs w:val="16"/>
                <w:color w:val="auto"/>
              </w:rPr>
              <w:t>Inline XBRL Taxonomy Extension Calculation Linkbase Document (*)</w:t>
            </w:r>
          </w:p>
        </w:tc>
        <w:tc>
          <w:tcPr>
            <w:tcW w:w="1260" w:type="dxa"/>
            <w:vAlign w:val="bottom"/>
          </w:tcPr>
          <w:p>
            <w:pPr>
              <w:jc w:val="right"/>
              <w:spacing w:after="0"/>
              <w:rPr>
                <w:sz w:val="20"/>
                <w:szCs w:val="20"/>
                <w:color w:val="auto"/>
              </w:rPr>
            </w:pPr>
            <w:r>
              <w:rPr>
                <w:rFonts w:ascii="Arial" w:cs="Arial" w:eastAsia="Arial" w:hAnsi="Arial"/>
                <w:sz w:val="16"/>
                <w:szCs w:val="16"/>
                <w:color w:val="auto"/>
              </w:rPr>
              <w:t>101.CAL</w:t>
            </w:r>
          </w:p>
        </w:tc>
      </w:tr>
      <w:tr>
        <w:trPr>
          <w:trHeight w:val="432"/>
        </w:trPr>
        <w:tc>
          <w:tcPr>
            <w:tcW w:w="9820" w:type="dxa"/>
            <w:vAlign w:val="bottom"/>
            <w:gridSpan w:val="4"/>
          </w:tcPr>
          <w:p>
            <w:pPr>
              <w:spacing w:after="0"/>
              <w:rPr>
                <w:sz w:val="20"/>
                <w:szCs w:val="20"/>
                <w:color w:val="auto"/>
              </w:rPr>
            </w:pPr>
            <w:r>
              <w:rPr>
                <w:rFonts w:ascii="Arial" w:cs="Arial" w:eastAsia="Arial" w:hAnsi="Arial"/>
                <w:sz w:val="16"/>
                <w:szCs w:val="16"/>
                <w:color w:val="auto"/>
              </w:rPr>
              <w:t>Inline XBRL Taxonomy Extension Definition Linkbase Document (*)</w:t>
            </w:r>
          </w:p>
        </w:tc>
        <w:tc>
          <w:tcPr>
            <w:tcW w:w="1260" w:type="dxa"/>
            <w:vAlign w:val="bottom"/>
          </w:tcPr>
          <w:p>
            <w:pPr>
              <w:jc w:val="right"/>
              <w:spacing w:after="0"/>
              <w:rPr>
                <w:sz w:val="20"/>
                <w:szCs w:val="20"/>
                <w:color w:val="auto"/>
              </w:rPr>
            </w:pPr>
            <w:r>
              <w:rPr>
                <w:rFonts w:ascii="Arial" w:cs="Arial" w:eastAsia="Arial" w:hAnsi="Arial"/>
                <w:sz w:val="16"/>
                <w:szCs w:val="16"/>
                <w:color w:val="auto"/>
              </w:rPr>
              <w:t>101.DEF</w:t>
            </w:r>
          </w:p>
        </w:tc>
      </w:tr>
      <w:tr>
        <w:trPr>
          <w:trHeight w:val="432"/>
        </w:trPr>
        <w:tc>
          <w:tcPr>
            <w:tcW w:w="9820" w:type="dxa"/>
            <w:vAlign w:val="bottom"/>
            <w:gridSpan w:val="4"/>
          </w:tcPr>
          <w:p>
            <w:pPr>
              <w:spacing w:after="0"/>
              <w:rPr>
                <w:sz w:val="20"/>
                <w:szCs w:val="20"/>
                <w:color w:val="auto"/>
              </w:rPr>
            </w:pPr>
            <w:r>
              <w:rPr>
                <w:rFonts w:ascii="Arial" w:cs="Arial" w:eastAsia="Arial" w:hAnsi="Arial"/>
                <w:sz w:val="16"/>
                <w:szCs w:val="16"/>
                <w:color w:val="auto"/>
              </w:rPr>
              <w:t>Inline XBRL Taxonomy Extension Label Linkbase Document (*)</w:t>
            </w:r>
          </w:p>
        </w:tc>
        <w:tc>
          <w:tcPr>
            <w:tcW w:w="1260" w:type="dxa"/>
            <w:vAlign w:val="bottom"/>
          </w:tcPr>
          <w:p>
            <w:pPr>
              <w:jc w:val="right"/>
              <w:spacing w:after="0"/>
              <w:rPr>
                <w:sz w:val="20"/>
                <w:szCs w:val="20"/>
                <w:color w:val="auto"/>
              </w:rPr>
            </w:pPr>
            <w:r>
              <w:rPr>
                <w:rFonts w:ascii="Arial" w:cs="Arial" w:eastAsia="Arial" w:hAnsi="Arial"/>
                <w:sz w:val="16"/>
                <w:szCs w:val="16"/>
                <w:color w:val="auto"/>
              </w:rPr>
              <w:t>101.LAB</w:t>
            </w:r>
          </w:p>
        </w:tc>
      </w:tr>
      <w:tr>
        <w:trPr>
          <w:trHeight w:val="432"/>
        </w:trPr>
        <w:tc>
          <w:tcPr>
            <w:tcW w:w="9820" w:type="dxa"/>
            <w:vAlign w:val="bottom"/>
            <w:gridSpan w:val="4"/>
          </w:tcPr>
          <w:p>
            <w:pPr>
              <w:spacing w:after="0"/>
              <w:rPr>
                <w:sz w:val="20"/>
                <w:szCs w:val="20"/>
                <w:color w:val="auto"/>
              </w:rPr>
            </w:pPr>
            <w:r>
              <w:rPr>
                <w:rFonts w:ascii="Arial" w:cs="Arial" w:eastAsia="Arial" w:hAnsi="Arial"/>
                <w:sz w:val="16"/>
                <w:szCs w:val="16"/>
                <w:color w:val="auto"/>
              </w:rPr>
              <w:t>Inline XBRL Taxonomy Extension Presentation Linkbase Document (*)</w:t>
            </w:r>
          </w:p>
        </w:tc>
        <w:tc>
          <w:tcPr>
            <w:tcW w:w="1260" w:type="dxa"/>
            <w:vAlign w:val="bottom"/>
          </w:tcPr>
          <w:p>
            <w:pPr>
              <w:jc w:val="right"/>
              <w:spacing w:after="0"/>
              <w:rPr>
                <w:sz w:val="20"/>
                <w:szCs w:val="20"/>
                <w:color w:val="auto"/>
              </w:rPr>
            </w:pPr>
            <w:r>
              <w:rPr>
                <w:rFonts w:ascii="Arial" w:cs="Arial" w:eastAsia="Arial" w:hAnsi="Arial"/>
                <w:sz w:val="16"/>
                <w:szCs w:val="16"/>
                <w:color w:val="auto"/>
              </w:rPr>
              <w:t>101.PRE</w:t>
            </w:r>
          </w:p>
        </w:tc>
      </w:tr>
      <w:tr>
        <w:trPr>
          <w:trHeight w:val="432"/>
        </w:trPr>
        <w:tc>
          <w:tcPr>
            <w:tcW w:w="9820" w:type="dxa"/>
            <w:vAlign w:val="bottom"/>
            <w:gridSpan w:val="4"/>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c>
          <w:tcPr>
            <w:tcW w:w="126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405"/>
        </w:trPr>
        <w:tc>
          <w:tcPr>
            <w:tcW w:w="9820" w:type="dxa"/>
            <w:vAlign w:val="bottom"/>
            <w:gridSpan w:val="4"/>
          </w:tcPr>
          <w:p>
            <w:pPr>
              <w:spacing w:after="0"/>
              <w:rPr>
                <w:sz w:val="20"/>
                <w:szCs w:val="20"/>
                <w:color w:val="auto"/>
              </w:rPr>
            </w:pPr>
            <w:r>
              <w:rPr>
                <w:rFonts w:ascii="Arial" w:cs="Arial" w:eastAsia="Arial" w:hAnsi="Arial"/>
                <w:sz w:val="16"/>
                <w:szCs w:val="16"/>
                <w:color w:val="auto"/>
              </w:rPr>
              <w:t>(*) Filed with this Form 10-K</w:t>
            </w:r>
          </w:p>
        </w:tc>
        <w:tc>
          <w:tcPr>
            <w:tcW w:w="1260" w:type="dxa"/>
            <w:vAlign w:val="bottom"/>
          </w:tcPr>
          <w:p>
            <w:pPr>
              <w:spacing w:after="0"/>
              <w:rPr>
                <w:sz w:val="24"/>
                <w:szCs w:val="24"/>
                <w:color w:val="auto"/>
              </w:rPr>
            </w:pPr>
          </w:p>
        </w:tc>
      </w:tr>
      <w:tr>
        <w:trPr>
          <w:trHeight w:val="229"/>
        </w:trPr>
        <w:tc>
          <w:tcPr>
            <w:tcW w:w="9820" w:type="dxa"/>
            <w:vAlign w:val="bottom"/>
            <w:gridSpan w:val="4"/>
          </w:tcPr>
          <w:p>
            <w:pPr>
              <w:spacing w:after="0"/>
              <w:rPr>
                <w:sz w:val="20"/>
                <w:szCs w:val="20"/>
                <w:color w:val="auto"/>
              </w:rPr>
            </w:pPr>
            <w:r>
              <w:rPr>
                <w:rFonts w:ascii="Arial" w:cs="Arial" w:eastAsia="Arial" w:hAnsi="Arial"/>
                <w:sz w:val="16"/>
                <w:szCs w:val="16"/>
                <w:color w:val="auto"/>
              </w:rPr>
              <w:t>(**) Furnished with this Form 10-K</w:t>
            </w:r>
          </w:p>
        </w:tc>
        <w:tc>
          <w:tcPr>
            <w:tcW w:w="1260" w:type="dxa"/>
            <w:vAlign w:val="bottom"/>
          </w:tcPr>
          <w:p>
            <w:pPr>
              <w:spacing w:after="0"/>
              <w:rPr>
                <w:sz w:val="19"/>
                <w:szCs w:val="19"/>
                <w:color w:val="auto"/>
              </w:rPr>
            </w:pPr>
          </w:p>
        </w:tc>
      </w:tr>
      <w:tr>
        <w:trPr>
          <w:trHeight w:val="243"/>
        </w:trPr>
        <w:tc>
          <w:tcPr>
            <w:tcW w:w="9820" w:type="dxa"/>
            <w:vAlign w:val="bottom"/>
            <w:gridSpan w:val="4"/>
          </w:tcPr>
          <w:p>
            <w:pPr>
              <w:spacing w:after="0"/>
              <w:rPr>
                <w:sz w:val="20"/>
                <w:szCs w:val="20"/>
                <w:color w:val="auto"/>
              </w:rPr>
            </w:pPr>
            <w:r>
              <w:rPr>
                <w:rFonts w:ascii="Arial" w:cs="Arial" w:eastAsia="Arial" w:hAnsi="Arial"/>
                <w:sz w:val="16"/>
                <w:szCs w:val="16"/>
                <w:color w:val="auto"/>
              </w:rPr>
              <w:t>(+) Management contracts or compensatory plans or arrangements</w:t>
            </w:r>
          </w:p>
        </w:tc>
        <w:tc>
          <w:tcPr>
            <w:tcW w:w="1260" w:type="dxa"/>
            <w:vAlign w:val="bottom"/>
          </w:tcPr>
          <w:p>
            <w:pPr>
              <w:spacing w:after="0"/>
              <w:rPr>
                <w:sz w:val="21"/>
                <w:szCs w:val="21"/>
                <w:color w:val="auto"/>
              </w:rPr>
            </w:pPr>
          </w:p>
        </w:tc>
      </w:tr>
    </w:tbl>
    <w:p>
      <w:pPr>
        <w:spacing w:after="0" w:line="217" w:lineRule="exact"/>
        <w:rPr>
          <w:sz w:val="20"/>
          <w:szCs w:val="20"/>
          <w:color w:val="auto"/>
        </w:rPr>
      </w:pPr>
    </w:p>
    <w:p>
      <w:pPr>
        <w:jc w:val="both"/>
        <w:ind w:left="80"/>
        <w:spacing w:after="0" w:line="262" w:lineRule="auto"/>
        <w:rPr>
          <w:sz w:val="20"/>
          <w:szCs w:val="20"/>
          <w:color w:val="auto"/>
        </w:rPr>
      </w:pPr>
      <w:r>
        <w:rPr>
          <w:rFonts w:ascii="Arial" w:cs="Arial" w:eastAsia="Arial" w:hAnsi="Arial"/>
          <w:sz w:val="16"/>
          <w:szCs w:val="16"/>
          <w:color w:val="auto"/>
        </w:rPr>
        <w:t>The Exhibits filed herewith do not include certain instruments with respect to long-term debt of Schlumberger Limited and its subsidiaries, inasmuch as the total amount of debt authorized under any such instrument does not exceed 10 percent of the total assets of Schlumberger Limited and its subsidiaries on a consolidated basis. SLB agrees, pursuant to Item 601(b)(4)(iii) of Regulation S-K, that it will furnish a copy of any such instrument to the SEC upon request.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16. Form 10-K Summary.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55" w:right="419" w:bottom="1440" w:gutter="0" w:footer="0" w:header="0"/>
        </w:sectPr>
      </w:pPr>
    </w:p>
    <w:bookmarkStart w:id="65" w:name="page66"/>
    <w:bookmarkEnd w:id="65"/>
    <w:p>
      <w:pPr>
        <w:jc w:val="center"/>
        <w:spacing w:after="0"/>
        <w:rPr>
          <w:sz w:val="20"/>
          <w:szCs w:val="20"/>
          <w:color w:val="auto"/>
        </w:rPr>
      </w:pPr>
      <w:r>
        <w:rPr>
          <w:rFonts w:ascii="Arial" w:cs="Arial" w:eastAsia="Arial" w:hAnsi="Arial"/>
          <w:sz w:val="16"/>
          <w:szCs w:val="16"/>
          <w:b w:val="1"/>
          <w:bCs w:val="1"/>
          <w:color w:val="auto"/>
        </w:rPr>
        <w:t>SIGNATURES</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20"/>
        <w:spacing w:after="0"/>
        <w:tabs>
          <w:tab w:leader="none" w:pos="700" w:val="left"/>
          <w:tab w:leader="none" w:pos="71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January 24, 2024</w:t>
      </w:r>
      <w:r>
        <w:rPr>
          <w:sz w:val="20"/>
          <w:szCs w:val="20"/>
          <w:color w:val="auto"/>
        </w:rPr>
        <w:tab/>
      </w:r>
      <w:r>
        <w:rPr>
          <w:rFonts w:ascii="Arial" w:cs="Arial" w:eastAsia="Arial" w:hAnsi="Arial"/>
          <w:sz w:val="16"/>
          <w:szCs w:val="16"/>
          <w:color w:val="auto"/>
        </w:rPr>
        <w:t>SCHLUMBERGER LIMITED</w:t>
      </w:r>
    </w:p>
    <w:p>
      <w:pPr>
        <w:spacing w:after="0" w:line="248" w:lineRule="exact"/>
        <w:rPr>
          <w:sz w:val="20"/>
          <w:szCs w:val="20"/>
          <w:color w:val="auto"/>
        </w:rPr>
      </w:pPr>
    </w:p>
    <w:p>
      <w:pPr>
        <w:ind w:left="6720"/>
        <w:spacing w:after="0"/>
        <w:tabs>
          <w:tab w:leader="none" w:pos="7140" w:val="left"/>
        </w:tabs>
        <w:rPr>
          <w:sz w:val="20"/>
          <w:szCs w:val="20"/>
          <w:color w:val="auto"/>
        </w:rPr>
      </w:pPr>
      <w:r>
        <w:rPr>
          <w:rFonts w:ascii="Arial" w:cs="Arial" w:eastAsia="Arial" w:hAnsi="Arial"/>
          <w:sz w:val="16"/>
          <w:szCs w:val="16"/>
          <w:color w:val="auto"/>
        </w:rPr>
        <w:t>By:</w:t>
        <w:tab/>
        <w:t>/s/ H</w:t>
      </w:r>
      <w:r>
        <w:rPr>
          <w:rFonts w:ascii="Arial" w:cs="Arial" w:eastAsia="Arial" w:hAnsi="Arial"/>
          <w:sz w:val="10"/>
          <w:szCs w:val="10"/>
          <w:color w:val="auto"/>
        </w:rPr>
        <w:t>oward</w:t>
      </w:r>
      <w:r>
        <w:rPr>
          <w:rFonts w:ascii="Arial" w:cs="Arial" w:eastAsia="Arial" w:hAnsi="Arial"/>
          <w:sz w:val="16"/>
          <w:szCs w:val="16"/>
          <w:color w:val="auto"/>
        </w:rPr>
        <w:t xml:space="preserve"> G</w:t>
      </w:r>
      <w:r>
        <w:rPr>
          <w:rFonts w:ascii="Arial" w:cs="Arial" w:eastAsia="Arial" w:hAnsi="Arial"/>
          <w:sz w:val="10"/>
          <w:szCs w:val="10"/>
          <w:color w:val="auto"/>
        </w:rPr>
        <w:t>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20955</wp:posOffset>
            </wp:positionV>
            <wp:extent cx="259715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26" w:lineRule="exact"/>
        <w:rPr>
          <w:sz w:val="20"/>
          <w:szCs w:val="20"/>
          <w:color w:val="auto"/>
        </w:rPr>
      </w:pPr>
    </w:p>
    <w:p>
      <w:pPr>
        <w:ind w:left="7160"/>
        <w:spacing w:after="0"/>
        <w:rPr>
          <w:sz w:val="20"/>
          <w:szCs w:val="20"/>
          <w:color w:val="auto"/>
        </w:rPr>
      </w:pPr>
      <w:r>
        <w:rPr>
          <w:rFonts w:ascii="Arial" w:cs="Arial" w:eastAsia="Arial" w:hAnsi="Arial"/>
          <w:sz w:val="16"/>
          <w:szCs w:val="16"/>
          <w:b w:val="1"/>
          <w:bCs w:val="1"/>
          <w:color w:val="auto"/>
        </w:rPr>
        <w:t>Howard Guild</w:t>
      </w:r>
    </w:p>
    <w:p>
      <w:pPr>
        <w:spacing w:after="0" w:line="39" w:lineRule="exact"/>
        <w:rPr>
          <w:sz w:val="20"/>
          <w:szCs w:val="20"/>
          <w:color w:val="auto"/>
        </w:rPr>
      </w:pPr>
    </w:p>
    <w:p>
      <w:pPr>
        <w:ind w:left="7160"/>
        <w:spacing w:after="0"/>
        <w:rPr>
          <w:sz w:val="20"/>
          <w:szCs w:val="20"/>
          <w:color w:val="auto"/>
        </w:rPr>
      </w:pPr>
      <w:r>
        <w:rPr>
          <w:rFonts w:ascii="Arial" w:cs="Arial" w:eastAsia="Arial" w:hAnsi="Arial"/>
          <w:sz w:val="16"/>
          <w:szCs w:val="16"/>
          <w:b w:val="1"/>
          <w:bCs w:val="1"/>
          <w:color w:val="auto"/>
        </w:rPr>
        <w:t>Chief Accounting Officer</w:t>
      </w:r>
    </w:p>
    <w:p>
      <w:pPr>
        <w:spacing w:after="0" w:line="24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60" w:type="dxa"/>
            <w:vAlign w:val="bottom"/>
          </w:tcPr>
          <w:p>
            <w:pPr>
              <w:jc w:val="center"/>
              <w:spacing w:after="0"/>
              <w:rPr>
                <w:sz w:val="20"/>
                <w:szCs w:val="20"/>
                <w:color w:val="auto"/>
              </w:rPr>
            </w:pPr>
            <w:r>
              <w:rPr>
                <w:rFonts w:ascii="Arial" w:cs="Arial" w:eastAsia="Arial" w:hAnsi="Arial"/>
                <w:sz w:val="16"/>
                <w:szCs w:val="16"/>
                <w:b w:val="1"/>
                <w:bCs w:val="1"/>
                <w:color w:val="auto"/>
              </w:rPr>
              <w:t>Name</w:t>
            </w:r>
          </w:p>
        </w:tc>
        <w:tc>
          <w:tcPr>
            <w:tcW w:w="5780" w:type="dxa"/>
            <w:vAlign w:val="bottom"/>
          </w:tcPr>
          <w:p>
            <w:pPr>
              <w:ind w:left="2840"/>
              <w:spacing w:after="0"/>
              <w:rPr>
                <w:sz w:val="20"/>
                <w:szCs w:val="20"/>
                <w:color w:val="auto"/>
              </w:rPr>
            </w:pPr>
            <w:r>
              <w:rPr>
                <w:rFonts w:ascii="Arial" w:cs="Arial" w:eastAsia="Arial" w:hAnsi="Arial"/>
                <w:sz w:val="16"/>
                <w:szCs w:val="16"/>
                <w:b w:val="1"/>
                <w:bCs w:val="1"/>
                <w:color w:val="auto"/>
              </w:rPr>
              <w:t>Title</w:t>
            </w:r>
          </w:p>
        </w:tc>
        <w:tc>
          <w:tcPr>
            <w:tcW w:w="0" w:type="dxa"/>
            <w:vAlign w:val="bottom"/>
          </w:tcPr>
          <w:p>
            <w:pPr>
              <w:spacing w:after="0"/>
              <w:rPr>
                <w:sz w:val="1"/>
                <w:szCs w:val="1"/>
                <w:color w:val="auto"/>
              </w:rPr>
            </w:pPr>
          </w:p>
        </w:tc>
      </w:tr>
      <w:tr>
        <w:trPr>
          <w:trHeight w:val="398"/>
        </w:trPr>
        <w:tc>
          <w:tcPr>
            <w:tcW w:w="546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5780" w:type="dxa"/>
            <w:vAlign w:val="bottom"/>
          </w:tcPr>
          <w:p>
            <w:pPr>
              <w:ind w:left="240"/>
              <w:spacing w:after="0"/>
              <w:rPr>
                <w:sz w:val="20"/>
                <w:szCs w:val="20"/>
                <w:color w:val="auto"/>
              </w:rPr>
            </w:pPr>
            <w:r>
              <w:rPr>
                <w:rFonts w:ascii="Arial" w:cs="Arial" w:eastAsia="Arial" w:hAnsi="Arial"/>
                <w:sz w:val="16"/>
                <w:szCs w:val="16"/>
                <w:color w:val="auto"/>
              </w:rPr>
              <w:t>Chief Executive Officer and Director</w:t>
            </w:r>
          </w:p>
        </w:tc>
        <w:tc>
          <w:tcPr>
            <w:tcW w:w="0" w:type="dxa"/>
            <w:vAlign w:val="bottom"/>
          </w:tcPr>
          <w:p>
            <w:pPr>
              <w:spacing w:after="0"/>
              <w:rPr>
                <w:sz w:val="1"/>
                <w:szCs w:val="1"/>
                <w:color w:val="auto"/>
              </w:rPr>
            </w:pPr>
          </w:p>
        </w:tc>
      </w:tr>
      <w:tr>
        <w:trPr>
          <w:trHeight w:val="28"/>
        </w:trPr>
        <w:tc>
          <w:tcPr>
            <w:tcW w:w="5460" w:type="dxa"/>
            <w:vAlign w:val="bottom"/>
            <w:tcBorders>
              <w:bottom w:val="single" w:sz="8" w:color="auto"/>
            </w:tcBorders>
          </w:tcPr>
          <w:p>
            <w:pPr>
              <w:spacing w:after="0"/>
              <w:rPr>
                <w:sz w:val="2"/>
                <w:szCs w:val="2"/>
                <w:color w:val="auto"/>
              </w:rPr>
            </w:pPr>
          </w:p>
        </w:tc>
        <w:tc>
          <w:tcPr>
            <w:tcW w:w="5780" w:type="dxa"/>
            <w:vAlign w:val="bottom"/>
            <w:vMerge w:val="restart"/>
          </w:tcPr>
          <w:p>
            <w:pPr>
              <w:ind w:left="240"/>
              <w:spacing w:after="0"/>
              <w:rPr>
                <w:sz w:val="20"/>
                <w:szCs w:val="20"/>
                <w:color w:val="auto"/>
              </w:rPr>
            </w:pPr>
            <w:r>
              <w:rPr>
                <w:rFonts w:ascii="Arial" w:cs="Arial" w:eastAsia="Arial" w:hAnsi="Arial"/>
                <w:sz w:val="16"/>
                <w:szCs w:val="16"/>
                <w:color w:val="auto"/>
              </w:rPr>
              <w:t>(Principal Executive Officer)</w:t>
            </w:r>
          </w:p>
        </w:tc>
        <w:tc>
          <w:tcPr>
            <w:tcW w:w="0" w:type="dxa"/>
            <w:vAlign w:val="bottom"/>
          </w:tcPr>
          <w:p>
            <w:pPr>
              <w:spacing w:after="0"/>
              <w:rPr>
                <w:sz w:val="1"/>
                <w:szCs w:val="1"/>
                <w:color w:val="auto"/>
              </w:rPr>
            </w:pPr>
          </w:p>
        </w:tc>
      </w:tr>
      <w:tr>
        <w:trPr>
          <w:trHeight w:val="208"/>
        </w:trPr>
        <w:tc>
          <w:tcPr>
            <w:tcW w:w="5460" w:type="dxa"/>
            <w:vAlign w:val="bottom"/>
          </w:tcPr>
          <w:p>
            <w:pPr>
              <w:jc w:val="center"/>
              <w:spacing w:after="0"/>
              <w:rPr>
                <w:sz w:val="20"/>
                <w:szCs w:val="20"/>
                <w:color w:val="auto"/>
              </w:rPr>
            </w:pPr>
            <w:r>
              <w:rPr>
                <w:rFonts w:ascii="Arial" w:cs="Arial" w:eastAsia="Arial" w:hAnsi="Arial"/>
                <w:sz w:val="16"/>
                <w:szCs w:val="16"/>
                <w:color w:val="auto"/>
              </w:rPr>
              <w:t>Olivier Le Peuch</w:t>
            </w:r>
          </w:p>
        </w:tc>
        <w:tc>
          <w:tcPr>
            <w:tcW w:w="5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6"/>
        </w:trPr>
        <w:tc>
          <w:tcPr>
            <w:tcW w:w="5460" w:type="dxa"/>
            <w:vAlign w:val="bottom"/>
          </w:tcPr>
          <w:p>
            <w:pPr>
              <w:jc w:val="center"/>
              <w:spacing w:after="0"/>
              <w:rPr>
                <w:sz w:val="20"/>
                <w:szCs w:val="20"/>
                <w:color w:val="auto"/>
              </w:rPr>
            </w:pPr>
            <w:r>
              <w:rPr>
                <w:rFonts w:ascii="Arial" w:cs="Arial" w:eastAsia="Arial" w:hAnsi="Arial"/>
                <w:sz w:val="16"/>
                <w:szCs w:val="16"/>
                <w:color w:val="auto"/>
              </w:rPr>
              <w:t>/s/ S</w:t>
            </w:r>
            <w:r>
              <w:rPr>
                <w:rFonts w:ascii="Arial" w:cs="Arial" w:eastAsia="Arial" w:hAnsi="Arial"/>
                <w:sz w:val="10"/>
                <w:szCs w:val="10"/>
                <w:color w:val="auto"/>
              </w:rPr>
              <w:t>tephane</w:t>
            </w:r>
            <w:r>
              <w:rPr>
                <w:rFonts w:ascii="Arial" w:cs="Arial" w:eastAsia="Arial" w:hAnsi="Arial"/>
                <w:sz w:val="16"/>
                <w:szCs w:val="16"/>
                <w:color w:val="auto"/>
              </w:rPr>
              <w:t xml:space="preserve"> B</w:t>
            </w:r>
            <w:r>
              <w:rPr>
                <w:rFonts w:ascii="Arial" w:cs="Arial" w:eastAsia="Arial" w:hAnsi="Arial"/>
                <w:sz w:val="10"/>
                <w:szCs w:val="10"/>
                <w:color w:val="auto"/>
              </w:rPr>
              <w:t>iguet</w:t>
            </w:r>
          </w:p>
        </w:tc>
        <w:tc>
          <w:tcPr>
            <w:tcW w:w="5780" w:type="dxa"/>
            <w:vAlign w:val="bottom"/>
          </w:tcPr>
          <w:p>
            <w:pPr>
              <w:ind w:left="240"/>
              <w:spacing w:after="0"/>
              <w:rPr>
                <w:sz w:val="20"/>
                <w:szCs w:val="20"/>
                <w:color w:val="auto"/>
              </w:rPr>
            </w:pPr>
            <w:r>
              <w:rPr>
                <w:rFonts w:ascii="Arial" w:cs="Arial" w:eastAsia="Arial" w:hAnsi="Arial"/>
                <w:sz w:val="16"/>
                <w:szCs w:val="16"/>
                <w:color w:val="auto"/>
              </w:rPr>
              <w:t>Executive Vice President and Chief Financial Officer</w:t>
            </w:r>
          </w:p>
        </w:tc>
        <w:tc>
          <w:tcPr>
            <w:tcW w:w="0" w:type="dxa"/>
            <w:vAlign w:val="bottom"/>
          </w:tcPr>
          <w:p>
            <w:pPr>
              <w:spacing w:after="0"/>
              <w:rPr>
                <w:sz w:val="1"/>
                <w:szCs w:val="1"/>
                <w:color w:val="auto"/>
              </w:rPr>
            </w:pPr>
          </w:p>
        </w:tc>
      </w:tr>
      <w:tr>
        <w:trPr>
          <w:trHeight w:val="28"/>
        </w:trPr>
        <w:tc>
          <w:tcPr>
            <w:tcW w:w="5460" w:type="dxa"/>
            <w:vAlign w:val="bottom"/>
            <w:tcBorders>
              <w:bottom w:val="single" w:sz="8" w:color="auto"/>
            </w:tcBorders>
          </w:tcPr>
          <w:p>
            <w:pPr>
              <w:spacing w:after="0"/>
              <w:rPr>
                <w:sz w:val="2"/>
                <w:szCs w:val="2"/>
                <w:color w:val="auto"/>
              </w:rPr>
            </w:pPr>
          </w:p>
        </w:tc>
        <w:tc>
          <w:tcPr>
            <w:tcW w:w="5780" w:type="dxa"/>
            <w:vAlign w:val="bottom"/>
            <w:vMerge w:val="restart"/>
          </w:tcPr>
          <w:p>
            <w:pPr>
              <w:ind w:left="240"/>
              <w:spacing w:after="0"/>
              <w:rPr>
                <w:sz w:val="20"/>
                <w:szCs w:val="20"/>
                <w:color w:val="auto"/>
              </w:rPr>
            </w:pPr>
            <w:r>
              <w:rPr>
                <w:rFonts w:ascii="Arial" w:cs="Arial" w:eastAsia="Arial" w:hAnsi="Arial"/>
                <w:sz w:val="16"/>
                <w:szCs w:val="16"/>
                <w:color w:val="auto"/>
              </w:rPr>
              <w:t>(Principal Financial Officer)</w:t>
            </w:r>
          </w:p>
        </w:tc>
        <w:tc>
          <w:tcPr>
            <w:tcW w:w="0" w:type="dxa"/>
            <w:vAlign w:val="bottom"/>
          </w:tcPr>
          <w:p>
            <w:pPr>
              <w:spacing w:after="0"/>
              <w:rPr>
                <w:sz w:val="1"/>
                <w:szCs w:val="1"/>
                <w:color w:val="auto"/>
              </w:rPr>
            </w:pPr>
          </w:p>
        </w:tc>
      </w:tr>
      <w:tr>
        <w:trPr>
          <w:trHeight w:val="208"/>
        </w:trPr>
        <w:tc>
          <w:tcPr>
            <w:tcW w:w="5460" w:type="dxa"/>
            <w:vAlign w:val="bottom"/>
          </w:tcPr>
          <w:p>
            <w:pPr>
              <w:jc w:val="center"/>
              <w:spacing w:after="0"/>
              <w:rPr>
                <w:sz w:val="20"/>
                <w:szCs w:val="20"/>
                <w:color w:val="auto"/>
              </w:rPr>
            </w:pPr>
            <w:r>
              <w:rPr>
                <w:rFonts w:ascii="Arial" w:cs="Arial" w:eastAsia="Arial" w:hAnsi="Arial"/>
                <w:sz w:val="16"/>
                <w:szCs w:val="16"/>
                <w:color w:val="auto"/>
              </w:rPr>
              <w:t>Stephane Biguet</w:t>
            </w:r>
          </w:p>
        </w:tc>
        <w:tc>
          <w:tcPr>
            <w:tcW w:w="5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6"/>
        </w:trPr>
        <w:tc>
          <w:tcPr>
            <w:tcW w:w="5460" w:type="dxa"/>
            <w:vAlign w:val="bottom"/>
          </w:tcPr>
          <w:p>
            <w:pPr>
              <w:jc w:val="center"/>
              <w:spacing w:after="0"/>
              <w:rPr>
                <w:sz w:val="20"/>
                <w:szCs w:val="20"/>
                <w:color w:val="auto"/>
              </w:rPr>
            </w:pPr>
            <w:r>
              <w:rPr>
                <w:rFonts w:ascii="Arial" w:cs="Arial" w:eastAsia="Arial" w:hAnsi="Arial"/>
                <w:sz w:val="16"/>
                <w:szCs w:val="16"/>
                <w:color w:val="auto"/>
              </w:rPr>
              <w:t>/s/ H</w:t>
            </w:r>
            <w:r>
              <w:rPr>
                <w:rFonts w:ascii="Arial" w:cs="Arial" w:eastAsia="Arial" w:hAnsi="Arial"/>
                <w:sz w:val="10"/>
                <w:szCs w:val="10"/>
                <w:color w:val="auto"/>
              </w:rPr>
              <w:t>oward</w:t>
            </w:r>
            <w:r>
              <w:rPr>
                <w:rFonts w:ascii="Arial" w:cs="Arial" w:eastAsia="Arial" w:hAnsi="Arial"/>
                <w:sz w:val="16"/>
                <w:szCs w:val="16"/>
                <w:color w:val="auto"/>
              </w:rPr>
              <w:t xml:space="preserve"> G</w:t>
            </w:r>
            <w:r>
              <w:rPr>
                <w:rFonts w:ascii="Arial" w:cs="Arial" w:eastAsia="Arial" w:hAnsi="Arial"/>
                <w:sz w:val="10"/>
                <w:szCs w:val="10"/>
                <w:color w:val="auto"/>
              </w:rPr>
              <w:t>uild</w:t>
            </w:r>
          </w:p>
        </w:tc>
        <w:tc>
          <w:tcPr>
            <w:tcW w:w="5780" w:type="dxa"/>
            <w:vAlign w:val="bottom"/>
          </w:tcPr>
          <w:p>
            <w:pPr>
              <w:ind w:left="240"/>
              <w:spacing w:after="0"/>
              <w:rPr>
                <w:sz w:val="20"/>
                <w:szCs w:val="20"/>
                <w:color w:val="auto"/>
              </w:rPr>
            </w:pPr>
            <w:r>
              <w:rPr>
                <w:rFonts w:ascii="Arial" w:cs="Arial" w:eastAsia="Arial" w:hAnsi="Arial"/>
                <w:sz w:val="16"/>
                <w:szCs w:val="16"/>
                <w:color w:val="auto"/>
              </w:rPr>
              <w:t>Chief Accounting Officer</w:t>
            </w:r>
          </w:p>
        </w:tc>
        <w:tc>
          <w:tcPr>
            <w:tcW w:w="0" w:type="dxa"/>
            <w:vAlign w:val="bottom"/>
          </w:tcPr>
          <w:p>
            <w:pPr>
              <w:spacing w:after="0"/>
              <w:rPr>
                <w:sz w:val="1"/>
                <w:szCs w:val="1"/>
                <w:color w:val="auto"/>
              </w:rPr>
            </w:pPr>
          </w:p>
        </w:tc>
      </w:tr>
      <w:tr>
        <w:trPr>
          <w:trHeight w:val="28"/>
        </w:trPr>
        <w:tc>
          <w:tcPr>
            <w:tcW w:w="5460" w:type="dxa"/>
            <w:vAlign w:val="bottom"/>
            <w:tcBorders>
              <w:bottom w:val="single" w:sz="8" w:color="auto"/>
            </w:tcBorders>
          </w:tcPr>
          <w:p>
            <w:pPr>
              <w:spacing w:after="0"/>
              <w:rPr>
                <w:sz w:val="2"/>
                <w:szCs w:val="2"/>
                <w:color w:val="auto"/>
              </w:rPr>
            </w:pPr>
          </w:p>
        </w:tc>
        <w:tc>
          <w:tcPr>
            <w:tcW w:w="5780" w:type="dxa"/>
            <w:vAlign w:val="bottom"/>
            <w:vMerge w:val="restart"/>
          </w:tcPr>
          <w:p>
            <w:pPr>
              <w:ind w:left="240"/>
              <w:spacing w:after="0"/>
              <w:rPr>
                <w:sz w:val="20"/>
                <w:szCs w:val="20"/>
                <w:color w:val="auto"/>
              </w:rPr>
            </w:pPr>
            <w:r>
              <w:rPr>
                <w:rFonts w:ascii="Arial" w:cs="Arial" w:eastAsia="Arial" w:hAnsi="Arial"/>
                <w:sz w:val="16"/>
                <w:szCs w:val="16"/>
                <w:color w:val="auto"/>
              </w:rPr>
              <w:t>(Principal Accounting Officer)</w:t>
            </w:r>
          </w:p>
        </w:tc>
        <w:tc>
          <w:tcPr>
            <w:tcW w:w="0" w:type="dxa"/>
            <w:vAlign w:val="bottom"/>
          </w:tcPr>
          <w:p>
            <w:pPr>
              <w:spacing w:after="0"/>
              <w:rPr>
                <w:sz w:val="1"/>
                <w:szCs w:val="1"/>
                <w:color w:val="auto"/>
              </w:rPr>
            </w:pPr>
          </w:p>
        </w:tc>
      </w:tr>
      <w:tr>
        <w:trPr>
          <w:trHeight w:val="208"/>
        </w:trPr>
        <w:tc>
          <w:tcPr>
            <w:tcW w:w="5460" w:type="dxa"/>
            <w:vAlign w:val="bottom"/>
          </w:tcPr>
          <w:p>
            <w:pPr>
              <w:jc w:val="center"/>
              <w:spacing w:after="0"/>
              <w:rPr>
                <w:sz w:val="20"/>
                <w:szCs w:val="20"/>
                <w:color w:val="auto"/>
              </w:rPr>
            </w:pPr>
            <w:r>
              <w:rPr>
                <w:rFonts w:ascii="Arial" w:cs="Arial" w:eastAsia="Arial" w:hAnsi="Arial"/>
                <w:sz w:val="16"/>
                <w:szCs w:val="16"/>
                <w:color w:val="auto"/>
              </w:rPr>
              <w:t>Howard Guild</w:t>
            </w:r>
          </w:p>
        </w:tc>
        <w:tc>
          <w:tcPr>
            <w:tcW w:w="5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5780" w:type="dxa"/>
            <w:vAlign w:val="bottom"/>
          </w:tcPr>
          <w:p>
            <w:pPr>
              <w:ind w:left="24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9"/>
        </w:trPr>
        <w:tc>
          <w:tcPr>
            <w:tcW w:w="5460" w:type="dxa"/>
            <w:vAlign w:val="bottom"/>
          </w:tcPr>
          <w:p>
            <w:pPr>
              <w:jc w:val="center"/>
              <w:spacing w:after="0"/>
              <w:rPr>
                <w:sz w:val="20"/>
                <w:szCs w:val="20"/>
                <w:color w:val="auto"/>
              </w:rPr>
            </w:pPr>
            <w:r>
              <w:rPr>
                <w:rFonts w:ascii="Arial" w:cs="Arial" w:eastAsia="Arial" w:hAnsi="Arial"/>
                <w:sz w:val="16"/>
                <w:szCs w:val="16"/>
                <w:color w:val="auto"/>
              </w:rPr>
              <w:t>Peter Coleman</w:t>
            </w:r>
          </w:p>
        </w:tc>
        <w:tc>
          <w:tcPr>
            <w:tcW w:w="5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5780" w:type="dxa"/>
            <w:vAlign w:val="bottom"/>
          </w:tcPr>
          <w:p>
            <w:pPr>
              <w:ind w:left="24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9"/>
        </w:trPr>
        <w:tc>
          <w:tcPr>
            <w:tcW w:w="5460" w:type="dxa"/>
            <w:vAlign w:val="bottom"/>
          </w:tcPr>
          <w:p>
            <w:pPr>
              <w:jc w:val="center"/>
              <w:spacing w:after="0"/>
              <w:rPr>
                <w:sz w:val="20"/>
                <w:szCs w:val="20"/>
                <w:color w:val="auto"/>
              </w:rPr>
            </w:pPr>
            <w:r>
              <w:rPr>
                <w:rFonts w:ascii="Arial" w:cs="Arial" w:eastAsia="Arial" w:hAnsi="Arial"/>
                <w:sz w:val="16"/>
                <w:szCs w:val="16"/>
                <w:color w:val="auto"/>
              </w:rPr>
              <w:t>Patrick de La Chevardière</w:t>
            </w:r>
          </w:p>
        </w:tc>
        <w:tc>
          <w:tcPr>
            <w:tcW w:w="5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5780" w:type="dxa"/>
            <w:vAlign w:val="bottom"/>
          </w:tcPr>
          <w:p>
            <w:pPr>
              <w:ind w:left="24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9"/>
        </w:trPr>
        <w:tc>
          <w:tcPr>
            <w:tcW w:w="5460" w:type="dxa"/>
            <w:vAlign w:val="bottom"/>
          </w:tcPr>
          <w:p>
            <w:pPr>
              <w:jc w:val="center"/>
              <w:spacing w:after="0"/>
              <w:rPr>
                <w:sz w:val="20"/>
                <w:szCs w:val="20"/>
                <w:color w:val="auto"/>
              </w:rPr>
            </w:pPr>
            <w:r>
              <w:rPr>
                <w:rFonts w:ascii="Arial" w:cs="Arial" w:eastAsia="Arial" w:hAnsi="Arial"/>
                <w:sz w:val="16"/>
                <w:szCs w:val="16"/>
                <w:color w:val="auto"/>
              </w:rPr>
              <w:t>Miguel M. Galuccio</w:t>
            </w:r>
          </w:p>
        </w:tc>
        <w:tc>
          <w:tcPr>
            <w:tcW w:w="5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5780" w:type="dxa"/>
            <w:vAlign w:val="bottom"/>
          </w:tcPr>
          <w:p>
            <w:pPr>
              <w:ind w:left="240"/>
              <w:spacing w:after="0"/>
              <w:rPr>
                <w:sz w:val="20"/>
                <w:szCs w:val="20"/>
                <w:color w:val="auto"/>
              </w:rPr>
            </w:pPr>
            <w:r>
              <w:rPr>
                <w:rFonts w:ascii="Arial" w:cs="Arial" w:eastAsia="Arial" w:hAnsi="Arial"/>
                <w:sz w:val="16"/>
                <w:szCs w:val="16"/>
                <w:color w:val="auto"/>
              </w:rPr>
              <w:t>Chairman of the Board</w:t>
            </w:r>
          </w:p>
        </w:tc>
        <w:tc>
          <w:tcPr>
            <w:tcW w:w="0" w:type="dxa"/>
            <w:vAlign w:val="bottom"/>
          </w:tcPr>
          <w:p>
            <w:pPr>
              <w:spacing w:after="0"/>
              <w:rPr>
                <w:sz w:val="1"/>
                <w:szCs w:val="1"/>
                <w:color w:val="auto"/>
              </w:rPr>
            </w:pPr>
          </w:p>
        </w:tc>
      </w:tr>
      <w:tr>
        <w:trPr>
          <w:trHeight w:val="209"/>
        </w:trPr>
        <w:tc>
          <w:tcPr>
            <w:tcW w:w="5460" w:type="dxa"/>
            <w:vAlign w:val="bottom"/>
          </w:tcPr>
          <w:p>
            <w:pPr>
              <w:jc w:val="center"/>
              <w:spacing w:after="0"/>
              <w:rPr>
                <w:sz w:val="20"/>
                <w:szCs w:val="20"/>
                <w:color w:val="auto"/>
              </w:rPr>
            </w:pPr>
            <w:r>
              <w:rPr>
                <w:rFonts w:ascii="Arial" w:cs="Arial" w:eastAsia="Arial" w:hAnsi="Arial"/>
                <w:sz w:val="16"/>
                <w:szCs w:val="16"/>
                <w:color w:val="auto"/>
              </w:rPr>
              <w:t>James Hackett</w:t>
            </w:r>
          </w:p>
        </w:tc>
        <w:tc>
          <w:tcPr>
            <w:tcW w:w="5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5780" w:type="dxa"/>
            <w:vAlign w:val="bottom"/>
          </w:tcPr>
          <w:p>
            <w:pPr>
              <w:ind w:left="24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9"/>
        </w:trPr>
        <w:tc>
          <w:tcPr>
            <w:tcW w:w="5460" w:type="dxa"/>
            <w:vAlign w:val="bottom"/>
          </w:tcPr>
          <w:p>
            <w:pPr>
              <w:jc w:val="center"/>
              <w:spacing w:after="0"/>
              <w:rPr>
                <w:sz w:val="20"/>
                <w:szCs w:val="20"/>
                <w:color w:val="auto"/>
              </w:rPr>
            </w:pPr>
            <w:r>
              <w:rPr>
                <w:rFonts w:ascii="Arial" w:cs="Arial" w:eastAsia="Arial" w:hAnsi="Arial"/>
                <w:sz w:val="16"/>
                <w:szCs w:val="16"/>
                <w:color w:val="auto"/>
              </w:rPr>
              <w:t>Samuel Leupold</w:t>
            </w:r>
          </w:p>
        </w:tc>
        <w:tc>
          <w:tcPr>
            <w:tcW w:w="5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5780" w:type="dxa"/>
            <w:vAlign w:val="bottom"/>
          </w:tcPr>
          <w:p>
            <w:pPr>
              <w:ind w:left="24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9"/>
        </w:trPr>
        <w:tc>
          <w:tcPr>
            <w:tcW w:w="5460" w:type="dxa"/>
            <w:vAlign w:val="bottom"/>
          </w:tcPr>
          <w:p>
            <w:pPr>
              <w:jc w:val="center"/>
              <w:spacing w:after="0"/>
              <w:rPr>
                <w:sz w:val="20"/>
                <w:szCs w:val="20"/>
                <w:color w:val="auto"/>
              </w:rPr>
            </w:pPr>
            <w:r>
              <w:rPr>
                <w:rFonts w:ascii="Arial" w:cs="Arial" w:eastAsia="Arial" w:hAnsi="Arial"/>
                <w:sz w:val="16"/>
                <w:szCs w:val="16"/>
                <w:color w:val="auto"/>
              </w:rPr>
              <w:t>Tatiana A. Mitrova</w:t>
            </w:r>
          </w:p>
        </w:tc>
        <w:tc>
          <w:tcPr>
            <w:tcW w:w="5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5780" w:type="dxa"/>
            <w:vAlign w:val="bottom"/>
          </w:tcPr>
          <w:p>
            <w:pPr>
              <w:ind w:left="24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9"/>
        </w:trPr>
        <w:tc>
          <w:tcPr>
            <w:tcW w:w="5460" w:type="dxa"/>
            <w:vAlign w:val="bottom"/>
          </w:tcPr>
          <w:p>
            <w:pPr>
              <w:jc w:val="center"/>
              <w:spacing w:after="0"/>
              <w:rPr>
                <w:sz w:val="20"/>
                <w:szCs w:val="20"/>
                <w:color w:val="auto"/>
              </w:rPr>
            </w:pPr>
            <w:r>
              <w:rPr>
                <w:rFonts w:ascii="Arial" w:cs="Arial" w:eastAsia="Arial" w:hAnsi="Arial"/>
                <w:sz w:val="16"/>
                <w:szCs w:val="16"/>
                <w:color w:val="auto"/>
              </w:rPr>
              <w:t>Maria Moræus Hanssen</w:t>
            </w:r>
          </w:p>
        </w:tc>
        <w:tc>
          <w:tcPr>
            <w:tcW w:w="5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5780" w:type="dxa"/>
            <w:vAlign w:val="bottom"/>
          </w:tcPr>
          <w:p>
            <w:pPr>
              <w:ind w:left="24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9"/>
        </w:trPr>
        <w:tc>
          <w:tcPr>
            <w:tcW w:w="5460" w:type="dxa"/>
            <w:vAlign w:val="bottom"/>
          </w:tcPr>
          <w:p>
            <w:pPr>
              <w:jc w:val="center"/>
              <w:spacing w:after="0"/>
              <w:rPr>
                <w:sz w:val="20"/>
                <w:szCs w:val="20"/>
                <w:color w:val="auto"/>
              </w:rPr>
            </w:pPr>
            <w:r>
              <w:rPr>
                <w:rFonts w:ascii="Arial" w:cs="Arial" w:eastAsia="Arial" w:hAnsi="Arial"/>
                <w:sz w:val="16"/>
                <w:szCs w:val="16"/>
                <w:color w:val="auto"/>
              </w:rPr>
              <w:t>Vanitha Narayanan</w:t>
            </w:r>
          </w:p>
        </w:tc>
        <w:tc>
          <w:tcPr>
            <w:tcW w:w="5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5780" w:type="dxa"/>
            <w:vAlign w:val="bottom"/>
          </w:tcPr>
          <w:p>
            <w:pPr>
              <w:ind w:left="24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9"/>
        </w:trPr>
        <w:tc>
          <w:tcPr>
            <w:tcW w:w="5460" w:type="dxa"/>
            <w:vAlign w:val="bottom"/>
          </w:tcPr>
          <w:p>
            <w:pPr>
              <w:jc w:val="center"/>
              <w:spacing w:after="0"/>
              <w:rPr>
                <w:sz w:val="20"/>
                <w:szCs w:val="20"/>
                <w:color w:val="auto"/>
              </w:rPr>
            </w:pPr>
            <w:r>
              <w:rPr>
                <w:rFonts w:ascii="Arial" w:cs="Arial" w:eastAsia="Arial" w:hAnsi="Arial"/>
                <w:sz w:val="16"/>
                <w:szCs w:val="16"/>
                <w:color w:val="auto"/>
                <w:w w:val="99"/>
              </w:rPr>
              <w:t>Jeff W. Sheets</w:t>
            </w:r>
          </w:p>
        </w:tc>
        <w:tc>
          <w:tcPr>
            <w:tcW w:w="5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5780" w:type="dxa"/>
            <w:vAlign w:val="bottom"/>
          </w:tcPr>
          <w:p>
            <w:pPr>
              <w:ind w:left="24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9"/>
        </w:trPr>
        <w:tc>
          <w:tcPr>
            <w:tcW w:w="5460" w:type="dxa"/>
            <w:vAlign w:val="bottom"/>
          </w:tcPr>
          <w:p>
            <w:pPr>
              <w:jc w:val="center"/>
              <w:spacing w:after="0"/>
              <w:rPr>
                <w:sz w:val="20"/>
                <w:szCs w:val="20"/>
                <w:color w:val="auto"/>
              </w:rPr>
            </w:pPr>
            <w:r>
              <w:rPr>
                <w:rFonts w:ascii="Arial" w:cs="Arial" w:eastAsia="Arial" w:hAnsi="Arial"/>
                <w:sz w:val="16"/>
                <w:szCs w:val="16"/>
                <w:color w:val="auto"/>
              </w:rPr>
              <w:t>Ulrich Spiesshofer</w:t>
            </w:r>
          </w:p>
        </w:tc>
        <w:tc>
          <w:tcPr>
            <w:tcW w:w="5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D</w:t>
            </w:r>
            <w:r>
              <w:rPr>
                <w:rFonts w:ascii="Arial" w:cs="Arial" w:eastAsia="Arial" w:hAnsi="Arial"/>
                <w:sz w:val="10"/>
                <w:szCs w:val="10"/>
                <w:color w:val="auto"/>
              </w:rPr>
              <w:t>ianne</w:t>
            </w:r>
            <w:r>
              <w:rPr>
                <w:rFonts w:ascii="Arial" w:cs="Arial" w:eastAsia="Arial" w:hAnsi="Arial"/>
                <w:sz w:val="16"/>
                <w:szCs w:val="16"/>
                <w:color w:val="auto"/>
              </w:rPr>
              <w:t xml:space="preserve"> B. R</w:t>
            </w:r>
            <w:r>
              <w:rPr>
                <w:rFonts w:ascii="Arial" w:cs="Arial" w:eastAsia="Arial" w:hAnsi="Arial"/>
                <w:sz w:val="10"/>
                <w:szCs w:val="10"/>
                <w:color w:val="auto"/>
              </w:rPr>
              <w:t>alston</w:t>
            </w:r>
          </w:p>
        </w:tc>
        <w:tc>
          <w:tcPr>
            <w:tcW w:w="5780" w:type="dxa"/>
            <w:vAlign w:val="bottom"/>
          </w:tcPr>
          <w:p>
            <w:pPr>
              <w:ind w:left="240"/>
              <w:spacing w:after="0"/>
              <w:rPr>
                <w:sz w:val="20"/>
                <w:szCs w:val="20"/>
                <w:color w:val="auto"/>
              </w:rPr>
            </w:pPr>
            <w:r>
              <w:rPr>
                <w:rFonts w:ascii="Arial" w:cs="Arial" w:eastAsia="Arial" w:hAnsi="Arial"/>
                <w:sz w:val="16"/>
                <w:szCs w:val="16"/>
                <w:color w:val="auto"/>
              </w:rPr>
              <w:t>January 24, 2024</w:t>
            </w:r>
          </w:p>
        </w:tc>
        <w:tc>
          <w:tcPr>
            <w:tcW w:w="0" w:type="dxa"/>
            <w:vAlign w:val="bottom"/>
          </w:tcPr>
          <w:p>
            <w:pPr>
              <w:spacing w:after="0"/>
              <w:rPr>
                <w:sz w:val="1"/>
                <w:szCs w:val="1"/>
                <w:color w:val="auto"/>
              </w:rPr>
            </w:pPr>
          </w:p>
        </w:tc>
      </w:tr>
      <w:tr>
        <w:trPr>
          <w:trHeight w:val="209"/>
        </w:trPr>
        <w:tc>
          <w:tcPr>
            <w:tcW w:w="5460" w:type="dxa"/>
            <w:vAlign w:val="bottom"/>
          </w:tcPr>
          <w:p>
            <w:pPr>
              <w:jc w:val="center"/>
              <w:spacing w:after="0"/>
              <w:rPr>
                <w:sz w:val="20"/>
                <w:szCs w:val="20"/>
                <w:color w:val="auto"/>
              </w:rPr>
            </w:pPr>
            <w:r>
              <w:rPr>
                <w:rFonts w:ascii="Arial" w:cs="Arial" w:eastAsia="Arial" w:hAnsi="Arial"/>
                <w:sz w:val="16"/>
                <w:szCs w:val="16"/>
                <w:color w:val="auto"/>
              </w:rPr>
              <w:t>*By Dianne B. Ralston, Attorney-in-Fact</w:t>
            </w:r>
          </w:p>
        </w:tc>
        <w:tc>
          <w:tcPr>
            <w:tcW w:w="5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3"/>
        </w:trPr>
        <w:tc>
          <w:tcPr>
            <w:tcW w:w="5460" w:type="dxa"/>
            <w:vAlign w:val="bottom"/>
          </w:tcPr>
          <w:p>
            <w:pPr>
              <w:spacing w:after="0"/>
              <w:rPr>
                <w:sz w:val="24"/>
                <w:szCs w:val="24"/>
                <w:color w:val="auto"/>
              </w:rPr>
            </w:pPr>
          </w:p>
        </w:tc>
        <w:tc>
          <w:tcPr>
            <w:tcW w:w="5780" w:type="dxa"/>
            <w:vAlign w:val="bottom"/>
          </w:tcPr>
          <w:p>
            <w:pPr>
              <w:ind w:left="8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644"/>
        </w:trPr>
        <w:tc>
          <w:tcPr>
            <w:tcW w:w="546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5"/>
          <w:szCs w:val="25"/>
          <w:b w:val="1"/>
          <w:bCs w:val="1"/>
          <w:color w:val="auto"/>
        </w:rPr>
        <w:t>SCHLUMBERGER TECHNOLOGY CORPORATION</w:t>
      </w:r>
    </w:p>
    <w:p>
      <w:pPr>
        <w:spacing w:after="0" w:line="4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5"/>
          <w:szCs w:val="25"/>
          <w:b w:val="1"/>
          <w:bCs w:val="1"/>
          <w:color w:val="auto"/>
        </w:rPr>
        <w:t>SUPPLEMENTARY BENEFIT PLAN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Amended and Restated Effective January 1, 2018, and conformed to include amendments through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546735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780" w:top="108"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22"/>
          <w:szCs w:val="22"/>
          <w:b w:val="1"/>
          <w:bCs w:val="1"/>
          <w:color w:val="auto"/>
        </w:rPr>
        <w:t>SCHLUMBERGER TECHNOLOGY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SUPPLEMENTARY BENEFIT PLAN</w:t>
      </w:r>
    </w:p>
    <w:p>
      <w:pPr>
        <w:jc w:val="center"/>
        <w:spacing w:after="0"/>
        <w:rPr>
          <w:sz w:val="20"/>
          <w:szCs w:val="20"/>
          <w:color w:val="auto"/>
        </w:rPr>
      </w:pPr>
      <w:r>
        <w:rPr>
          <w:rFonts w:ascii="Times New Roman" w:cs="Times New Roman" w:eastAsia="Times New Roman" w:hAnsi="Times New Roman"/>
          <w:sz w:val="22"/>
          <w:szCs w:val="22"/>
          <w:color w:val="auto"/>
        </w:rPr>
        <w:t>(As Amended and Restated Effective January 1, 2018, and conformed to include amendments through January 1, 2023)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20" w:type="dxa"/>
            <w:vAlign w:val="bottom"/>
          </w:tcPr>
          <w:p>
            <w:pPr>
              <w:spacing w:after="0"/>
              <w:rPr>
                <w:sz w:val="22"/>
                <w:szCs w:val="22"/>
                <w:color w:val="auto"/>
              </w:rPr>
            </w:pPr>
          </w:p>
        </w:tc>
        <w:tc>
          <w:tcPr>
            <w:tcW w:w="9440" w:type="dxa"/>
            <w:vAlign w:val="bottom"/>
          </w:tcPr>
          <w:p>
            <w:pPr>
              <w:ind w:left="4460"/>
              <w:spacing w:after="0"/>
              <w:rPr>
                <w:sz w:val="20"/>
                <w:szCs w:val="20"/>
                <w:color w:val="auto"/>
              </w:rPr>
            </w:pPr>
            <w:r>
              <w:rPr>
                <w:rFonts w:ascii="Times New Roman" w:cs="Times New Roman" w:eastAsia="Times New Roman" w:hAnsi="Times New Roman"/>
                <w:sz w:val="22"/>
                <w:szCs w:val="22"/>
                <w:color w:val="auto"/>
              </w:rPr>
              <w:t>INDEX</w:t>
            </w:r>
          </w:p>
        </w:tc>
        <w:tc>
          <w:tcPr>
            <w:tcW w:w="980" w:type="dxa"/>
            <w:vAlign w:val="bottom"/>
          </w:tcPr>
          <w:p>
            <w:pPr>
              <w:spacing w:after="0"/>
              <w:rPr>
                <w:sz w:val="22"/>
                <w:szCs w:val="22"/>
                <w:color w:val="auto"/>
              </w:rPr>
            </w:pPr>
          </w:p>
        </w:tc>
      </w:tr>
      <w:tr>
        <w:trPr>
          <w:trHeight w:val="270"/>
        </w:trPr>
        <w:tc>
          <w:tcPr>
            <w:tcW w:w="102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ARTICLE I DEFINITIONS AND CONSTRUCTION</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1.1</w:t>
            </w:r>
          </w:p>
        </w:tc>
        <w:tc>
          <w:tcPr>
            <w:tcW w:w="9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Definitions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1.2</w:t>
            </w:r>
          </w:p>
        </w:tc>
        <w:tc>
          <w:tcPr>
            <w:tcW w:w="9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Gender and Number</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1.3</w:t>
            </w:r>
          </w:p>
        </w:tc>
        <w:tc>
          <w:tcPr>
            <w:tcW w:w="9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Severability</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1.4</w:t>
            </w:r>
          </w:p>
        </w:tc>
        <w:tc>
          <w:tcPr>
            <w:tcW w:w="9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Applicable Law</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1.5</w:t>
            </w:r>
          </w:p>
        </w:tc>
        <w:tc>
          <w:tcPr>
            <w:tcW w:w="9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Plan Not an Employment Contract</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1.6</w:t>
            </w:r>
          </w:p>
        </w:tc>
        <w:tc>
          <w:tcPr>
            <w:tcW w:w="9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Source of Payment</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1.7</w:t>
            </w:r>
          </w:p>
        </w:tc>
        <w:tc>
          <w:tcPr>
            <w:tcW w:w="9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Tax Withholding</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102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ARTICLE II PARTICIPATION</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102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ARTICLE III PROGRAM A: RESTORATION OF BENEFITS REDUCED BY CODE SECTION 401(a)(17)</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3.1</w:t>
            </w:r>
          </w:p>
        </w:tc>
        <w:tc>
          <w:tcPr>
            <w:tcW w:w="9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Purpose</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3.2</w:t>
            </w:r>
          </w:p>
        </w:tc>
        <w:tc>
          <w:tcPr>
            <w:tcW w:w="9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Eligibility</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70"/>
        </w:trPr>
        <w:tc>
          <w:tcPr>
            <w:tcW w:w="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3.3</w:t>
            </w:r>
          </w:p>
        </w:tc>
        <w:tc>
          <w:tcPr>
            <w:tcW w:w="9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Calculation of Restoration Benefit</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70"/>
        </w:trPr>
        <w:tc>
          <w:tcPr>
            <w:tcW w:w="102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ARTICLE IV PROGRAM B: RESTORATION OF BENEFITS REDUCED BY CODE SECTION 415</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70"/>
        </w:trPr>
        <w:tc>
          <w:tcPr>
            <w:tcW w:w="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4.1</w:t>
            </w:r>
          </w:p>
        </w:tc>
        <w:tc>
          <w:tcPr>
            <w:tcW w:w="9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Purpose</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70"/>
        </w:trPr>
        <w:tc>
          <w:tcPr>
            <w:tcW w:w="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4.2</w:t>
            </w:r>
          </w:p>
        </w:tc>
        <w:tc>
          <w:tcPr>
            <w:tcW w:w="9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Eligibility</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70"/>
        </w:trPr>
        <w:tc>
          <w:tcPr>
            <w:tcW w:w="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4.3</w:t>
            </w:r>
          </w:p>
        </w:tc>
        <w:tc>
          <w:tcPr>
            <w:tcW w:w="9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Calculation of Restoration Benefit</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70"/>
        </w:trPr>
        <w:tc>
          <w:tcPr>
            <w:tcW w:w="102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ARTICLE V VESTING AND FORM OF PAYMENT</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5.1</w:t>
            </w:r>
          </w:p>
        </w:tc>
        <w:tc>
          <w:tcPr>
            <w:tcW w:w="9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Vesting</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5.2</w:t>
            </w:r>
          </w:p>
        </w:tc>
        <w:tc>
          <w:tcPr>
            <w:tcW w:w="9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Defined Contribution Plan Benefits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5.3</w:t>
            </w:r>
          </w:p>
        </w:tc>
        <w:tc>
          <w:tcPr>
            <w:tcW w:w="9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Defined Benefit Plan Benefits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5.4</w:t>
            </w:r>
          </w:p>
        </w:tc>
        <w:tc>
          <w:tcPr>
            <w:tcW w:w="9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Non-Duplication of Benefits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5.5</w:t>
            </w:r>
          </w:p>
        </w:tc>
        <w:tc>
          <w:tcPr>
            <w:tcW w:w="9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SL Plan Benefits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102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ARTICLE VI ADMINISTRATION</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6.1</w:t>
            </w:r>
          </w:p>
        </w:tc>
        <w:tc>
          <w:tcPr>
            <w:tcW w:w="9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Administration</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6.2</w:t>
            </w:r>
          </w:p>
        </w:tc>
        <w:tc>
          <w:tcPr>
            <w:tcW w:w="9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Expenses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6.3</w:t>
            </w:r>
          </w:p>
        </w:tc>
        <w:tc>
          <w:tcPr>
            <w:tcW w:w="9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Indemnification</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6.4</w:t>
            </w:r>
          </w:p>
        </w:tc>
        <w:tc>
          <w:tcPr>
            <w:tcW w:w="9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409A Compliance</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6.5</w:t>
            </w:r>
          </w:p>
        </w:tc>
        <w:tc>
          <w:tcPr>
            <w:tcW w:w="9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Specified Employees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70"/>
        </w:trPr>
        <w:tc>
          <w:tcPr>
            <w:tcW w:w="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6.6</w:t>
            </w:r>
          </w:p>
        </w:tc>
        <w:tc>
          <w:tcPr>
            <w:tcW w:w="9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Non-Alienation of Benefits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70"/>
        </w:trPr>
        <w:tc>
          <w:tcPr>
            <w:tcW w:w="102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ARTICLE VII MERGER, AMENDMENT AND TERMINATION</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70"/>
        </w:trPr>
        <w:tc>
          <w:tcPr>
            <w:tcW w:w="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7.1</w:t>
            </w:r>
          </w:p>
        </w:tc>
        <w:tc>
          <w:tcPr>
            <w:tcW w:w="9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Merger, Consolidation or Acquisition</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70"/>
        </w:trPr>
        <w:tc>
          <w:tcPr>
            <w:tcW w:w="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7.2</w:t>
            </w:r>
          </w:p>
        </w:tc>
        <w:tc>
          <w:tcPr>
            <w:tcW w:w="9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Amendment and Termination</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82"/>
        </w:trPr>
        <w:tc>
          <w:tcPr>
            <w:tcW w:w="8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7.3</w:t>
            </w:r>
          </w:p>
        </w:tc>
        <w:tc>
          <w:tcPr>
            <w:tcW w:w="9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Participating Subsidiaries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1021"/>
        </w:trPr>
        <w:tc>
          <w:tcPr>
            <w:tcW w:w="820" w:type="dxa"/>
            <w:vAlign w:val="bottom"/>
            <w:tcBorders>
              <w:bottom w:val="single" w:sz="8" w:color="9A9A9A"/>
            </w:tcBorders>
          </w:tcPr>
          <w:p>
            <w:pPr>
              <w:spacing w:after="0"/>
              <w:rPr>
                <w:sz w:val="24"/>
                <w:szCs w:val="24"/>
                <w:color w:val="auto"/>
              </w:rPr>
            </w:pPr>
          </w:p>
        </w:tc>
        <w:tc>
          <w:tcPr>
            <w:tcW w:w="94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22"/>
          <w:szCs w:val="22"/>
          <w:b w:val="1"/>
          <w:bCs w:val="1"/>
          <w:color w:val="auto"/>
        </w:rPr>
        <w:t>SCHLUMBERGER TECHNOLOGY CORPORATION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SUPPLEMENTARY BENEFIT PLAN</w:t>
      </w:r>
    </w:p>
    <w:p>
      <w:pPr>
        <w:spacing w:after="0" w:line="182" w:lineRule="exact"/>
        <w:rPr>
          <w:sz w:val="20"/>
          <w:szCs w:val="20"/>
          <w:color w:val="auto"/>
        </w:rPr>
      </w:pPr>
    </w:p>
    <w:p>
      <w:pPr>
        <w:jc w:val="center"/>
        <w:ind w:left="340" w:right="440"/>
        <w:spacing w:after="0" w:line="344" w:lineRule="auto"/>
        <w:rPr>
          <w:sz w:val="20"/>
          <w:szCs w:val="20"/>
          <w:color w:val="auto"/>
        </w:rPr>
      </w:pPr>
      <w:r>
        <w:rPr>
          <w:rFonts w:ascii="Times New Roman" w:cs="Times New Roman" w:eastAsia="Times New Roman" w:hAnsi="Times New Roman"/>
          <w:sz w:val="22"/>
          <w:szCs w:val="22"/>
          <w:color w:val="auto"/>
        </w:rPr>
        <w:t xml:space="preserve">(As Amended and Restated Effective January 1, 2018, and conformed to include amendments through January 1, 2023) </w:t>
      </w:r>
      <w:r>
        <w:rPr>
          <w:rFonts w:ascii="Times New Roman" w:cs="Times New Roman" w:eastAsia="Times New Roman" w:hAnsi="Times New Roman"/>
          <w:sz w:val="22"/>
          <w:szCs w:val="22"/>
          <w:b w:val="1"/>
          <w:bCs w:val="1"/>
          <w:color w:val="auto"/>
        </w:rPr>
        <w:t>PREAMBLE</w:t>
      </w:r>
    </w:p>
    <w:p>
      <w:pPr>
        <w:spacing w:after="0" w:line="1" w:lineRule="exact"/>
        <w:rPr>
          <w:sz w:val="20"/>
          <w:szCs w:val="20"/>
          <w:color w:val="auto"/>
        </w:rPr>
      </w:pPr>
    </w:p>
    <w:p>
      <w:pPr>
        <w:jc w:val="both"/>
        <w:ind w:firstLine="1497"/>
        <w:spacing w:after="0" w:line="231" w:lineRule="auto"/>
        <w:rPr>
          <w:sz w:val="20"/>
          <w:szCs w:val="20"/>
          <w:color w:val="auto"/>
        </w:rPr>
      </w:pPr>
      <w:r>
        <w:rPr>
          <w:rFonts w:ascii="Times New Roman" w:cs="Times New Roman" w:eastAsia="Times New Roman" w:hAnsi="Times New Roman"/>
          <w:sz w:val="22"/>
          <w:szCs w:val="22"/>
          <w:color w:val="auto"/>
        </w:rPr>
        <w:t>On December 31, 1994, Schlumberger Technology Corporation, a Texas corporation (the “Company”), and its Subsidiaries were employers participating in an unfunded deferred compensation plan known as the Schlumberger Limited Supplementary Benefit Plan, as amended and restated effective January 1, 1990 and thereafter amended (the “SL Plan”). The purpose of the SL Plan is to provide to eligible key employees of Schlumberger Limited and other employers thereunder those benefits lost as a result of the application of the Code Section 401(a)(17) Limitations and the Code Section 415 Limitations to certain of the tax-qualified defined benefit and defined contribution plans maintained by Schlumberger Limited and those other employers. Effective as of January 1, 1995, the Board of Directors of the Company elected to withdraw the Company and its Subsidiaries as employers under the SL Plan and to establish the Schlumberger Technology Corporation Supplementary Benefit Plan (the “Plan”) for the purposes of (i) continuing to provide such benefits to eligible key employees of the Company and its Subsidiaries and (ii) reflecting its continuing liability with respect to SL Plan Benefits (as herein defined) of such key employees or former key employees. The Plan has been operated in compliance with Section 409A of the Internal Revenue Code and applicable U.S. Treasury authorities (“Section 409A”) and was amended and restated, effective January 1, 2008 to establish documentary compliance with Section 409A.</w:t>
      </w:r>
    </w:p>
    <w:p>
      <w:pPr>
        <w:spacing w:after="0" w:line="18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The Plan has been further amended and restated from time to time, and effective January 1, 2018, was restated to incorporate restoration benefits with respect to the Schlumberger Pension Plan for U.S. Taxpayers Employed Abroad and the Schlumberger Savings and Profit Sharing Plan for US Taxpayers Employed Abroad, due to the change in sponsorship of the plans for US taxpayers abroad from Schlumberger Limited to Schlumberger Technology Corporation effective January 1, 2016, and with respect to the Schlumberger Limited Pension Plan, following its merger into the Schlumberger Technology Corporation Pension Plan, effective October 15, 2016, as well as to make certain other conforming changes.</w:t>
      </w:r>
    </w:p>
    <w:p>
      <w:pPr>
        <w:spacing w:after="0" w:line="181"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Program A of the Plan, set forth in Article III below, is intended to qualify for the exemptions provided under Title I of ERISA for plans that are not tax-qualified and that are maintained primarily to provide deferred compensation for a select group of management or highly compensated employees. Program B of the Plan, set forth in Article IV below, is intended to qualify for the exemptions provided under Title I of ERISA for plans that are excess benefit plans.</w:t>
      </w:r>
    </w:p>
    <w:p>
      <w:pPr>
        <w:spacing w:after="0" w:line="20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NOW, THEREFORE, Schlumberger Technology Corporation hereby amends and restates the Schlumberger Technology Corporation Supplementary Benefit Plan, effective as of January 1, 2018, to read as follows:</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394335</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 AND CONSTRUCTION</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Definitions</w:t>
      </w:r>
    </w:p>
    <w:p>
      <w:pPr>
        <w:spacing w:after="0" w:line="14" w:lineRule="exact"/>
        <w:rPr>
          <w:sz w:val="20"/>
          <w:szCs w:val="20"/>
          <w:color w:val="auto"/>
        </w:rPr>
      </w:pPr>
    </w:p>
    <w:p>
      <w:pPr>
        <w:ind w:firstLine="8"/>
        <w:spacing w:after="0" w:line="230" w:lineRule="auto"/>
        <w:tabs>
          <w:tab w:leader="none" w:pos="22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indicated, the terms used in this Plan shall have the same meaning as they have under the applicable Qualified Plans. For purposes of this Plan, the following definitions shall apply:</w:t>
      </w:r>
    </w:p>
    <w:p>
      <w:pPr>
        <w:spacing w:after="0" w:line="1"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Active Service</w:t>
      </w:r>
      <w:r>
        <w:rPr>
          <w:rFonts w:ascii="Times New Roman" w:cs="Times New Roman" w:eastAsia="Times New Roman" w:hAnsi="Times New Roman"/>
          <w:sz w:val="22"/>
          <w:szCs w:val="22"/>
          <w:color w:val="auto"/>
        </w:rPr>
        <w:t>” shall have the meaning ascribed to it in the Qualified Defined Benefit Plans.</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Actuarial Equivalent</w:t>
      </w:r>
      <w:r>
        <w:rPr>
          <w:rFonts w:ascii="Times New Roman" w:cs="Times New Roman" w:eastAsia="Times New Roman" w:hAnsi="Times New Roman"/>
          <w:sz w:val="22"/>
          <w:szCs w:val="22"/>
          <w:color w:val="auto"/>
        </w:rPr>
        <w:t>” shall have the meaning ascribed to it in the Qualified Defined Benefit Plans.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Administrative Committee</w:t>
      </w:r>
      <w:r>
        <w:rPr>
          <w:rFonts w:ascii="Times New Roman" w:cs="Times New Roman" w:eastAsia="Times New Roman" w:hAnsi="Times New Roman"/>
          <w:sz w:val="21"/>
          <w:szCs w:val="21"/>
          <w:color w:val="auto"/>
        </w:rPr>
        <w:t>” shall mean the Administrative Committee of the Schlumberger Limited Pension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 of Directors</w:t>
      </w:r>
      <w:r>
        <w:rPr>
          <w:rFonts w:ascii="Times New Roman" w:cs="Times New Roman" w:eastAsia="Times New Roman" w:hAnsi="Times New Roman"/>
          <w:sz w:val="22"/>
          <w:szCs w:val="22"/>
          <w:color w:val="auto"/>
        </w:rPr>
        <w:t>” shall mean the Board of Directors of Schlumberger Technology Corporation.</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shall mean the Internal Revenue Code of 1986, as amended from time to time.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 Section 401(a)(17) Limitations</w:t>
      </w:r>
      <w:r>
        <w:rPr>
          <w:rFonts w:ascii="Times New Roman" w:cs="Times New Roman" w:eastAsia="Times New Roman" w:hAnsi="Times New Roman"/>
          <w:sz w:val="22"/>
          <w:szCs w:val="22"/>
          <w:color w:val="auto"/>
        </w:rPr>
        <w:t>” shall mean the limitations imposed by Code Section 401(a)(17).</w:t>
      </w:r>
    </w:p>
    <w:p>
      <w:pPr>
        <w:spacing w:after="0" w:line="206"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 Section 415 Limitations</w:t>
      </w:r>
      <w:r>
        <w:rPr>
          <w:rFonts w:ascii="Times New Roman" w:cs="Times New Roman" w:eastAsia="Times New Roman" w:hAnsi="Times New Roman"/>
          <w:sz w:val="22"/>
          <w:szCs w:val="22"/>
          <w:color w:val="auto"/>
        </w:rPr>
        <w:t>” shall mean the limitations imposed by Code Section 415 without regard to Code Section 415(c)(1)(B).</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shall mean Schlumberger Technology Corporation, a Texas corporation.</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 shall mean any person who is employed by and carried on the payroll of an Employer and who meets the requirements for participation in a Qualified Defined Benefit Plan or Qualified Defined Contribution Plan maintained by an Employer.</w:t>
      </w:r>
    </w:p>
    <w:p>
      <w:pPr>
        <w:spacing w:after="0" w:line="16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Employer</w:t>
      </w:r>
      <w:r>
        <w:rPr>
          <w:rFonts w:ascii="Times New Roman" w:cs="Times New Roman" w:eastAsia="Times New Roman" w:hAnsi="Times New Roman"/>
          <w:sz w:val="22"/>
          <w:szCs w:val="22"/>
          <w:color w:val="auto"/>
        </w:rPr>
        <w:t>” shall mean the Company and any Subsidiary or affiliated entity which meets the definition of an Employer in the applicable Qualified Plan.</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ERISA</w:t>
      </w:r>
      <w:r>
        <w:rPr>
          <w:rFonts w:ascii="Times New Roman" w:cs="Times New Roman" w:eastAsia="Times New Roman" w:hAnsi="Times New Roman"/>
          <w:sz w:val="22"/>
          <w:szCs w:val="22"/>
          <w:color w:val="auto"/>
        </w:rPr>
        <w:t>” shall mean the Employee Retirement Income Security Act of 1974, as amended from time to time.</w:t>
      </w:r>
    </w:p>
    <w:p>
      <w:pPr>
        <w:spacing w:after="0" w:line="206" w:lineRule="exact"/>
        <w:rPr>
          <w:sz w:val="20"/>
          <w:szCs w:val="20"/>
          <w:color w:val="auto"/>
        </w:rPr>
      </w:pPr>
    </w:p>
    <w:p>
      <w:pPr>
        <w:ind w:right="76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Investment Option</w:t>
      </w:r>
      <w:r>
        <w:rPr>
          <w:rFonts w:ascii="Times New Roman" w:cs="Times New Roman" w:eastAsia="Times New Roman" w:hAnsi="Times New Roman"/>
          <w:sz w:val="22"/>
          <w:szCs w:val="22"/>
          <w:color w:val="auto"/>
        </w:rPr>
        <w:t>” shall mean each investment option made available from time to time to participants in the Qualified Defined Contribution Plan in which such Participant or Former Participant is a member.</w:t>
      </w:r>
    </w:p>
    <w:p>
      <w:pPr>
        <w:spacing w:after="0" w:line="200" w:lineRule="exact"/>
        <w:rPr>
          <w:sz w:val="20"/>
          <w:szCs w:val="20"/>
          <w:color w:val="auto"/>
        </w:rPr>
      </w:pPr>
    </w:p>
    <w:p>
      <w:pPr>
        <w:spacing w:after="0" w:line="3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0" w:name="page71"/>
    <w:bookmarkEnd w:id="70"/>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shall mean a participant in a Qualified Defined Contribution Plan or a Qualified Defined Benefit Plan of the Company or any Subsidiary.</w:t>
      </w:r>
    </w:p>
    <w:p>
      <w:pPr>
        <w:spacing w:after="0" w:line="150"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shall mean the Schlumberger Technology Corporation Supplementary Benefit Plan, as amended and restated effective as of January 1, 2018 and set forth herein, and as amended from time to time.</w:t>
      </w:r>
    </w:p>
    <w:p>
      <w:pPr>
        <w:spacing w:after="0" w:line="15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Qualified Defined Benefit Plans”</w:t>
      </w:r>
      <w:r>
        <w:rPr>
          <w:rFonts w:ascii="Times New Roman" w:cs="Times New Roman" w:eastAsia="Times New Roman" w:hAnsi="Times New Roman"/>
          <w:sz w:val="22"/>
          <w:szCs w:val="22"/>
          <w:color w:val="auto"/>
        </w:rPr>
        <w:t xml:space="preserve"> shall mean the Schlumberger Technology Corporation Pension Plan (which includes benefits accrued under the Schlumberger Limited Pension Plan prior to its merger into the Schlumberger Technology Corporation Pension Plan) and the Schlumberger Pension Plan for US Taxpayers Employed Abroad.</w:t>
      </w:r>
    </w:p>
    <w:p>
      <w:pPr>
        <w:spacing w:after="0" w:line="167"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Qualified Defined Contribution Plans”</w:t>
      </w:r>
      <w:r>
        <w:rPr>
          <w:rFonts w:ascii="Times New Roman" w:cs="Times New Roman" w:eastAsia="Times New Roman" w:hAnsi="Times New Roman"/>
          <w:sz w:val="21"/>
          <w:szCs w:val="21"/>
          <w:color w:val="auto"/>
        </w:rPr>
        <w:t xml:space="preserve"> shall mean the Schlumberger Technology Corporation Savings and Retirement Plan, the Schlumberger Technology Corporation Profit Sharing Plan for Specified Drilling Group Employees and the Schlumberger Savings and Profit Sharing Plan for US Taxpayers Employed Abroad; provided, however, that the term “Qualified Defined Contribution Plan” shall only include the portion of the applicable plan that provides for discretionary employer contributions (and basic contributions with respect to the Schlumberger Savings and Profit Sharing Plan for US Taxpayers Employed Abroad) and shall not include any portion of such profit-sharing plan that is subject to Code Section 401(k) or 401(m).</w:t>
      </w:r>
    </w:p>
    <w:p>
      <w:pPr>
        <w:spacing w:after="0" w:line="16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Qualified Plans</w:t>
      </w:r>
      <w:r>
        <w:rPr>
          <w:rFonts w:ascii="Times New Roman" w:cs="Times New Roman" w:eastAsia="Times New Roman" w:hAnsi="Times New Roman"/>
          <w:sz w:val="22"/>
          <w:szCs w:val="22"/>
          <w:color w:val="auto"/>
        </w:rPr>
        <w:t>” shall mean the Qualified Defined Contribution Plans and Qualified Defined Benefit Plans.</w:t>
      </w:r>
    </w:p>
    <w:p>
      <w:pPr>
        <w:spacing w:after="0" w:line="20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Spouse</w:t>
      </w:r>
      <w:r>
        <w:rPr>
          <w:rFonts w:ascii="Times New Roman" w:cs="Times New Roman" w:eastAsia="Times New Roman" w:hAnsi="Times New Roman"/>
          <w:sz w:val="22"/>
          <w:szCs w:val="22"/>
          <w:color w:val="auto"/>
        </w:rPr>
        <w:t>” shall mean the person, if any, legally married pursuant to the laws of the State or country in which such marriage was performed to a Participant at the latest of (i) the time of the Participant’s death prior to retirement, (ii) the time of the Participant’s retirement, or (iii) the time the Participant’s benefits are to commence; provided, however, that this definition of “Spouse” shall include a same sex Spouse effective no earlier than (a) September 16, 2013, or (b) if prior to September 16, 2013, such Participant and same sex Spouse resided in a State or the District of Columbia that legally recognized their marriage, June 26, 2013 (or such later date as the Participant and his or her Spouse became residents of such State or the District of Columbia but in no event later than September 16, 2013).</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SL Plan</w:t>
      </w:r>
      <w:r>
        <w:rPr>
          <w:rFonts w:ascii="Times New Roman" w:cs="Times New Roman" w:eastAsia="Times New Roman" w:hAnsi="Times New Roman"/>
          <w:sz w:val="22"/>
          <w:szCs w:val="22"/>
          <w:color w:val="auto"/>
        </w:rPr>
        <w:t>” shall mean the Schlumberger Limited Supplementary Benefit Plan, as amended from time to time.</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SL Plan Benefit</w:t>
      </w:r>
      <w:r>
        <w:rPr>
          <w:rFonts w:ascii="Times New Roman" w:cs="Times New Roman" w:eastAsia="Times New Roman" w:hAnsi="Times New Roman"/>
          <w:sz w:val="22"/>
          <w:szCs w:val="22"/>
          <w:color w:val="auto"/>
        </w:rPr>
        <w:t>” shall mean (i) any benefit accrued pursuant to Section 3.3 or 4.3 of the SL Plan and unpaid as of January 1, 1995, to the extent calculated with reference to any Qualified Plan hereunder and (ii) any benefit accrued under the SL Plan and unpaid as of December 31, 2017, to the extent calculated with reference to any Qualified Plan hereunder.</w:t>
      </w:r>
    </w:p>
    <w:p>
      <w:pPr>
        <w:spacing w:after="0" w:line="167"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any corporation in which the shares owned or controlled directly or indirectly by Schlumberger Technology Corporation represents 50% or more of the voting power of the issued and outstanding capital stock of such corporation.</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1" w:name="page72"/>
    <w:bookmarkEnd w:id="71"/>
    <w:p>
      <w:pPr>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Termination of Employment</w:t>
      </w:r>
      <w:r>
        <w:rPr>
          <w:rFonts w:ascii="Times New Roman" w:cs="Times New Roman" w:eastAsia="Times New Roman" w:hAnsi="Times New Roman"/>
          <w:sz w:val="22"/>
          <w:szCs w:val="22"/>
          <w:color w:val="auto"/>
        </w:rPr>
        <w:t>” shall mean “separation from service,” as defined in Section 1.409A-1(h) of the U.S. Treasury regulations, with an Employer for any reason other than a transfer between Employers.</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Gender and Number</w:t>
      </w:r>
    </w:p>
    <w:p>
      <w:pPr>
        <w:spacing w:after="0" w:line="206" w:lineRule="exact"/>
        <w:rPr>
          <w:sz w:val="20"/>
          <w:szCs w:val="20"/>
          <w:color w:val="auto"/>
        </w:rPr>
      </w:pPr>
    </w:p>
    <w:p>
      <w:pPr>
        <w:ind w:firstLine="8"/>
        <w:spacing w:after="0" w:line="258" w:lineRule="auto"/>
        <w:tabs>
          <w:tab w:leader="none" w:pos="20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when otherwise indicated by the context, any masculine pronoun when used in the Plan shall refer to either male or female Participants, and the definition of any term in the singular shall also include the plural.</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Severability</w:t>
      </w:r>
    </w:p>
    <w:p>
      <w:pPr>
        <w:spacing w:after="0" w:line="206" w:lineRule="exact"/>
        <w:rPr>
          <w:sz w:val="20"/>
          <w:szCs w:val="20"/>
          <w:color w:val="auto"/>
        </w:rPr>
      </w:pPr>
    </w:p>
    <w:p>
      <w:pPr>
        <w:jc w:val="both"/>
        <w:ind w:firstLine="8"/>
        <w:spacing w:after="0" w:line="239" w:lineRule="auto"/>
        <w:tabs>
          <w:tab w:leader="none" w:pos="17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any provision of the Plan shall be held invalid or illegal for any reason, any illegality or invalidity shall not affect the remaining parts of the Plan, but the Plan shall be construed and enforced as if the illegal or invalid provision had never been inserted, and the Company shall have the privilege and opportunity to correct and remedy questions of illegality or invalidity by amendment as provided in the Plan.</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u w:val="single" w:color="auto"/>
          <w:color w:val="auto"/>
        </w:rPr>
        <w:t>Applicable Law</w:t>
      </w:r>
    </w:p>
    <w:p>
      <w:pPr>
        <w:spacing w:after="0" w:line="206" w:lineRule="exact"/>
        <w:rPr>
          <w:sz w:val="20"/>
          <w:szCs w:val="20"/>
          <w:color w:val="auto"/>
        </w:rPr>
      </w:pPr>
    </w:p>
    <w:p>
      <w:pPr>
        <w:ind w:right="20" w:firstLine="8"/>
        <w:spacing w:after="0" w:line="258" w:lineRule="auto"/>
        <w:tabs>
          <w:tab w:leader="none" w:pos="18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preempted by ERISA, this Plan shall be governed and construed in accordance with the laws of the State of Texas.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1.5  </w:t>
      </w:r>
      <w:r>
        <w:rPr>
          <w:rFonts w:ascii="Times New Roman" w:cs="Times New Roman" w:eastAsia="Times New Roman" w:hAnsi="Times New Roman"/>
          <w:sz w:val="22"/>
          <w:szCs w:val="22"/>
          <w:u w:val="single" w:color="auto"/>
          <w:color w:val="auto"/>
        </w:rPr>
        <w:t>Plan Not an Employment Contract</w:t>
      </w:r>
    </w:p>
    <w:p>
      <w:pPr>
        <w:spacing w:after="0" w:line="206" w:lineRule="exact"/>
        <w:rPr>
          <w:sz w:val="20"/>
          <w:szCs w:val="20"/>
          <w:color w:val="auto"/>
        </w:rPr>
      </w:pPr>
    </w:p>
    <w:p>
      <w:pPr>
        <w:jc w:val="both"/>
        <w:ind w:firstLine="8"/>
        <w:spacing w:after="0" w:line="244" w:lineRule="auto"/>
        <w:tabs>
          <w:tab w:leader="none" w:pos="202"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not an employment contract. The receipt of benefits under the Plan does not give to any person the right to be continued in employment by the Company or a Subsidiary, and all Employees remain subject to change of salary, transfer, change of job, discipline, layoff, discharge (with or without cause), or any other change of employment status.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1.6  </w:t>
      </w:r>
      <w:r>
        <w:rPr>
          <w:rFonts w:ascii="Times New Roman" w:cs="Times New Roman" w:eastAsia="Times New Roman" w:hAnsi="Times New Roman"/>
          <w:sz w:val="22"/>
          <w:szCs w:val="22"/>
          <w:u w:val="single" w:color="auto"/>
          <w:color w:val="auto"/>
        </w:rPr>
        <w:t>Source of Payment</w:t>
      </w:r>
    </w:p>
    <w:p>
      <w:pPr>
        <w:spacing w:after="0" w:line="206" w:lineRule="exact"/>
        <w:rPr>
          <w:sz w:val="20"/>
          <w:szCs w:val="20"/>
          <w:color w:val="auto"/>
        </w:rPr>
      </w:pPr>
    </w:p>
    <w:p>
      <w:pPr>
        <w:jc w:val="both"/>
        <w:ind w:firstLine="8"/>
        <w:spacing w:after="0" w:line="234" w:lineRule="auto"/>
        <w:tabs>
          <w:tab w:leader="none" w:pos="19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benefits described in this Plan are contractual obligations and liabilities of the applicable Employer to pay compensation for services in accordance with the terms hereof. All amounts paid under this Plan shall be paid in cash from the general assets of the applicable Employer. Benefits shall be reflected on the accounting records of the Employers, but shall not be construed to create, or require the creation of, a trust, custodial or escrow account. No special or separate fund need be established and no segregation of assets need be made to assure the payment of such benefits. No Participant shall have any right, title, or interest whatever in or to any investment reserves, accounts, funds or assets that the Company or the Employers may purchase, establish, or accumulate to aid in providing the benefits described in this Plan. Nothing contained in this Plan, and no action taken pursuant to its provisions, shall create or be construed to create a trust or a fiduciary relationship of any kind between an Employer or the Company and a Participant or any other person. Neither a Participant nor the beneficiary of a Participant shall acquire any interest hereunder greater than that of an unsecured creditor.</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1.7  </w:t>
      </w:r>
      <w:r>
        <w:rPr>
          <w:rFonts w:ascii="Times New Roman" w:cs="Times New Roman" w:eastAsia="Times New Roman" w:hAnsi="Times New Roman"/>
          <w:sz w:val="22"/>
          <w:szCs w:val="22"/>
          <w:u w:val="single" w:color="auto"/>
          <w:color w:val="auto"/>
        </w:rPr>
        <w:t>Tax Withholding</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2" w:name="page73"/>
    <w:bookmarkEnd w:id="72"/>
    <w:p>
      <w:pPr>
        <w:jc w:val="both"/>
        <w:ind w:firstLine="8"/>
        <w:spacing w:after="0" w:line="244" w:lineRule="auto"/>
        <w:tabs>
          <w:tab w:leader="none" w:pos="193"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Employer may withhold from a payment any federal, state, or local taxes required by law to be withheld with respect to such payment and such sums as the Employer may reasonably estimate as necessary to cover any taxes for which the Employer may be liable and which may be assessed with regard to such payment.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PARTICIPATION</w:t>
      </w:r>
    </w:p>
    <w:p>
      <w:pPr>
        <w:spacing w:after="0" w:line="182"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A Participant who has accrued SL Plan Benefits prior to January 1, 2018 or is entitled to benefits accrued under this Plan shall receive such benefits pursuant to the provisions of this Plan. An Employee who becomes eligible for participation in Program A of this Plan (as described in Section 3.2) from and after January 1, 2018 shall become a Participant in Program A of this Plan if, as of or after such date, the benefits he would otherwise receive as a result of his participation in one or more of the Qualified Plans are reduced as a result of the Code Section 401(a)(17) Limitations. An Employee who becomes eligible for participation in Program B of this Plan (as described in Section 4.2) from and after January 1, 2018 shall become a Participant in Program B of this Plan if, as of or after such date, the benefits he would otherwise receive as a result of his participation in one or more of the Qualified Plans are reduced as a result of the Code Section 415 Limitations. An Employee who becomes eligible for participation in both Program A and B of this Plan from and after January 1, 2018 and whose Qualified Plan benefits have been reduced by both the Code Section 401(a)(17) Limitations and the Code Section 415 Limitations shall participate in both Program A and B; provided, however, that nothing in this Plan shall entitle him to receive an amount that exceeds the total benefits that would have been his due under the Qualified Plans in the absence of the Code Section 401(a)(17) Limitations and the Code Section 415 Limitations.</w:t>
      </w:r>
    </w:p>
    <w:p>
      <w:pPr>
        <w:spacing w:after="0" w:line="17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PROGRAM A:</w:t>
      </w:r>
    </w:p>
    <w:p>
      <w:pPr>
        <w:jc w:val="center"/>
        <w:spacing w:after="0"/>
        <w:rPr>
          <w:sz w:val="20"/>
          <w:szCs w:val="20"/>
          <w:color w:val="auto"/>
        </w:rPr>
      </w:pPr>
      <w:r>
        <w:rPr>
          <w:rFonts w:ascii="Times New Roman" w:cs="Times New Roman" w:eastAsia="Times New Roman" w:hAnsi="Times New Roman"/>
          <w:sz w:val="22"/>
          <w:szCs w:val="22"/>
          <w:b w:val="1"/>
          <w:bCs w:val="1"/>
          <w:color w:val="auto"/>
        </w:rPr>
        <w:t>RESTORATION OF BENEFITS REDUCED BY CODE SECTION 401(a)(17)</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Purpose</w:t>
      </w:r>
    </w:p>
    <w:p>
      <w:pPr>
        <w:spacing w:after="0" w:line="206" w:lineRule="exact"/>
        <w:rPr>
          <w:sz w:val="20"/>
          <w:szCs w:val="20"/>
          <w:color w:val="auto"/>
        </w:rPr>
      </w:pPr>
    </w:p>
    <w:p>
      <w:pPr>
        <w:jc w:val="both"/>
        <w:ind w:firstLine="8"/>
        <w:spacing w:after="0" w:line="244" w:lineRule="auto"/>
        <w:tabs>
          <w:tab w:leader="none" w:pos="20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Code Section 401(a)(17) limits the amount of compensation that may be taken into account under the Qualified Plans. The purpose of Program A is to restore to Participants in the Qualified Plans any benefits that would have been available to them under the Qualified Plans had the Code Section 401(a)(17) Limitations not been imposed.</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Eligibility</w:t>
      </w:r>
    </w:p>
    <w:p>
      <w:pPr>
        <w:spacing w:after="0" w:line="206" w:lineRule="exact"/>
        <w:rPr>
          <w:sz w:val="20"/>
          <w:szCs w:val="20"/>
          <w:color w:val="auto"/>
        </w:rPr>
      </w:pPr>
    </w:p>
    <w:p>
      <w:pPr>
        <w:jc w:val="both"/>
        <w:ind w:firstLine="8"/>
        <w:spacing w:after="0" w:line="238" w:lineRule="auto"/>
        <w:tabs>
          <w:tab w:leader="none" w:pos="18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to participate in Program A of this Plan, an individual must (a) be a Participant in one of the Qualified Plans and (b) have experienced a reduction in the benefits he would have received from the Qualified Plan in which he is a Participant as a result of the Code Section 401(a)(17) Limitations on the amount of annual compensation that may be included in the calculation of benefits. In addition, this Program is intended solely for the participation of a select group of management or highly compensated employees, as those terms are set forth in Section 201(2) of ERISA.</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Calculation of Restoration Benefit</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3" w:name="page74"/>
    <w:bookmarkEnd w:id="73"/>
    <w:p>
      <w:pPr>
        <w:jc w:val="both"/>
        <w:ind w:left="-8" w:firstLine="8"/>
        <w:spacing w:after="0" w:line="239" w:lineRule="auto"/>
        <w:tabs>
          <w:tab w:leader="none" w:pos="16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restoration benefits payable to a Participant in Program A of this Plan with reference to each Qualified Defined Benefit Plan under which the Participant may claim benefits will be calculated in the manner described in Subsection (a). The amount of benefits payable to a Participant in Program A of this Plan with reference to each Qualified Defined Contribution Plan under which the Participant may claim benefits will be calculated in the manner described in Subsection (b).</w:t>
      </w:r>
    </w:p>
    <w:p>
      <w:pPr>
        <w:spacing w:after="0" w:line="180" w:lineRule="exact"/>
        <w:rPr>
          <w:rFonts w:ascii="Times New Roman" w:cs="Times New Roman" w:eastAsia="Times New Roman" w:hAnsi="Times New Roman"/>
          <w:sz w:val="22"/>
          <w:szCs w:val="22"/>
          <w:color w:val="auto"/>
        </w:rPr>
      </w:pPr>
    </w:p>
    <w:p>
      <w:pPr>
        <w:jc w:val="both"/>
        <w:ind w:left="752" w:firstLine="745"/>
        <w:spacing w:after="0" w:line="233" w:lineRule="auto"/>
        <w:tabs>
          <w:tab w:leader="none" w:pos="1973"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Restoration of Amounts Under Qualified Defined Benefit Plans</w:t>
      </w:r>
      <w:r>
        <w:rPr>
          <w:rFonts w:ascii="Times New Roman" w:cs="Times New Roman" w:eastAsia="Times New Roman" w:hAnsi="Times New Roman"/>
          <w:sz w:val="22"/>
          <w:szCs w:val="22"/>
          <w:color w:val="auto"/>
        </w:rPr>
        <w:t>. As of Participant’s Termination of Employment the Company will calculate a benefit in an amount equal to the excess of (i) over (ii), where (i) is equal to the amount of the defined benefit which would have been payable under the Qualified Defined Benefit Plan but for the Code Section 401(a)(17) Limitations as of Participant’s Termination of Employment and (ii) is equal to the amount of the benefit actually payable under the Qualified Defined Benefit Plan as of Participant’s Termination of Employment, which excess is hereinafter referred to as the “Defined Benefit Restoration Benefit.” The Participant shall become vested in his or her Defined Benefit Restoration Benefit upon Participant’s attainment of age 50 with five years of credited Active Service. The Company shall pay a vested Defined Benefit Restoration Benefit to the Participant, or, if applicable, to his surviving Spouse, upon Participant’s Termination of Employment. If Participant experiences a Termination of Employment prior to satisfying the vesting conditions described in this Section 3.3(a), Participant’s Defined Benefit Restoration Benefit shall be forfeited. The Defined Benefit Restoration Benefit shall become payable as provided in Section 5.3 hereof.</w:t>
      </w:r>
    </w:p>
    <w:p>
      <w:pPr>
        <w:spacing w:after="0" w:line="184" w:lineRule="exact"/>
        <w:rPr>
          <w:rFonts w:ascii="Times New Roman" w:cs="Times New Roman" w:eastAsia="Times New Roman" w:hAnsi="Times New Roman"/>
          <w:sz w:val="22"/>
          <w:szCs w:val="22"/>
          <w:color w:val="auto"/>
        </w:rPr>
      </w:pPr>
    </w:p>
    <w:p>
      <w:pPr>
        <w:jc w:val="both"/>
        <w:ind w:left="752" w:firstLine="745"/>
        <w:spacing w:after="0" w:line="233" w:lineRule="auto"/>
        <w:tabs>
          <w:tab w:leader="none" w:pos="1933"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Restoration of Amounts Under Qualified Defined Contribution Plans</w:t>
      </w:r>
      <w:r>
        <w:rPr>
          <w:rFonts w:ascii="Times New Roman" w:cs="Times New Roman" w:eastAsia="Times New Roman" w:hAnsi="Times New Roman"/>
          <w:sz w:val="22"/>
          <w:szCs w:val="22"/>
          <w:color w:val="auto"/>
        </w:rPr>
        <w:t>. A benefit, hereinafter referred to as the “Defined Contribution Restoration Benefit,” shall be provided to each Participant in Program A whose discretionary Employer profit-sharing contribution under a Qualified Defined Contribution Plan was reduced as a result of the Code Section 401(a)(17) Limitations. With respect to any Plan Year, the Defined Contribution Plan Restoration Benefit shall be equal to the excess, if any, of (i) over (ii) where (i) is equal to the amount of the discretionary Employer profit-sharing contribution the Employer would have made to the Qualified Defined Contribution Plan for a Plan Year on behalf of the Participant, based on the Participant’s compensation for that Plan Year without regard to the Code Section 401(a)(17) Limitations, and (ii) is equal to the amount of the discretionary Employer profit-sharing contribution that the Employer actually paid into the Qualified Defined Contribution Plan on behalf of the Participant for such Plan Year, after application of the Code Section 401(a)(17) Limitations. A Participant’s Defined Contribution Restoration Benefit shall become fully vested upon Participant’s completion of four years of Active Service (as that term is defined in the Qualified Defined Contribution Plan).</w:t>
      </w:r>
    </w:p>
    <w:p>
      <w:pPr>
        <w:spacing w:after="0" w:line="185" w:lineRule="exact"/>
        <w:rPr>
          <w:sz w:val="20"/>
          <w:szCs w:val="20"/>
          <w:color w:val="auto"/>
        </w:rPr>
      </w:pPr>
    </w:p>
    <w:p>
      <w:pPr>
        <w:jc w:val="both"/>
        <w:ind w:left="752" w:firstLine="864"/>
        <w:spacing w:after="0" w:line="236" w:lineRule="auto"/>
        <w:rPr>
          <w:sz w:val="20"/>
          <w:szCs w:val="20"/>
          <w:color w:val="auto"/>
        </w:rPr>
      </w:pPr>
      <w:r>
        <w:rPr>
          <w:rFonts w:ascii="Times New Roman" w:cs="Times New Roman" w:eastAsia="Times New Roman" w:hAnsi="Times New Roman"/>
          <w:sz w:val="22"/>
          <w:szCs w:val="22"/>
          <w:color w:val="auto"/>
        </w:rPr>
        <w:t>Prior to January 1, 2019, the Defined Contribution Restoration Benefit shall be treated as if it is actually invested in the applicable Qualified Defined Contribution Plan and shall be credited with gains and losses at the same time and in the same manner as amounts which are actually invested under the Qualified Defined Contribution Plan. Any investment election made pursuant to the Qualified Defined Contribution Plan shall also apply to the Defined Contribution Restoration Benefit and shall be effective at the same time that such election is applicable to the Participant’s Account under the Qualified</w:t>
      </w:r>
    </w:p>
    <w:p>
      <w:pPr>
        <w:spacing w:after="0" w:line="181" w:lineRule="exact"/>
        <w:rPr>
          <w:sz w:val="20"/>
          <w:szCs w:val="20"/>
          <w:color w:val="auto"/>
        </w:rPr>
      </w:pPr>
    </w:p>
    <w:p>
      <w:pPr>
        <w:ind w:left="292"/>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409575</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55" w:right="339" w:bottom="1440" w:gutter="0" w:footer="0" w:header="0"/>
        </w:sectPr>
      </w:pPr>
    </w:p>
    <w:bookmarkStart w:id="74" w:name="page75"/>
    <w:bookmarkEnd w:id="74"/>
    <w:p>
      <w:pPr>
        <w:jc w:val="both"/>
        <w:ind w:left="760"/>
        <w:spacing w:after="0" w:line="246" w:lineRule="auto"/>
        <w:rPr>
          <w:sz w:val="20"/>
          <w:szCs w:val="20"/>
          <w:color w:val="auto"/>
        </w:rPr>
      </w:pPr>
      <w:r>
        <w:rPr>
          <w:rFonts w:ascii="Times New Roman" w:cs="Times New Roman" w:eastAsia="Times New Roman" w:hAnsi="Times New Roman"/>
          <w:sz w:val="21"/>
          <w:szCs w:val="21"/>
          <w:color w:val="auto"/>
        </w:rPr>
        <w:t>Defined Contribution Plan. On and after January 1, 2019, each Participant may designate the specific Investment Option with respect to which his Defined Contribution Restoration Benefit shall be deemed to be invested. The Participant may designate, in 1% increments, the amount to be invested in each Investment Option. If a Participant fails to make a proper designation, then his Defined Contribution Restoration Benefit shall be deemed invested in the Short-term Fixed Income Fund. A Participant may change such designation with respect to future Matching Contributions and Elective Deferrals, as well as with respect to amounts already credited to his Account, provided such change(s) are made in accordance with the procedures established by the Administrative Committee. The Administrative Committee shall determine from time to time each of the Investment Options made available under this Plan and may change any such determinations at any time. Nothing herein shall obligate the Company to invest any part of its assets in any of the funds.</w:t>
      </w:r>
    </w:p>
    <w:p>
      <w:pPr>
        <w:spacing w:after="0" w:line="175" w:lineRule="exact"/>
        <w:rPr>
          <w:sz w:val="20"/>
          <w:szCs w:val="20"/>
          <w:color w:val="auto"/>
        </w:rPr>
      </w:pPr>
    </w:p>
    <w:p>
      <w:pPr>
        <w:jc w:val="both"/>
        <w:ind w:left="760" w:firstLine="1497"/>
        <w:spacing w:after="0" w:line="235" w:lineRule="auto"/>
        <w:rPr>
          <w:sz w:val="20"/>
          <w:szCs w:val="20"/>
          <w:color w:val="auto"/>
        </w:rPr>
      </w:pPr>
      <w:r>
        <w:rPr>
          <w:rFonts w:ascii="Times New Roman" w:cs="Times New Roman" w:eastAsia="Times New Roman" w:hAnsi="Times New Roman"/>
          <w:sz w:val="22"/>
          <w:szCs w:val="22"/>
          <w:color w:val="auto"/>
        </w:rPr>
        <w:t>The Administrative Committee shall develop such procedures as it deems necessary for purposes of valuing the Defined Contribution Restoration Benefits and maintaining records thereof. The Defined Contribution Restoration Benefit shall be calculated for every Plan Year until the expiration of the Plan Year during which occurs the earliest of (1) the Participant’s Termination of Employment for any reason or (2) the termination of the Qualified Defined Contribution Plan under which the Participant is receiving benefits. The Defined Contribution Restoration Benefit shall become payable as provided in Section 5.2 hereof. Effective January 1, 2023, no additional Defined Contribution Restoration Benefits will accrue with respect to the Schlumberger Savings and Retirement Plan.</w:t>
      </w:r>
    </w:p>
    <w:p>
      <w:pPr>
        <w:spacing w:after="0" w:line="17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PROGRAM B:</w:t>
      </w:r>
    </w:p>
    <w:p>
      <w:pPr>
        <w:jc w:val="center"/>
        <w:spacing w:after="0"/>
        <w:rPr>
          <w:sz w:val="20"/>
          <w:szCs w:val="20"/>
          <w:color w:val="auto"/>
        </w:rPr>
      </w:pPr>
      <w:r>
        <w:rPr>
          <w:rFonts w:ascii="Times New Roman" w:cs="Times New Roman" w:eastAsia="Times New Roman" w:hAnsi="Times New Roman"/>
          <w:sz w:val="22"/>
          <w:szCs w:val="22"/>
          <w:b w:val="1"/>
          <w:bCs w:val="1"/>
          <w:color w:val="auto"/>
        </w:rPr>
        <w:t>RESTORATION OF BENEFITS REDUCED BY CODE SECTION 415</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Purpose</w:t>
      </w:r>
    </w:p>
    <w:p>
      <w:pPr>
        <w:spacing w:after="0" w:line="206" w:lineRule="exact"/>
        <w:rPr>
          <w:sz w:val="20"/>
          <w:szCs w:val="20"/>
          <w:color w:val="auto"/>
        </w:rPr>
      </w:pPr>
    </w:p>
    <w:p>
      <w:pPr>
        <w:jc w:val="both"/>
        <w:ind w:firstLine="8"/>
        <w:spacing w:after="0" w:line="244" w:lineRule="auto"/>
        <w:tabs>
          <w:tab w:leader="none" w:pos="24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Code Section 415 limits the amount of benefits available under a defined benefit plan and the amount of contributions permissible under a defined contribution plan. The purpose of Program B is to restore to Participants any Qualified Plan benefits that have been reduced as a result of the Code Section 415 Limitations.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Eligibility</w:t>
      </w:r>
    </w:p>
    <w:p>
      <w:pPr>
        <w:spacing w:after="0" w:line="206" w:lineRule="exact"/>
        <w:rPr>
          <w:sz w:val="20"/>
          <w:szCs w:val="20"/>
          <w:color w:val="auto"/>
        </w:rPr>
      </w:pPr>
    </w:p>
    <w:p>
      <w:pPr>
        <w:jc w:val="both"/>
        <w:ind w:firstLine="8"/>
        <w:spacing w:after="0" w:line="244" w:lineRule="auto"/>
        <w:tabs>
          <w:tab w:leader="none" w:pos="183"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employee is eligible to participate in Program B of this Plan if he (a) is a Participant in one of the Qualified Plans and (b) has experienced a reduction in the amount of benefits he would have received from the Qualified Plan in which he is a Participant as a result of the Code Section 415 Limitations.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Calculation of Restoration Benefit</w:t>
      </w:r>
    </w:p>
    <w:p>
      <w:pPr>
        <w:spacing w:after="0" w:line="206" w:lineRule="exact"/>
        <w:rPr>
          <w:sz w:val="20"/>
          <w:szCs w:val="20"/>
          <w:color w:val="auto"/>
        </w:rPr>
      </w:pPr>
    </w:p>
    <w:p>
      <w:pPr>
        <w:jc w:val="both"/>
        <w:ind w:firstLine="8"/>
        <w:spacing w:after="0" w:line="261" w:lineRule="auto"/>
        <w:tabs>
          <w:tab w:leader="none" w:pos="175"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restoration benefits payable to a Participant in Program B of this Plan with reference to each Qualified Defined Benefit Plan under which the Participant may claim benefits will be calculated in the manner described in Subsection (a). The amount of benefits payable to a Participant in Program B of this Plan with reference to each Qualified Defined Contribution Plan</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2"/>
          <w:szCs w:val="22"/>
          <w:color w:val="auto"/>
        </w:rPr>
        <w:t>under which the Participant may claim benefits will be calculated in the manner described in Subsection (b).</w:t>
      </w:r>
    </w:p>
    <w:p>
      <w:pPr>
        <w:spacing w:after="0" w:line="206" w:lineRule="exact"/>
        <w:rPr>
          <w:sz w:val="20"/>
          <w:szCs w:val="20"/>
          <w:color w:val="auto"/>
        </w:rPr>
      </w:pPr>
    </w:p>
    <w:p>
      <w:pPr>
        <w:jc w:val="both"/>
        <w:ind w:left="760" w:firstLine="745"/>
        <w:spacing w:after="0" w:line="233" w:lineRule="auto"/>
        <w:tabs>
          <w:tab w:leader="none" w:pos="194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Restoration of Amounts Under Qualified Defined Benefit Plans</w:t>
      </w:r>
      <w:r>
        <w:rPr>
          <w:rFonts w:ascii="Times New Roman" w:cs="Times New Roman" w:eastAsia="Times New Roman" w:hAnsi="Times New Roman"/>
          <w:sz w:val="22"/>
          <w:szCs w:val="22"/>
          <w:color w:val="auto"/>
        </w:rPr>
        <w:t>. When a Participant has a Termination of Employment, the Company will calculate a benefit equal to the excess of (i) over (ii), where (i) is equal to the amount of the defined benefit that would have been payable under the Qualified Defined Benefit Plan without regard to the Code Section 415 Limitations as of Participant’s Termination of Employment and (ii) is equal to the amount of benefit actually payable under the Qualified Defined Benefit Plan as of Participant’s Termination of Employment, which excess is hereinafter referred to as the “Section 415 Defined Benefit Restoration Benefit.” The Company shall pay a Section 415 Defined Benefit Restoration Benefit to the Participant or, if applicable, to Participant’s surviving Spouse. The Participant shall become vested in his Section 415 Defined Benefit Restoration Benefit upon Participant’s attainment of age 50 with five years of credited Active Service. If Participant experiences a Termination of Employment prior to satisfying the vesting conditions described in this Section 4.3(a), Participant’s Section 415 Defined Benefit Restoration Benefit shall be forfeited. The Section 415 Defined Benefit Restoration Benefit shall become payable as provided in Section 5.3 hereof.</w:t>
      </w:r>
    </w:p>
    <w:p>
      <w:pPr>
        <w:spacing w:after="0" w:line="184" w:lineRule="exact"/>
        <w:rPr>
          <w:rFonts w:ascii="Times New Roman" w:cs="Times New Roman" w:eastAsia="Times New Roman" w:hAnsi="Times New Roman"/>
          <w:sz w:val="22"/>
          <w:szCs w:val="22"/>
          <w:color w:val="auto"/>
        </w:rPr>
      </w:pPr>
    </w:p>
    <w:p>
      <w:pPr>
        <w:jc w:val="both"/>
        <w:ind w:left="760" w:firstLine="745"/>
        <w:spacing w:after="0" w:line="234" w:lineRule="auto"/>
        <w:tabs>
          <w:tab w:leader="none" w:pos="194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Restoration of Amounts Under Qualified Defined Contribution Plans</w:t>
      </w:r>
      <w:r>
        <w:rPr>
          <w:rFonts w:ascii="Times New Roman" w:cs="Times New Roman" w:eastAsia="Times New Roman" w:hAnsi="Times New Roman"/>
          <w:sz w:val="22"/>
          <w:szCs w:val="22"/>
          <w:color w:val="auto"/>
        </w:rPr>
        <w:t>. A benefit, hereinafter referred to as the “Section 415 Defined Contribution Restoration Benefit,” will be payable to Participants in Program B whose Qualified Defined Contribution Plan benefits were reduced as a result of the Code Section 415 Limitations. With respect to any Plan Year, the Section 415 Defined Contribution Restoration Benefit shall be payable in an amount equal to the excess of (i) over (ii), where (i) is equal to the amount of the discretionary Employer profit-sharing contribution the Employer would have made under the Qualified Defined Contribution Plan without regard to the Code Section 415 Limitations and (ii) is equal to the amount of the benefit actually payable under the Qualified Defined Contribution Plan. A Participant’s Section 415 Defined Contribution Restoration Benefit shall become fully vested upon Participant’s completion of four years of Active Service (as that term is defined in the Qualified Defined Contribution Plan) or, if earlier, upon Participant’s death.</w:t>
      </w:r>
    </w:p>
    <w:p>
      <w:pPr>
        <w:spacing w:after="0" w:line="179" w:lineRule="exact"/>
        <w:rPr>
          <w:sz w:val="20"/>
          <w:szCs w:val="20"/>
          <w:color w:val="auto"/>
        </w:rPr>
      </w:pPr>
    </w:p>
    <w:p>
      <w:pPr>
        <w:jc w:val="both"/>
        <w:ind w:left="760" w:firstLine="864"/>
        <w:spacing w:after="0" w:line="233" w:lineRule="auto"/>
        <w:rPr>
          <w:sz w:val="20"/>
          <w:szCs w:val="20"/>
          <w:color w:val="auto"/>
        </w:rPr>
      </w:pPr>
      <w:r>
        <w:rPr>
          <w:rFonts w:ascii="Times New Roman" w:cs="Times New Roman" w:eastAsia="Times New Roman" w:hAnsi="Times New Roman"/>
          <w:sz w:val="22"/>
          <w:szCs w:val="22"/>
          <w:color w:val="auto"/>
        </w:rPr>
        <w:t>The Section 415 Defined Contribution Restoration Benefit shall be treated as if it is actually invested in the applicable Qualified Defined Contribution Plan and shall be credited with gains and losses at the same time and in the same manner as amounts which are actually invested under the Qualified Defined Contribution Plan. Any investment elections made pursuant to the Qualified Defined Contribution Plan shall also apply to the Section 415 Defined Contribution Restoration Benefit and shall be effective at the same time that such election is applicable to the Participant’s Account under the Qualified Defined Contribution Plan. The Administrative Committee shall develop such procedures as it deems necessary for purposes of valuing the Section 415 Defined Contribution Restoration Benefits and maintaining records thereof. The Section 415 Defined Contribution Restoration Benefit shall be calculated for every Plan Year until the expiration of the Plan Year during which occurs the earliest of (1) the Participant’s Termination of Employment for any reason or (2) the termination of the Qualified Defined Contribution Plan under which the Participant is receiving benefits. The Section 415</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6" w:name="page77"/>
    <w:bookmarkEnd w:id="76"/>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Defined Contribution Restoration Benefit shall become payable as provided in Section 5.2 hereof. Effective January 1, 2023, no additional Section 415 Defined Contribution Restoration Benefits will accrue with respect to the Schlumberger Savings and Retirement Plan.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VESTING AND FORM OF PAYMENT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Vesting</w:t>
      </w:r>
    </w:p>
    <w:p>
      <w:pPr>
        <w:spacing w:after="0" w:line="206" w:lineRule="exact"/>
        <w:rPr>
          <w:sz w:val="20"/>
          <w:szCs w:val="20"/>
          <w:color w:val="auto"/>
        </w:rPr>
      </w:pPr>
    </w:p>
    <w:p>
      <w:pPr>
        <w:jc w:val="both"/>
        <w:ind w:firstLine="8"/>
        <w:spacing w:after="0" w:line="236" w:lineRule="auto"/>
        <w:tabs>
          <w:tab w:leader="none" w:pos="172"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shall become vested in the benefits payable in accordance with Sections 3.3 and 4.3 hereof. Notwithstanding the foregoing, a Participant (and his survivor or Beneficiary) shall have no right to a benefit under this Plan if the Administrative Committee determines that the Participant engaged in a dishonest act injurious to the finances or reputation of the Company or any of its Affiliates or that the Participant has violated the Patent and Confidential Information Agreement between the Participant and the Company or any of its Affiliates or any other confidential arrangement involving the Company or any of its Affiliates to which he is a party or by which he is bound.</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Defined Contribution Plan Benefits</w:t>
      </w:r>
    </w:p>
    <w:p>
      <w:pPr>
        <w:spacing w:after="0" w:line="206" w:lineRule="exact"/>
        <w:rPr>
          <w:sz w:val="20"/>
          <w:szCs w:val="20"/>
          <w:color w:val="auto"/>
        </w:rPr>
      </w:pPr>
    </w:p>
    <w:p>
      <w:pPr>
        <w:jc w:val="both"/>
        <w:ind w:firstLine="8"/>
        <w:spacing w:after="0" w:line="244" w:lineRule="auto"/>
        <w:tabs>
          <w:tab w:leader="none" w:pos="21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Defined Contribution Restoration Benefit and the Section 415 Defined Contribution Restoration Benefit (the “Defined Contribution Benefits”) shall be payable in the form of (i) a lump sum or (ii) at the Participant’s election, in five or ten annual installment payments.</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1941"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Lump Sum Payment</w:t>
      </w:r>
      <w:r>
        <w:rPr>
          <w:rFonts w:ascii="Times New Roman" w:cs="Times New Roman" w:eastAsia="Times New Roman" w:hAnsi="Times New Roman"/>
          <w:sz w:val="22"/>
          <w:szCs w:val="22"/>
          <w:color w:val="auto"/>
        </w:rPr>
        <w:t>. Subject to Section 6.5, a lump-sum payment shall be made during the first calendar quarter of the Plan Year following the Participant’s Termination of Employment. In the event of the death of the Participant prior to full payment of his Defined Contribution Benefits, any such unpaid benefits shall be paid in a lump sum to the person or persons who are designated as the Participant’s Beneficiaries under the applicable Qualified Defined Contribution Plan (with the valid consent of the Participant’s Spouse where required under the Qualified Defined Contribution Plan). Any such Defined Contribution Benefits which are paid as a result of the death of the Participant shall be paid in a lump sum during the first calendar quarter of the Plan Year following the Plan Year in which the Participant’s death occurs.</w:t>
      </w:r>
    </w:p>
    <w:p>
      <w:pPr>
        <w:spacing w:after="0" w:line="178" w:lineRule="exact"/>
        <w:rPr>
          <w:rFonts w:ascii="Times New Roman" w:cs="Times New Roman" w:eastAsia="Times New Roman" w:hAnsi="Times New Roman"/>
          <w:sz w:val="22"/>
          <w:szCs w:val="22"/>
          <w:color w:val="auto"/>
        </w:rPr>
      </w:pPr>
    </w:p>
    <w:p>
      <w:pPr>
        <w:jc w:val="both"/>
        <w:ind w:left="760" w:firstLine="745"/>
        <w:spacing w:after="0" w:line="234" w:lineRule="auto"/>
        <w:tabs>
          <w:tab w:leader="none" w:pos="1954"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Installment Payments</w:t>
      </w:r>
      <w:r>
        <w:rPr>
          <w:rFonts w:ascii="Times New Roman" w:cs="Times New Roman" w:eastAsia="Times New Roman" w:hAnsi="Times New Roman"/>
          <w:sz w:val="22"/>
          <w:szCs w:val="22"/>
          <w:color w:val="auto"/>
        </w:rPr>
        <w:t xml:space="preserve">. Subject to the rules established by the Administrative Committee, the Participant may file a distribution election, directing the Defined Contribution Benefits to be distributed in annual installment payments over five or ten years. Such distribution election must be made in the manner specified by the Administrative Committee for that purpose. With respect to Defined Contribution Benefits earned prior to January 1, 2016, the Participant may elect to have his Defined Contribution Benefits distributed in annual installments;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any such election shall not take effect until at least 12 months after the election was made and the first annual installment shall not be payable prior to the date five years following the first day of the Plan Year following Participant’s Termination of Employment. With respect to Defined Contribution Benefits earned on or after January 1, 2016, the Participant may elect to have</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7" w:name="page78"/>
    <w:bookmarkEnd w:id="77"/>
    <w:p>
      <w:pPr>
        <w:jc w:val="both"/>
        <w:ind w:left="752"/>
        <w:spacing w:after="0" w:line="244" w:lineRule="auto"/>
        <w:rPr>
          <w:sz w:val="20"/>
          <w:szCs w:val="20"/>
          <w:color w:val="auto"/>
        </w:rPr>
      </w:pPr>
      <w:r>
        <w:rPr>
          <w:rFonts w:ascii="Times New Roman" w:cs="Times New Roman" w:eastAsia="Times New Roman" w:hAnsi="Times New Roman"/>
          <w:sz w:val="22"/>
          <w:szCs w:val="22"/>
          <w:color w:val="auto"/>
        </w:rPr>
        <w:t>his Defined Contribution Benefits distributed in annual installments and subject to Section 6.5, the first annual installment shall be payable during the first calendar quarter of the Plan Year following the Participant’s Termination of Employment.</w:t>
      </w:r>
    </w:p>
    <w:p>
      <w:pPr>
        <w:spacing w:after="0" w:line="173" w:lineRule="exact"/>
        <w:rPr>
          <w:sz w:val="20"/>
          <w:szCs w:val="20"/>
          <w:color w:val="auto"/>
        </w:rPr>
      </w:pPr>
    </w:p>
    <w:p>
      <w:pPr>
        <w:jc w:val="both"/>
        <w:ind w:left="752" w:firstLine="745"/>
        <w:spacing w:after="0" w:line="234" w:lineRule="auto"/>
        <w:tabs>
          <w:tab w:leader="none" w:pos="194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Form or Timing of Benefit Payments</w:t>
      </w:r>
      <w:r>
        <w:rPr>
          <w:rFonts w:ascii="Times New Roman" w:cs="Times New Roman" w:eastAsia="Times New Roman" w:hAnsi="Times New Roman"/>
          <w:sz w:val="22"/>
          <w:szCs w:val="22"/>
          <w:color w:val="auto"/>
        </w:rPr>
        <w:t xml:space="preserve">. A Participant may change an existing election for the Defined Contribution Benefits no later than 12 months prior to the date thatsuch benefit is otherwise scheduled to be paid (or to commence payment);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payment, or first payment in the case of an installment payment, under the subsequent distribution election shall be deferred to a date that is at least five years after the date the Participant would have received his distribution of Defined Contribution Benefits under his prior election. Such subsequent distribution election is subject to the rules established by the Administrative Committee and must be made in the manner specified by the Administrative Committee for that purpose. The requirement in this Section 5.2(c) that the first payment with respect to which any election thereunder applies must be deferred for at least five years shall not apply to a payment involving the Participant’s death.</w:t>
      </w:r>
    </w:p>
    <w:p>
      <w:pPr>
        <w:spacing w:after="0" w:line="183"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Defined Benefit Plan Benefits</w:t>
      </w:r>
    </w:p>
    <w:p>
      <w:pPr>
        <w:spacing w:after="0" w:line="206" w:lineRule="exact"/>
        <w:rPr>
          <w:sz w:val="20"/>
          <w:szCs w:val="20"/>
          <w:color w:val="auto"/>
        </w:rPr>
      </w:pPr>
    </w:p>
    <w:p>
      <w:pPr>
        <w:jc w:val="both"/>
        <w:ind w:left="-8" w:firstLine="8"/>
        <w:spacing w:after="0" w:line="232" w:lineRule="auto"/>
        <w:tabs>
          <w:tab w:leader="none" w:pos="17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6.5, the vested Defined Benefit Restoration Benefit and the vested Section 415 Defined Benefit Restoration Benefit (the “Defined Benefits”) shall be payable in the form of an annuity to commence on the first day of the month following the later of (i) the Participant’s Termination of Employment and (ii) the earliest of (A) Participant’s attainment of age 55, (B) the Participant’s attainment of age 50 with 20 years of credited Active Service or (C) Participant’s death. Notwithstanding the preceding sentence, with respect to a Participant’s vested Defined Benefits that relate to benefits accrued under the Schlumberger Pension Plan for US Taxpayers Employed Abroad after December 31, 2009, the commencement date for benefits earned after December 31, 2009 shall be the first day of the month following the later of the Participant’s Termination of Employment and the earlier of (x) the date the Participant attains age 60 or (y) the Participant’s death If Participant is unmarried on the date of his Termination of Employment, the Defined Benefits shall be paid in the form of a single life annuity. If Participant is married on the date of his Termination of Employment, Participant’s benefit shall be paid in the form of one of the following Actuarially Equivalent annuity forms elected by Participant no later than his Termination of Employment: 50%, 75% or 100% joint and survivor annuity with Participant’s surviving Spouse. If a married Participant has not elected a form of joint and survivor annuity as of the date of his Termination of Employment, his benefit shall automatically be paid in the form of a 50% joint and survivor annuity with Participant’s surviving Spouse. In the event of the death of a Participant prior to commencement of his Defined Benefits or after commencement of such benefits, but prior to final satisfaction of all such amounts under this Plan, the Defined Benefits shall be paid to Participant’s surviving Spouse, if applicable, in accordance with the form of joint and survivor annuity benefits elected by the Participant.</w:t>
      </w:r>
    </w:p>
    <w:p>
      <w:pPr>
        <w:spacing w:after="0" w:line="190"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Non-Duplication of Benefits</w:t>
      </w:r>
    </w:p>
    <w:p>
      <w:pPr>
        <w:spacing w:after="0" w:line="206" w:lineRule="exact"/>
        <w:rPr>
          <w:sz w:val="20"/>
          <w:szCs w:val="20"/>
          <w:color w:val="auto"/>
        </w:rPr>
      </w:pPr>
    </w:p>
    <w:p>
      <w:pPr>
        <w:jc w:val="both"/>
        <w:ind w:left="-8" w:firstLine="8"/>
        <w:spacing w:after="0" w:line="244" w:lineRule="auto"/>
        <w:tabs>
          <w:tab w:leader="none" w:pos="18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purpose of this Plan is to restore certain benefits which would otherwise be lost under the Qualified Plans. The benefits payable under this Plan shall be coordinated to ensure that benefit reductions attributable to the Code Section 401(a)(17) Limitations and the Code Section 415</w:t>
      </w:r>
    </w:p>
    <w:p>
      <w:pPr>
        <w:spacing w:after="0" w:line="173" w:lineRule="exact"/>
        <w:rPr>
          <w:sz w:val="20"/>
          <w:szCs w:val="20"/>
          <w:color w:val="auto"/>
        </w:rPr>
      </w:pPr>
    </w:p>
    <w:p>
      <w:pPr>
        <w:ind w:left="292"/>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409575</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55" w:right="339" w:bottom="1440" w:gutter="0" w:footer="0" w:header="0"/>
        </w:sectPr>
      </w:pPr>
    </w:p>
    <w:bookmarkStart w:id="78" w:name="page79"/>
    <w:bookmarkEnd w:id="78"/>
    <w:p>
      <w:pPr>
        <w:jc w:val="both"/>
        <w:spacing w:after="0" w:line="261" w:lineRule="auto"/>
        <w:rPr>
          <w:sz w:val="20"/>
          <w:szCs w:val="20"/>
          <w:color w:val="auto"/>
        </w:rPr>
      </w:pPr>
      <w:r>
        <w:rPr>
          <w:rFonts w:ascii="Times New Roman" w:cs="Times New Roman" w:eastAsia="Times New Roman" w:hAnsi="Times New Roman"/>
          <w:sz w:val="21"/>
          <w:szCs w:val="21"/>
          <w:color w:val="auto"/>
        </w:rPr>
        <w:t>Limitations are calculated to prevent duplication of benefits under this Plan. As pension payment amounts are adjusted annually under the Qualified Defined Benefit Plans to take into account cost of living adjustments prescribed by the Secretary of Treasury, the amount of the Section 415 Defined Benefit Restoration Benefit shall be adjusted annually to reflect such changes.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SL Plan Benefits</w:t>
      </w:r>
    </w:p>
    <w:p>
      <w:pPr>
        <w:spacing w:after="0" w:line="206" w:lineRule="exact"/>
        <w:rPr>
          <w:sz w:val="20"/>
          <w:szCs w:val="20"/>
          <w:color w:val="auto"/>
        </w:rPr>
      </w:pPr>
    </w:p>
    <w:p>
      <w:pPr>
        <w:jc w:val="both"/>
        <w:ind w:firstLine="8"/>
        <w:spacing w:after="0" w:line="236" w:lineRule="auto"/>
        <w:tabs>
          <w:tab w:leader="none" w:pos="16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SL Plan Benefits shall be payable hereunder and the applicable Employer continues to be liable (as described in Section 1.6 hereof and of the SL Plan) for the payment of such benefits . Such SL Plan Benefits shall be subject to all of the applicable terms and provisions hereof as though accrued hereunder rather than under the SL Plan. To the extent that any SL Plan Benefits are paid pursuant to the SL Plan, such benefits shall be deemed for all purposes to have been paid pursuant to the terms of this Plan. Notwithstanding any provision herein to the contrary, this Plan shall be administered to prevent duplication of any benefits paid under the SL Plan.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ADMINISTRATION</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Administration</w:t>
      </w:r>
    </w:p>
    <w:p>
      <w:pPr>
        <w:spacing w:after="0" w:line="206" w:lineRule="exact"/>
        <w:rPr>
          <w:sz w:val="20"/>
          <w:szCs w:val="20"/>
          <w:color w:val="auto"/>
        </w:rPr>
      </w:pPr>
    </w:p>
    <w:p>
      <w:pPr>
        <w:jc w:val="both"/>
        <w:ind w:firstLine="8"/>
        <w:spacing w:after="0" w:line="235" w:lineRule="auto"/>
        <w:tabs>
          <w:tab w:leader="none" w:pos="24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shall be administered, construed and interpreted by the Administrative Committee. The determinations by the Administrative Committee as to any disputed questions arising under the Plan, including questions concerning the Employees who are eligible to be Participants in the Plan and the amounts of their benefits under the Plan, and the construction and interpretation by the Administrative Committee of any provision of the Plan, shall be final, conclusive and binding upon all persons including Participants, their Beneficiaries and survivors, the Company, its stockholders and Employees, and the Employers. A member of the Administrative Committee who is also a Participant in the Plan must abstain from voting on any matter relating specifically to his own benefits under the Plan.</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Expenses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The expenses of administering the Plan shall be borne by the Company.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Indemnification</w:t>
      </w:r>
    </w:p>
    <w:p>
      <w:pPr>
        <w:spacing w:after="0" w:line="206" w:lineRule="exact"/>
        <w:rPr>
          <w:sz w:val="20"/>
          <w:szCs w:val="20"/>
          <w:color w:val="auto"/>
        </w:rPr>
      </w:pPr>
    </w:p>
    <w:p>
      <w:pPr>
        <w:jc w:val="both"/>
        <w:ind w:firstLine="8"/>
        <w:spacing w:after="0" w:line="235" w:lineRule="auto"/>
        <w:tabs>
          <w:tab w:leader="none" w:pos="17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members of the Administrative Committee and its agents shall be indemnified and held harmless by the Company against and from any and all loss, cost, liability, or expense that may be imposed upon or reasonably incurred by them in connection with or resulting from any claim, action, suit, or proceeding to which they may be a party or in which they may be involved by reason of any action taken or failure to act under this Plan and against and from any and all amounts paid by them in settlement (with the Company’s written approval) or paid by them in satisfaction of a judgment in any such action, suit, or proceeding. The foregoing provisions shall not be applicable to any person if the loss, cost, liability or expense is due to such person’s gross negligence or willful misconduct.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409A Compliance</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9" w:name="page80"/>
    <w:bookmarkEnd w:id="79"/>
    <w:p>
      <w:pPr>
        <w:jc w:val="both"/>
        <w:ind w:firstLine="8"/>
        <w:spacing w:after="0" w:line="235" w:lineRule="auto"/>
        <w:tabs>
          <w:tab w:leader="none" w:pos="21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intended that the provisions of this Plan satisfy the requirements of Section 409A and that the Plan be construed and operated in a manner consistent with such requirements to the extent applicable. In accordance with Section 409A, an entitlement to a series of payments under this Plan is to be treated as an entitlement to a series of separate payments. Notwithstanding any provision of this Plan to the contrary, participation in this Plan constitutes acknowledgement and agreement by each Participant that the Company and its employees, officers, directors and Affiliates shall not be liable for, and nothing provided or contained in this Plan will be construed to obligate or cause the Company and/or its employees, officers, directors and Affiliates to be liable for, any tax, interest or penalties imposed on a Participant related to or arising with respect to any violation of Section 409A.</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u w:val="single" w:color="auto"/>
          <w:color w:val="auto"/>
        </w:rPr>
        <w:t>Specified Employees</w:t>
      </w:r>
    </w:p>
    <w:p>
      <w:pPr>
        <w:spacing w:after="0" w:line="206" w:lineRule="exact"/>
        <w:rPr>
          <w:sz w:val="20"/>
          <w:szCs w:val="20"/>
          <w:color w:val="auto"/>
        </w:rPr>
      </w:pPr>
    </w:p>
    <w:p>
      <w:pPr>
        <w:jc w:val="both"/>
        <w:ind w:firstLine="8"/>
        <w:spacing w:after="0" w:line="233" w:lineRule="auto"/>
        <w:tabs>
          <w:tab w:leader="none" w:pos="19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is a “specified employee,” as such term is defined and determined below in this Section 6.5, any payments payable as a result of the Participant’s Termination of Employment (other than death) shall not be payable before the earlier of (i) the date that is six months after the Participant’s Termination of Employment, (ii) the date of the Participant’s death, or (iii) the date that otherwise complies with the requirements of Section 409A. A Participant shall be a “specified employee” for the twelve-month period beginning on April 1 of a year if the Participant is a “key employee” as defined in Section 416(i) of the Internal Revenue Code (without regard to Section 416(i)(5) and further described below) as of December 31 of the preceding year or using such dates as designated by the Administrative Committee in accordance with Section 409A and in a manner that is consistent with respect to all of the Company’s nonqualified deferred compensation plans. For purposes of determining the identity of specified employees, the Administrative Committee may establish procedures as it deems appropriate in accordance with Section 409A. A “key employee” is an employee who is (1) one of the top 50 highly paid officers of the Company having an annual income greater than $175,000 in 2018 (with such amount annually adjusted in accordance with Code Section 415(d) for calendar years thereafter); (2) a 5-percent owner of the Company, or (3) is a 1-percent owner of the Company having an annual compensation from the employer of more than $150,000.</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6.6  </w:t>
      </w:r>
      <w:r>
        <w:rPr>
          <w:rFonts w:ascii="Times New Roman" w:cs="Times New Roman" w:eastAsia="Times New Roman" w:hAnsi="Times New Roman"/>
          <w:sz w:val="22"/>
          <w:szCs w:val="22"/>
          <w:u w:val="single" w:color="auto"/>
          <w:color w:val="auto"/>
        </w:rPr>
        <w:t>Non-Alienation of Benefits</w:t>
      </w:r>
    </w:p>
    <w:p>
      <w:pPr>
        <w:spacing w:after="0" w:line="206" w:lineRule="exact"/>
        <w:rPr>
          <w:sz w:val="20"/>
          <w:szCs w:val="20"/>
          <w:color w:val="auto"/>
        </w:rPr>
      </w:pPr>
    </w:p>
    <w:p>
      <w:pPr>
        <w:jc w:val="both"/>
        <w:ind w:firstLine="8"/>
        <w:spacing w:after="0" w:line="238" w:lineRule="auto"/>
        <w:tabs>
          <w:tab w:leader="none" w:pos="16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by mutual agreement between the Company and the Participant, any benefit payable under this Plan shall not be subject in any manner to anticipation, alienation, sale, transfer, assignment, pledge, encumbrance, or charge, whether voluntary, involuntary, by operation of law or otherwise, and any attempt at such shall be void, and any such benefit shall not in any way be subject to the debts, contract, liabilities, engagements, or torts of the person who shall be entitled to such to such benefit, nor shall it be subject to attachment or legal process for or against such person.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MERGER, AMENDMENT AND TERMINATION</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Merger, Consolidation or Acquisition</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0" w:name="page81"/>
    <w:bookmarkEnd w:id="80"/>
    <w:p>
      <w:pPr>
        <w:jc w:val="both"/>
        <w:ind w:left="-8" w:firstLine="8"/>
        <w:spacing w:after="0" w:line="238" w:lineRule="auto"/>
        <w:tabs>
          <w:tab w:leader="none" w:pos="167"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merger, consolidation or acquisition where an Employer is not the surviving corporation, unless the successor or acquiring corporation shall elect to continue and carry on the Plan, this Plan shall terminate with respect to such Employer, and no additional benefits shall accrue for the Employees of such Employer. Unpaid vested benefits which have been accrued up to the date of the merger, consolidation or acquisition shall be paid as scheduled unless the successor or acquiring corporation elects to accelerate payment.</w:t>
      </w:r>
    </w:p>
    <w:p>
      <w:pPr>
        <w:spacing w:after="0" w:line="177"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Amendment and Termination</w:t>
      </w:r>
    </w:p>
    <w:p>
      <w:pPr>
        <w:spacing w:after="0" w:line="206" w:lineRule="exact"/>
        <w:rPr>
          <w:sz w:val="20"/>
          <w:szCs w:val="20"/>
          <w:color w:val="auto"/>
        </w:rPr>
      </w:pPr>
    </w:p>
    <w:p>
      <w:pPr>
        <w:jc w:val="both"/>
        <w:ind w:left="-8" w:firstLine="8"/>
        <w:spacing w:after="0" w:line="244" w:lineRule="auto"/>
        <w:tabs>
          <w:tab w:leader="none" w:pos="16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may amend, modify, or terminate the Plan in whole or in part at any time. In the event of a termination of the Plan pursuant to this Section, unpaid vested benefits shall continue to be an obligation of the Company and shall be paid as scheduled or at such other time as may be permitted upon a plan termination pursuant to Section 409A.</w:t>
      </w:r>
    </w:p>
    <w:p>
      <w:pPr>
        <w:spacing w:after="0" w:line="173"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Participating Subsidiaries</w:t>
      </w:r>
    </w:p>
    <w:p>
      <w:pPr>
        <w:spacing w:after="0" w:line="206" w:lineRule="exact"/>
        <w:rPr>
          <w:sz w:val="20"/>
          <w:szCs w:val="20"/>
          <w:color w:val="auto"/>
        </w:rPr>
      </w:pPr>
    </w:p>
    <w:p>
      <w:pPr>
        <w:jc w:val="both"/>
        <w:ind w:left="-8" w:firstLine="8"/>
        <w:spacing w:after="0" w:line="238" w:lineRule="auto"/>
        <w:tabs>
          <w:tab w:leader="none" w:pos="19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Subsidiary that meets the definition of a Participating Affiliate or an Employer under a Qualified Plan and that has any Employees whose benefits under such Qualified Plan are affected by the Code Section 401(a)(17) Limitations or the Code Section 415 Limitations shall be deemed to have adopted this Plan for the benefit of such eligible Employees. Such Subsidiary shall be bound as an Employer by all the terms, provisions, conditions, and limitations of the Plan and shall compile and submit all information required by the Company with reference to its Employees who are eligible for participation in the Plan.</w:t>
      </w:r>
    </w:p>
    <w:p>
      <w:pPr>
        <w:spacing w:after="0" w:line="393" w:lineRule="exact"/>
        <w:rPr>
          <w:sz w:val="20"/>
          <w:szCs w:val="20"/>
          <w:color w:val="auto"/>
        </w:rPr>
      </w:pPr>
    </w:p>
    <w:p>
      <w:pPr>
        <w:ind w:left="292"/>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409575</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55" w:right="339" w:bottom="1440" w:gutter="0" w:footer="0" w:header="0"/>
        </w:sectPr>
      </w:pPr>
    </w:p>
    <w:bookmarkStart w:id="81" w:name="page82"/>
    <w:bookmarkEnd w:id="81"/>
    <w:p>
      <w:pPr>
        <w:ind w:firstLine="1497"/>
        <w:spacing w:after="0" w:line="258" w:lineRule="auto"/>
        <w:rPr>
          <w:sz w:val="20"/>
          <w:szCs w:val="20"/>
          <w:color w:val="auto"/>
        </w:rPr>
      </w:pPr>
      <w:r>
        <w:rPr>
          <w:rFonts w:ascii="Times New Roman" w:cs="Times New Roman" w:eastAsia="Times New Roman" w:hAnsi="Times New Roman"/>
          <w:sz w:val="22"/>
          <w:szCs w:val="22"/>
          <w:color w:val="auto"/>
        </w:rPr>
        <w:t>IN WITNESS WHEREOF, the Company has caused this instrument to be executed by its duly authorized officer, effective as of the first day of January, 2018.</w:t>
      </w:r>
    </w:p>
    <w:p>
      <w:pPr>
        <w:spacing w:after="0" w:line="15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SCHLUMBERGER TECHNOLOGY CORPORATION</w:t>
      </w:r>
    </w:p>
    <w:p>
      <w:pPr>
        <w:spacing w:after="0" w:line="200" w:lineRule="exact"/>
        <w:rPr>
          <w:sz w:val="20"/>
          <w:szCs w:val="20"/>
          <w:color w:val="auto"/>
        </w:rPr>
      </w:pPr>
    </w:p>
    <w:p>
      <w:pPr>
        <w:spacing w:after="0" w:line="33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Lorraine Mah_________________</w:t>
      </w:r>
    </w:p>
    <w:p>
      <w:pPr>
        <w:spacing w:after="0" w:line="20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Lorraine Mah</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Member of Administrative Committee, on behalf of Administrative</w:t>
      </w:r>
    </w:p>
    <w:p>
      <w:pPr>
        <w:ind w:left="4500"/>
        <w:spacing w:after="0"/>
        <w:rPr>
          <w:sz w:val="20"/>
          <w:szCs w:val="20"/>
          <w:color w:val="auto"/>
        </w:rPr>
      </w:pPr>
      <w:r>
        <w:rPr>
          <w:rFonts w:ascii="Times New Roman" w:cs="Times New Roman" w:eastAsia="Times New Roman" w:hAnsi="Times New Roman"/>
          <w:sz w:val="22"/>
          <w:szCs w:val="22"/>
          <w:color w:val="auto"/>
        </w:rPr>
        <w:t>Committee</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2" w:name="page83"/>
    <w:bookmarkEnd w:id="82"/>
    <w:p>
      <w:pPr>
        <w:ind w:left="480"/>
        <w:spacing w:after="0"/>
        <w:rPr>
          <w:sz w:val="20"/>
          <w:szCs w:val="20"/>
          <w:color w:val="auto"/>
        </w:rPr>
      </w:pPr>
      <w:r>
        <w:rPr>
          <w:rFonts w:ascii="Arial" w:cs="Arial" w:eastAsia="Arial" w:hAnsi="Arial"/>
          <w:sz w:val="22"/>
          <w:szCs w:val="22"/>
          <w:color w:val="auto"/>
        </w:rPr>
        <w:t>Exhibit 10.19</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INDEMNIFICATION AGREEMENT</w:t>
      </w:r>
    </w:p>
    <w:p>
      <w:pPr>
        <w:spacing w:after="0" w:line="184" w:lineRule="exact"/>
        <w:rPr>
          <w:sz w:val="20"/>
          <w:szCs w:val="20"/>
          <w:color w:val="auto"/>
        </w:rPr>
      </w:pPr>
    </w:p>
    <w:p>
      <w:pPr>
        <w:jc w:val="both"/>
        <w:ind w:firstLine="440"/>
        <w:spacing w:after="0" w:line="247" w:lineRule="auto"/>
        <w:rPr>
          <w:sz w:val="20"/>
          <w:szCs w:val="20"/>
          <w:color w:val="auto"/>
        </w:rPr>
      </w:pPr>
      <w:r>
        <w:rPr>
          <w:rFonts w:ascii="Arial" w:cs="Arial" w:eastAsia="Arial" w:hAnsi="Arial"/>
          <w:sz w:val="19"/>
          <w:szCs w:val="19"/>
          <w:color w:val="auto"/>
        </w:rPr>
        <w:t xml:space="preserve">This Indemnification Agreement, including the attached glossary in </w:t>
      </w:r>
      <w:r>
        <w:rPr>
          <w:rFonts w:ascii="Arial" w:cs="Arial" w:eastAsia="Arial" w:hAnsi="Arial"/>
          <w:sz w:val="19"/>
          <w:szCs w:val="19"/>
          <w:u w:val="single" w:color="auto"/>
          <w:color w:val="auto"/>
        </w:rPr>
        <w:t>Schedule A</w:t>
      </w:r>
      <w:r>
        <w:rPr>
          <w:rFonts w:ascii="Arial" w:cs="Arial" w:eastAsia="Arial" w:hAnsi="Arial"/>
          <w:sz w:val="19"/>
          <w:szCs w:val="19"/>
          <w:color w:val="auto"/>
        </w:rPr>
        <w:t>, (the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effective as of [_____], 20[__], by and between Schlumberger Limited (Schlumberger N.V.), a Curaçao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w:t>
      </w:r>
    </w:p>
    <w:p>
      <w:pPr>
        <w:spacing w:after="0"/>
        <w:rPr>
          <w:sz w:val="20"/>
          <w:szCs w:val="20"/>
          <w:color w:val="auto"/>
        </w:rPr>
      </w:pPr>
      <w:r>
        <w:rPr>
          <w:rFonts w:ascii="Arial" w:cs="Arial" w:eastAsia="Arial" w:hAnsi="Arial"/>
          <w:sz w:val="20"/>
          <w:szCs w:val="20"/>
          <w:color w:val="auto"/>
        </w:rPr>
        <w:t>[_______________], a member of the Board of Directors of the Company (“</w:t>
      </w:r>
      <w:r>
        <w:rPr>
          <w:rFonts w:ascii="Arial" w:cs="Arial" w:eastAsia="Arial" w:hAnsi="Arial"/>
          <w:sz w:val="20"/>
          <w:szCs w:val="20"/>
          <w:u w:val="single" w:color="auto"/>
          <w:color w:val="auto"/>
        </w:rPr>
        <w:t>Indemnitee</w:t>
      </w:r>
      <w:r>
        <w:rPr>
          <w:rFonts w:ascii="Arial" w:cs="Arial" w:eastAsia="Arial" w:hAnsi="Arial"/>
          <w:sz w:val="20"/>
          <w:szCs w:val="20"/>
          <w:color w:val="auto"/>
        </w:rPr>
        <w:t>”).</w:t>
      </w:r>
    </w:p>
    <w:p>
      <w:pPr>
        <w:spacing w:after="0" w:line="184"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0"/>
          <w:szCs w:val="20"/>
          <w:color w:val="auto"/>
        </w:rPr>
        <w:t>Section 1.</w:t>
      </w:r>
      <w:r>
        <w:rPr>
          <w:rFonts w:ascii="Arial" w:cs="Arial" w:eastAsia="Arial" w:hAnsi="Arial"/>
          <w:sz w:val="20"/>
          <w:szCs w:val="20"/>
          <w:u w:val="single" w:color="auto"/>
          <w:color w:val="auto"/>
        </w:rPr>
        <w:t>Agreement to Serve</w:t>
      </w:r>
      <w:r>
        <w:rPr>
          <w:rFonts w:ascii="Arial" w:cs="Arial" w:eastAsia="Arial" w:hAnsi="Arial"/>
          <w:sz w:val="20"/>
          <w:szCs w:val="20"/>
          <w:color w:val="auto"/>
        </w:rPr>
        <w:t>. Indemnitee agrees to serve or continue to serve, as the case may be, as a member of the Board of Directors (if duly elected and/or reelected or until such Director’s death, resignation or removal) of the Company. Indemnitee may at any time and for any reason resign from such position (subject to any other contractual obligation or any obligation imposed by operation of law). This Agreement does not create any obligation on the Company to continue Indemnitee in such position and is not an employment contract between the Company (or any of its subsidiaries or any Enterprise) and Indemnitee.</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Section 2.</w:t>
      </w:r>
      <w:r>
        <w:rPr>
          <w:rFonts w:ascii="Arial" w:cs="Arial" w:eastAsia="Arial" w:hAnsi="Arial"/>
          <w:sz w:val="20"/>
          <w:szCs w:val="20"/>
          <w:u w:val="single" w:color="auto"/>
          <w:color w:val="auto"/>
        </w:rPr>
        <w:t>Indemnification</w:t>
      </w:r>
      <w:r>
        <w:rPr>
          <w:rFonts w:ascii="Arial" w:cs="Arial" w:eastAsia="Arial" w:hAnsi="Arial"/>
          <w:sz w:val="20"/>
          <w:szCs w:val="20"/>
          <w:color w:val="auto"/>
        </w:rPr>
        <w:t>.</w:t>
      </w:r>
    </w:p>
    <w:p>
      <w:pPr>
        <w:spacing w:after="0" w:line="216" w:lineRule="exact"/>
        <w:rPr>
          <w:sz w:val="20"/>
          <w:szCs w:val="20"/>
          <w:color w:val="auto"/>
        </w:rPr>
      </w:pPr>
    </w:p>
    <w:p>
      <w:pPr>
        <w:jc w:val="both"/>
        <w:ind w:firstLine="1505"/>
        <w:spacing w:after="0" w:line="232" w:lineRule="auto"/>
        <w:tabs>
          <w:tab w:leader="none" w:pos="2036" w:val="left"/>
        </w:tabs>
        <w:numPr>
          <w:ilvl w:val="0"/>
          <w:numId w:val="83"/>
        </w:numPr>
        <w:rPr>
          <w:rFonts w:ascii="Arial" w:cs="Arial" w:eastAsia="Arial" w:hAnsi="Arial"/>
          <w:sz w:val="22"/>
          <w:szCs w:val="22"/>
          <w:color w:val="auto"/>
        </w:rPr>
      </w:pPr>
      <w:r>
        <w:rPr>
          <w:rFonts w:ascii="Arial" w:cs="Arial" w:eastAsia="Arial" w:hAnsi="Arial"/>
          <w:sz w:val="20"/>
          <w:szCs w:val="20"/>
          <w:u w:val="single" w:color="auto"/>
          <w:color w:val="auto"/>
        </w:rPr>
        <w:t>Indemnification of Expenses</w:t>
      </w:r>
      <w:r>
        <w:rPr>
          <w:rFonts w:ascii="Arial" w:cs="Arial" w:eastAsia="Arial" w:hAnsi="Arial"/>
          <w:sz w:val="20"/>
          <w:szCs w:val="20"/>
          <w:color w:val="auto"/>
        </w:rPr>
        <w:t>. The Company will indemnify Indemnitee against any and all Expenses to the fullest extent permitted by law and the Articles of Incorporation and Amended and Restated By-Laws of the Company as in effect from time to time (collectively, the “</w:t>
      </w:r>
      <w:r>
        <w:rPr>
          <w:rFonts w:ascii="Arial" w:cs="Arial" w:eastAsia="Arial" w:hAnsi="Arial"/>
          <w:sz w:val="20"/>
          <w:szCs w:val="20"/>
          <w:u w:val="single" w:color="auto"/>
          <w:color w:val="auto"/>
        </w:rPr>
        <w:t>Constituent Documents</w:t>
      </w:r>
      <w:r>
        <w:rPr>
          <w:rFonts w:ascii="Arial" w:cs="Arial" w:eastAsia="Arial" w:hAnsi="Arial"/>
          <w:sz w:val="20"/>
          <w:szCs w:val="20"/>
          <w:color w:val="auto"/>
        </w:rPr>
        <w:t>”) if Indemnitee was, is, becomes or is threatened to be made a party to or witness or other participant in a Claim by reason of (or arising in part out of) an Indemnifiable Event irrespective of whether Indemnitee has ceased to be a/an member of the Board of Directors of the Company.</w:t>
      </w:r>
    </w:p>
    <w:p>
      <w:pPr>
        <w:spacing w:after="0" w:line="176"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The parties intend for the Company to indemnify Indemnitee to the fullest extent permitted by law and the Constituent Documents in all circumstances. If there is any change of law or change in the Constituent Documents after the date of this Agreement that expands the right of the Company to indemnify Indemnitee, it is the intent of the parties that the Company will indemnify Indemnitee to the fullest extent afforded by such change. If there is any change of law or change in the Constituent Documents that narrows the right of the Company to indemnify Indemnitee, unless otherwise required by such change in law, such change will have no effect on this Agreement or the parties’ rights and obligations under this Agreement.</w:t>
      </w:r>
    </w:p>
    <w:p>
      <w:pPr>
        <w:spacing w:after="0" w:line="186" w:lineRule="exact"/>
        <w:rPr>
          <w:sz w:val="20"/>
          <w:szCs w:val="20"/>
          <w:color w:val="auto"/>
        </w:rPr>
      </w:pPr>
    </w:p>
    <w:p>
      <w:pPr>
        <w:ind w:left="2040" w:hanging="535"/>
        <w:spacing w:after="0"/>
        <w:tabs>
          <w:tab w:leader="none" w:pos="2040" w:val="left"/>
        </w:tabs>
        <w:numPr>
          <w:ilvl w:val="0"/>
          <w:numId w:val="84"/>
        </w:numPr>
        <w:rPr>
          <w:rFonts w:ascii="Arial" w:cs="Arial" w:eastAsia="Arial" w:hAnsi="Arial"/>
          <w:sz w:val="22"/>
          <w:szCs w:val="22"/>
          <w:color w:val="auto"/>
        </w:rPr>
      </w:pPr>
      <w:r>
        <w:rPr>
          <w:rFonts w:ascii="Arial" w:cs="Arial" w:eastAsia="Arial" w:hAnsi="Arial"/>
          <w:sz w:val="20"/>
          <w:szCs w:val="20"/>
          <w:u w:val="single" w:color="auto"/>
          <w:color w:val="auto"/>
        </w:rPr>
        <w:t>Procedure for Determining Availability of Indemnity</w:t>
      </w:r>
      <w:r>
        <w:rPr>
          <w:rFonts w:ascii="Arial" w:cs="Arial" w:eastAsia="Arial" w:hAnsi="Arial"/>
          <w:sz w:val="20"/>
          <w:szCs w:val="20"/>
          <w:color w:val="auto"/>
        </w:rPr>
        <w:t>.</w:t>
      </w:r>
    </w:p>
    <w:p>
      <w:pPr>
        <w:spacing w:after="0" w:line="192" w:lineRule="exact"/>
        <w:rPr>
          <w:rFonts w:ascii="Arial" w:cs="Arial" w:eastAsia="Arial" w:hAnsi="Arial"/>
          <w:sz w:val="22"/>
          <w:szCs w:val="22"/>
          <w:color w:val="auto"/>
        </w:rPr>
      </w:pPr>
    </w:p>
    <w:p>
      <w:pPr>
        <w:jc w:val="both"/>
        <w:ind w:firstLine="2254"/>
        <w:spacing w:after="0" w:line="232" w:lineRule="auto"/>
        <w:tabs>
          <w:tab w:leader="none" w:pos="2546" w:val="left"/>
        </w:tabs>
        <w:numPr>
          <w:ilvl w:val="1"/>
          <w:numId w:val="84"/>
        </w:numPr>
        <w:rPr>
          <w:rFonts w:ascii="Arial" w:cs="Arial" w:eastAsia="Arial" w:hAnsi="Arial"/>
          <w:sz w:val="20"/>
          <w:szCs w:val="20"/>
          <w:color w:val="auto"/>
        </w:rPr>
      </w:pPr>
      <w:r>
        <w:rPr>
          <w:rFonts w:ascii="Arial" w:cs="Arial" w:eastAsia="Arial" w:hAnsi="Arial"/>
          <w:sz w:val="20"/>
          <w:szCs w:val="20"/>
          <w:color w:val="auto"/>
        </w:rPr>
        <w:t>Indemnitee will notify the Company in writing of any Claim for which Indemnitee intends to seek indemnification or Expenses reimbursement as soon as possible after the Indemnitee has received written notice of the Claim. Indemnitee’s written notice to the Company will include a description of the nature of the Claim and the facts of the Indemnifiable Event underlying the Claim. Indemnitee will also provide all available documentation and information necessary to determine whether and to what extent Indemnitee is entitled to indemnification. Indemnitee’s failure to notify the Company will not relieve the Company from any obligation it may have to Indemnitee under this Agreement, and any delay in so notifying the Company will not constitute a waiver by Indemnitee of any rights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3" w:name="page84"/>
    <w:bookmarkEnd w:id="83"/>
    <w:p>
      <w:pPr>
        <w:jc w:val="both"/>
        <w:ind w:firstLine="2254"/>
        <w:spacing w:after="0" w:line="241" w:lineRule="auto"/>
        <w:tabs>
          <w:tab w:leader="none" w:pos="2546" w:val="left"/>
        </w:tabs>
        <w:numPr>
          <w:ilvl w:val="1"/>
          <w:numId w:val="85"/>
        </w:numPr>
        <w:rPr>
          <w:rFonts w:ascii="Arial" w:cs="Arial" w:eastAsia="Arial" w:hAnsi="Arial"/>
          <w:sz w:val="20"/>
          <w:szCs w:val="20"/>
          <w:color w:val="auto"/>
        </w:rPr>
      </w:pPr>
      <w:r>
        <w:rPr>
          <w:rFonts w:ascii="Arial" w:cs="Arial" w:eastAsia="Arial" w:hAnsi="Arial"/>
          <w:sz w:val="20"/>
          <w:szCs w:val="20"/>
          <w:color w:val="auto"/>
        </w:rPr>
        <w:t>Within 20 days of the receipt of the final disposition of the Claim for which Indemnitee requested indemnification, the Board of Directors will appoint a Reviewing Party to review the request for indemnification. “</w:t>
      </w:r>
      <w:r>
        <w:rPr>
          <w:rFonts w:ascii="Arial" w:cs="Arial" w:eastAsia="Arial" w:hAnsi="Arial"/>
          <w:sz w:val="20"/>
          <w:szCs w:val="20"/>
          <w:u w:val="single" w:color="auto"/>
          <w:color w:val="auto"/>
        </w:rPr>
        <w:t>Reviewing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Party</w:t>
      </w:r>
      <w:r>
        <w:rPr>
          <w:rFonts w:ascii="Arial" w:cs="Arial" w:eastAsia="Arial" w:hAnsi="Arial"/>
          <w:sz w:val="20"/>
          <w:szCs w:val="20"/>
          <w:color w:val="auto"/>
        </w:rPr>
        <w:t>” means:</w:t>
      </w:r>
    </w:p>
    <w:p>
      <w:pPr>
        <w:spacing w:after="0" w:line="117" w:lineRule="exact"/>
        <w:rPr>
          <w:rFonts w:ascii="Arial" w:cs="Arial" w:eastAsia="Arial" w:hAnsi="Arial"/>
          <w:sz w:val="20"/>
          <w:szCs w:val="20"/>
          <w:color w:val="auto"/>
        </w:rPr>
      </w:pPr>
    </w:p>
    <w:p>
      <w:pPr>
        <w:ind w:left="1040" w:hanging="283"/>
        <w:spacing w:after="0"/>
        <w:tabs>
          <w:tab w:leader="none" w:pos="1040" w:val="left"/>
        </w:tabs>
        <w:numPr>
          <w:ilvl w:val="0"/>
          <w:numId w:val="86"/>
        </w:numPr>
        <w:rPr>
          <w:rFonts w:ascii="Arial" w:cs="Arial" w:eastAsia="Arial" w:hAnsi="Arial"/>
          <w:sz w:val="20"/>
          <w:szCs w:val="20"/>
          <w:color w:val="auto"/>
        </w:rPr>
      </w:pPr>
      <w:r>
        <w:rPr>
          <w:rFonts w:ascii="Arial" w:cs="Arial" w:eastAsia="Arial" w:hAnsi="Arial"/>
          <w:sz w:val="20"/>
          <w:szCs w:val="20"/>
          <w:color w:val="auto"/>
        </w:rPr>
        <w:t>any Director or group of Directors, including but not limited to an existing committee of the Board of Directors,</w:t>
      </w:r>
    </w:p>
    <w:p>
      <w:pPr>
        <w:spacing w:after="0" w:line="148" w:lineRule="exact"/>
        <w:rPr>
          <w:rFonts w:ascii="Arial" w:cs="Arial" w:eastAsia="Arial" w:hAnsi="Arial"/>
          <w:sz w:val="20"/>
          <w:szCs w:val="20"/>
          <w:color w:val="auto"/>
        </w:rPr>
      </w:pPr>
    </w:p>
    <w:p>
      <w:pPr>
        <w:ind w:left="1040" w:hanging="283"/>
        <w:spacing w:after="0"/>
        <w:tabs>
          <w:tab w:leader="none" w:pos="1040" w:val="left"/>
        </w:tabs>
        <w:numPr>
          <w:ilvl w:val="0"/>
          <w:numId w:val="86"/>
        </w:numPr>
        <w:rPr>
          <w:rFonts w:ascii="Arial" w:cs="Arial" w:eastAsia="Arial" w:hAnsi="Arial"/>
          <w:sz w:val="20"/>
          <w:szCs w:val="20"/>
          <w:color w:val="auto"/>
        </w:rPr>
      </w:pPr>
      <w:r>
        <w:rPr>
          <w:rFonts w:ascii="Arial" w:cs="Arial" w:eastAsia="Arial" w:hAnsi="Arial"/>
          <w:sz w:val="20"/>
          <w:szCs w:val="20"/>
          <w:color w:val="auto"/>
        </w:rPr>
        <w:t>any other person or group of persons appointed by the Board of Directors who is not a party to the Claim, or</w:t>
      </w:r>
    </w:p>
    <w:p>
      <w:pPr>
        <w:spacing w:after="0" w:line="148" w:lineRule="exact"/>
        <w:rPr>
          <w:rFonts w:ascii="Arial" w:cs="Arial" w:eastAsia="Arial" w:hAnsi="Arial"/>
          <w:sz w:val="20"/>
          <w:szCs w:val="20"/>
          <w:color w:val="auto"/>
        </w:rPr>
      </w:pPr>
    </w:p>
    <w:p>
      <w:pPr>
        <w:ind w:left="1040" w:hanging="283"/>
        <w:spacing w:after="0"/>
        <w:tabs>
          <w:tab w:leader="none" w:pos="1040" w:val="left"/>
        </w:tabs>
        <w:numPr>
          <w:ilvl w:val="0"/>
          <w:numId w:val="86"/>
        </w:numPr>
        <w:rPr>
          <w:rFonts w:ascii="Arial" w:cs="Arial" w:eastAsia="Arial" w:hAnsi="Arial"/>
          <w:sz w:val="20"/>
          <w:szCs w:val="20"/>
          <w:color w:val="auto"/>
        </w:rPr>
      </w:pPr>
      <w:r>
        <w:rPr>
          <w:rFonts w:ascii="Arial" w:cs="Arial" w:eastAsia="Arial" w:hAnsi="Arial"/>
          <w:sz w:val="20"/>
          <w:szCs w:val="20"/>
          <w:color w:val="auto"/>
        </w:rPr>
        <w:t>Independent Legal Counsel.</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In the event of a Change in Control, the Reviewing Party will be the Independent Legal Counsel.</w:t>
      </w:r>
    </w:p>
    <w:p>
      <w:pPr>
        <w:spacing w:after="0" w:line="148" w:lineRule="exact"/>
        <w:rPr>
          <w:sz w:val="20"/>
          <w:szCs w:val="20"/>
          <w:color w:val="auto"/>
        </w:rPr>
      </w:pPr>
    </w:p>
    <w:p>
      <w:pPr>
        <w:jc w:val="both"/>
        <w:ind w:firstLine="2254"/>
        <w:spacing w:after="0" w:line="234" w:lineRule="auto"/>
        <w:tabs>
          <w:tab w:leader="none" w:pos="2546"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Reviewing Party will review and provide a determination within the latter of (1) 30 days of his/her/its appointment (the “</w:t>
      </w:r>
      <w:r>
        <w:rPr>
          <w:rFonts w:ascii="Arial" w:cs="Arial" w:eastAsia="Arial" w:hAnsi="Arial"/>
          <w:sz w:val="20"/>
          <w:szCs w:val="20"/>
          <w:u w:val="single" w:color="auto"/>
          <w:color w:val="auto"/>
        </w:rPr>
        <w:t>Appointment Date</w:t>
      </w:r>
      <w:r>
        <w:rPr>
          <w:rFonts w:ascii="Arial" w:cs="Arial" w:eastAsia="Arial" w:hAnsi="Arial"/>
          <w:sz w:val="20"/>
          <w:szCs w:val="20"/>
          <w:color w:val="auto"/>
        </w:rPr>
        <w:t>”) or (2) the final disposition of the Claim for which Indemnitee requested indemnification, of whether or not Indemnitee is entitled to indemnification, including a description of any reason or basis for which indemnification has been denied under applicable law or the Constituent Documents. The Reviewing Party’s determination that Indemnitee is owed indemnity will be binding on the Company.</w:t>
      </w:r>
    </w:p>
    <w:p>
      <w:pPr>
        <w:spacing w:after="0" w:line="120" w:lineRule="exact"/>
        <w:rPr>
          <w:rFonts w:ascii="Arial" w:cs="Arial" w:eastAsia="Arial" w:hAnsi="Arial"/>
          <w:sz w:val="20"/>
          <w:szCs w:val="20"/>
          <w:color w:val="auto"/>
        </w:rPr>
      </w:pPr>
    </w:p>
    <w:p>
      <w:pPr>
        <w:jc w:val="both"/>
        <w:ind w:firstLine="2254"/>
        <w:spacing w:after="0" w:line="234" w:lineRule="auto"/>
        <w:tabs>
          <w:tab w:leader="none" w:pos="2546" w:val="left"/>
        </w:tabs>
        <w:numPr>
          <w:ilvl w:val="0"/>
          <w:numId w:val="87"/>
        </w:numPr>
        <w:rPr>
          <w:rFonts w:ascii="Arial" w:cs="Arial" w:eastAsia="Arial" w:hAnsi="Arial"/>
          <w:sz w:val="20"/>
          <w:szCs w:val="20"/>
          <w:color w:val="auto"/>
        </w:rPr>
      </w:pPr>
      <w:r>
        <w:rPr>
          <w:rFonts w:ascii="Arial" w:cs="Arial" w:eastAsia="Arial" w:hAnsi="Arial"/>
          <w:sz w:val="20"/>
          <w:szCs w:val="20"/>
          <w:color w:val="auto"/>
        </w:rPr>
        <w:t>Indemnitee will cooperate with the Reviewing Party’s review and determination of whether the Company should indemnity Indemnitee and will provide any available documentation or information which is not privileged or otherwise protected from disclosure and which is reasonably necessary to such determination. The Company will advance and pay all reasonable Expenses incurred by Indemnitee to cooperate with Reviewing Party’s review and determination of any available indemnity, regardless of the Reviewing Party’s ultimate determination.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Section 3.</w:t>
      </w:r>
      <w:r>
        <w:rPr>
          <w:rFonts w:ascii="Arial" w:cs="Arial" w:eastAsia="Arial" w:hAnsi="Arial"/>
          <w:sz w:val="20"/>
          <w:szCs w:val="20"/>
          <w:u w:val="single" w:color="auto"/>
          <w:color w:val="auto"/>
        </w:rPr>
        <w:t>Indemnification Procedures and Conditions</w:t>
      </w:r>
      <w:r>
        <w:rPr>
          <w:rFonts w:ascii="Arial" w:cs="Arial" w:eastAsia="Arial" w:hAnsi="Arial"/>
          <w:sz w:val="20"/>
          <w:szCs w:val="20"/>
          <w:color w:val="auto"/>
        </w:rPr>
        <w:t>.</w:t>
      </w:r>
    </w:p>
    <w:p>
      <w:pPr>
        <w:spacing w:after="0" w:line="216" w:lineRule="exact"/>
        <w:rPr>
          <w:sz w:val="20"/>
          <w:szCs w:val="20"/>
          <w:color w:val="auto"/>
        </w:rPr>
      </w:pPr>
    </w:p>
    <w:p>
      <w:pPr>
        <w:jc w:val="both"/>
        <w:ind w:firstLine="1505"/>
        <w:spacing w:after="0" w:line="232" w:lineRule="auto"/>
        <w:tabs>
          <w:tab w:leader="none" w:pos="2036" w:val="left"/>
        </w:tabs>
        <w:numPr>
          <w:ilvl w:val="0"/>
          <w:numId w:val="88"/>
        </w:numPr>
        <w:rPr>
          <w:rFonts w:ascii="Arial" w:cs="Arial" w:eastAsia="Arial" w:hAnsi="Arial"/>
          <w:sz w:val="22"/>
          <w:szCs w:val="22"/>
          <w:color w:val="auto"/>
        </w:rPr>
      </w:pPr>
      <w:r>
        <w:rPr>
          <w:rFonts w:ascii="Arial" w:cs="Arial" w:eastAsia="Arial" w:hAnsi="Arial"/>
          <w:sz w:val="20"/>
          <w:szCs w:val="20"/>
          <w:u w:val="single" w:color="auto"/>
          <w:color w:val="auto"/>
        </w:rPr>
        <w:t>Advancement of Expenses</w:t>
      </w:r>
      <w:r>
        <w:rPr>
          <w:rFonts w:ascii="Arial" w:cs="Arial" w:eastAsia="Arial" w:hAnsi="Arial"/>
          <w:sz w:val="20"/>
          <w:szCs w:val="20"/>
          <w:color w:val="auto"/>
        </w:rPr>
        <w:t>. To the extent not prohibited by law and subject to the conditions described below, the Company will pay all of Indemnitee’s Expenses incurred in advance of the final disposition of the Claim (an “</w:t>
      </w:r>
      <w:r>
        <w:rPr>
          <w:rFonts w:ascii="Arial" w:cs="Arial" w:eastAsia="Arial" w:hAnsi="Arial"/>
          <w:sz w:val="20"/>
          <w:szCs w:val="20"/>
          <w:u w:val="single" w:color="auto"/>
          <w:color w:val="auto"/>
        </w:rPr>
        <w:t>Expense</w:t>
      </w:r>
      <w:r>
        <w:rPr>
          <w:rFonts w:ascii="Arial" w:cs="Arial" w:eastAsia="Arial" w:hAnsi="Arial"/>
          <w:sz w:val="20"/>
          <w:szCs w:val="20"/>
          <w:color w:val="auto"/>
        </w:rPr>
        <w:t xml:space="preserve"> </w:t>
      </w:r>
      <w:r>
        <w:rPr>
          <w:rFonts w:ascii="Arial" w:cs="Arial" w:eastAsia="Arial" w:hAnsi="Arial"/>
          <w:sz w:val="20"/>
          <w:szCs w:val="20"/>
          <w:u w:val="single" w:color="auto"/>
          <w:color w:val="auto"/>
        </w:rPr>
        <w:t>Advance</w:t>
      </w:r>
      <w:r>
        <w:rPr>
          <w:rFonts w:ascii="Arial" w:cs="Arial" w:eastAsia="Arial" w:hAnsi="Arial"/>
          <w:sz w:val="20"/>
          <w:szCs w:val="20"/>
          <w:color w:val="auto"/>
        </w:rPr>
        <w:t>”). All Expense Advances will be paid by the Company to Indemnitee (or to a third party as directed by Indemnitee) as soon as reasonably practicable and no later than 30 days after written demand by Indemnitee for payment is given to the Company.</w:t>
      </w:r>
    </w:p>
    <w:p>
      <w:pPr>
        <w:spacing w:after="0" w:line="176"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If Indemnitee directly pays for Expenses, Company will reimburse Indemnitee for all reasonable Expenses provided that the conditions described below are met.</w:t>
      </w:r>
    </w:p>
    <w:p>
      <w:pPr>
        <w:spacing w:after="0" w:line="163" w:lineRule="exact"/>
        <w:rPr>
          <w:sz w:val="20"/>
          <w:szCs w:val="20"/>
          <w:color w:val="auto"/>
        </w:rPr>
      </w:pPr>
    </w:p>
    <w:p>
      <w:pPr>
        <w:ind w:left="2040" w:hanging="535"/>
        <w:spacing w:after="0"/>
        <w:tabs>
          <w:tab w:leader="none" w:pos="2040" w:val="left"/>
        </w:tabs>
        <w:numPr>
          <w:ilvl w:val="0"/>
          <w:numId w:val="89"/>
        </w:numPr>
        <w:rPr>
          <w:rFonts w:ascii="Arial" w:cs="Arial" w:eastAsia="Arial" w:hAnsi="Arial"/>
          <w:sz w:val="22"/>
          <w:szCs w:val="22"/>
          <w:color w:val="auto"/>
        </w:rPr>
      </w:pPr>
      <w:r>
        <w:rPr>
          <w:rFonts w:ascii="Arial" w:cs="Arial" w:eastAsia="Arial" w:hAnsi="Arial"/>
          <w:sz w:val="20"/>
          <w:szCs w:val="20"/>
          <w:u w:val="single" w:color="auto"/>
          <w:color w:val="auto"/>
        </w:rPr>
        <w:t>Conditions</w:t>
      </w:r>
      <w:r>
        <w:rPr>
          <w:rFonts w:ascii="Arial" w:cs="Arial" w:eastAsia="Arial" w:hAnsi="Arial"/>
          <w:sz w:val="20"/>
          <w:szCs w:val="20"/>
          <w:color w:val="auto"/>
        </w:rPr>
        <w:t>. The obligations of the Company to pay Expenses and make Expense Advances are subject</w:t>
      </w:r>
    </w:p>
    <w:p>
      <w:pPr>
        <w:spacing w:after="0"/>
        <w:rPr>
          <w:sz w:val="20"/>
          <w:szCs w:val="20"/>
          <w:color w:val="auto"/>
        </w:rPr>
      </w:pPr>
      <w:r>
        <w:rPr>
          <w:rFonts w:ascii="Arial" w:cs="Arial" w:eastAsia="Arial" w:hAnsi="Arial"/>
          <w:sz w:val="20"/>
          <w:szCs w:val="20"/>
          <w:color w:val="auto"/>
        </w:rPr>
        <w:t>to the following:</w:t>
      </w:r>
    </w:p>
    <w:p>
      <w:pPr>
        <w:spacing w:after="0" w:line="184" w:lineRule="exact"/>
        <w:rPr>
          <w:sz w:val="20"/>
          <w:szCs w:val="20"/>
          <w:color w:val="auto"/>
        </w:rPr>
      </w:pPr>
    </w:p>
    <w:p>
      <w:pPr>
        <w:jc w:val="both"/>
        <w:ind w:firstLine="2254"/>
        <w:spacing w:after="0" w:line="241" w:lineRule="auto"/>
        <w:tabs>
          <w:tab w:leader="none" w:pos="2546" w:val="left"/>
        </w:tabs>
        <w:numPr>
          <w:ilvl w:val="0"/>
          <w:numId w:val="90"/>
        </w:numPr>
        <w:rPr>
          <w:rFonts w:ascii="Arial" w:cs="Arial" w:eastAsia="Arial" w:hAnsi="Arial"/>
          <w:sz w:val="20"/>
          <w:szCs w:val="20"/>
          <w:color w:val="auto"/>
        </w:rPr>
      </w:pPr>
      <w:r>
        <w:rPr>
          <w:rFonts w:ascii="Arial" w:cs="Arial" w:eastAsia="Arial" w:hAnsi="Arial"/>
          <w:sz w:val="20"/>
          <w:szCs w:val="20"/>
          <w:color w:val="auto"/>
        </w:rPr>
        <w:t xml:space="preserve">if it is determined under </w:t>
      </w:r>
      <w:r>
        <w:rPr>
          <w:rFonts w:ascii="Arial" w:cs="Arial" w:eastAsia="Arial" w:hAnsi="Arial"/>
          <w:sz w:val="20"/>
          <w:szCs w:val="20"/>
          <w:u w:val="single" w:color="auto"/>
          <w:color w:val="auto"/>
        </w:rPr>
        <w:t>Section 2(b)</w:t>
      </w:r>
      <w:r>
        <w:rPr>
          <w:rFonts w:ascii="Arial" w:cs="Arial" w:eastAsia="Arial" w:hAnsi="Arial"/>
          <w:sz w:val="20"/>
          <w:szCs w:val="20"/>
          <w:color w:val="auto"/>
        </w:rPr>
        <w:t xml:space="preserve"> that Indemnitee is not entitled to indemnification, Indemnitee will reimburse the Company for all Expense Advances and any Expense reimbursements the Company made to Indemnitee; and</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18" w:lineRule="auto"/>
        <w:rPr>
          <w:sz w:val="20"/>
          <w:szCs w:val="20"/>
          <w:color w:val="auto"/>
        </w:rPr>
      </w:pPr>
      <w:r>
        <w:rPr>
          <w:rFonts w:ascii="Calibri" w:cs="Calibri" w:eastAsia="Calibri" w:hAnsi="Calibri"/>
          <w:sz w:val="18"/>
          <w:szCs w:val="18"/>
          <w:color w:val="auto"/>
        </w:rPr>
        <w:t>SLB-Private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825500</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4" w:name="page85"/>
    <w:bookmarkEnd w:id="84"/>
    <w:p>
      <w:pPr>
        <w:ind w:left="2260"/>
        <w:spacing w:after="0"/>
        <w:rPr>
          <w:sz w:val="20"/>
          <w:szCs w:val="20"/>
          <w:color w:val="auto"/>
        </w:rPr>
      </w:pPr>
      <w:r>
        <w:rPr>
          <w:rFonts w:ascii="Arial" w:cs="Arial" w:eastAsia="Arial" w:hAnsi="Arial"/>
          <w:sz w:val="20"/>
          <w:szCs w:val="20"/>
          <w:color w:val="auto"/>
        </w:rPr>
        <w:t>ii.  Indemnitee’s obligation to reimburse the Company for any Expense Advance shall be unsecured</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and interest free.</w:t>
      </w:r>
    </w:p>
    <w:p>
      <w:pPr>
        <w:spacing w:after="0" w:line="144" w:lineRule="exact"/>
        <w:rPr>
          <w:sz w:val="20"/>
          <w:szCs w:val="20"/>
          <w:color w:val="auto"/>
        </w:rPr>
      </w:pPr>
    </w:p>
    <w:p>
      <w:pPr>
        <w:jc w:val="both"/>
        <w:ind w:firstLine="1505"/>
        <w:spacing w:after="0" w:line="234" w:lineRule="auto"/>
        <w:tabs>
          <w:tab w:leader="none" w:pos="2036" w:val="left"/>
        </w:tabs>
        <w:numPr>
          <w:ilvl w:val="0"/>
          <w:numId w:val="91"/>
        </w:numPr>
        <w:rPr>
          <w:rFonts w:ascii="Arial" w:cs="Arial" w:eastAsia="Arial" w:hAnsi="Arial"/>
          <w:sz w:val="22"/>
          <w:szCs w:val="22"/>
          <w:color w:val="auto"/>
        </w:rPr>
      </w:pPr>
      <w:r>
        <w:rPr>
          <w:rFonts w:ascii="Arial" w:cs="Arial" w:eastAsia="Arial" w:hAnsi="Arial"/>
          <w:sz w:val="20"/>
          <w:szCs w:val="20"/>
          <w:u w:val="single" w:color="auto"/>
          <w:color w:val="auto"/>
        </w:rPr>
        <w:t>No Presumptions</w:t>
      </w:r>
      <w:r>
        <w:rPr>
          <w:rFonts w:ascii="Arial" w:cs="Arial" w:eastAsia="Arial" w:hAnsi="Arial"/>
          <w:sz w:val="20"/>
          <w:szCs w:val="20"/>
          <w:color w:val="auto"/>
        </w:rPr>
        <w:t xml:space="preserve">. For the purposes of this Agreement, the termination of any Claim by judgment, order, settlement (whether with or without court approval) or conviction, or upon a plea of </w:t>
      </w:r>
      <w:r>
        <w:rPr>
          <w:rFonts w:ascii="Arial" w:cs="Arial" w:eastAsia="Arial" w:hAnsi="Arial"/>
          <w:sz w:val="20"/>
          <w:szCs w:val="20"/>
          <w:u w:val="single" w:color="auto"/>
          <w:color w:val="auto"/>
        </w:rPr>
        <w:t>nolo contendere</w:t>
      </w:r>
      <w:r>
        <w:rPr>
          <w:rFonts w:ascii="Arial" w:cs="Arial" w:eastAsia="Arial" w:hAnsi="Arial"/>
          <w:sz w:val="20"/>
          <w:szCs w:val="20"/>
          <w:color w:val="auto"/>
        </w:rPr>
        <w:t>, or its equivalent, shall not create a presumption that Indemnitee did not meet any particular standard of conduct or have any particular belief or that a court has determined that indemnification is not permitted by applicable law.</w:t>
      </w:r>
    </w:p>
    <w:p>
      <w:pPr>
        <w:spacing w:after="0" w:line="174"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Section 4.</w:t>
      </w:r>
      <w:r>
        <w:rPr>
          <w:rFonts w:ascii="Arial" w:cs="Arial" w:eastAsia="Arial" w:hAnsi="Arial"/>
          <w:sz w:val="20"/>
          <w:szCs w:val="20"/>
          <w:u w:val="single" w:color="auto"/>
          <w:color w:val="auto"/>
        </w:rPr>
        <w:t>Non-exclusivity</w:t>
      </w:r>
      <w:r>
        <w:rPr>
          <w:rFonts w:ascii="Arial" w:cs="Arial" w:eastAsia="Arial" w:hAnsi="Arial"/>
          <w:sz w:val="20"/>
          <w:szCs w:val="20"/>
          <w:color w:val="auto"/>
        </w:rPr>
        <w:t>. This Agreement supersedes and replaces any prior indemnification agreement between the Company and Indemnitee covering indemnification and advancement of expenses, but does not alter and is in addition to any rights to which Indemnitee may be otherwise entitled under applicable law, the Constituent Documents, any insurance policy, a vote of shareholders or a resolution of directors, or otherwise.</w:t>
      </w:r>
    </w:p>
    <w:p>
      <w:pPr>
        <w:spacing w:after="0" w:line="17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Section 5.</w:t>
      </w:r>
      <w:r>
        <w:rPr>
          <w:rFonts w:ascii="Arial" w:cs="Arial" w:eastAsia="Arial" w:hAnsi="Arial"/>
          <w:sz w:val="20"/>
          <w:szCs w:val="20"/>
          <w:u w:val="single" w:color="auto"/>
          <w:color w:val="auto"/>
        </w:rPr>
        <w:t>No Duplication of Payments</w:t>
      </w:r>
      <w:r>
        <w:rPr>
          <w:rFonts w:ascii="Arial" w:cs="Arial" w:eastAsia="Arial" w:hAnsi="Arial"/>
          <w:sz w:val="20"/>
          <w:szCs w:val="20"/>
          <w:color w:val="auto"/>
        </w:rPr>
        <w:t>. The Company shall not be liable under this Agreement to indemnify Indemnitee to the extent Indemnitee has actually received payment (under any insurance policy, Constituent Document or otherwise) of amounts otherwise indemnifiable hereunder.</w:t>
      </w:r>
    </w:p>
    <w:p>
      <w:pPr>
        <w:spacing w:after="0" w:line="171"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Section 6.</w:t>
      </w:r>
      <w:r>
        <w:rPr>
          <w:rFonts w:ascii="Arial" w:cs="Arial" w:eastAsia="Arial" w:hAnsi="Arial"/>
          <w:sz w:val="20"/>
          <w:szCs w:val="20"/>
          <w:u w:val="single" w:color="auto"/>
          <w:color w:val="auto"/>
        </w:rPr>
        <w:t>Partial Indemnification</w:t>
      </w:r>
      <w:r>
        <w:rPr>
          <w:rFonts w:ascii="Arial" w:cs="Arial" w:eastAsia="Arial" w:hAnsi="Arial"/>
          <w:sz w:val="20"/>
          <w:szCs w:val="20"/>
          <w:color w:val="auto"/>
        </w:rPr>
        <w:t>. If there is a determination that Indemnitee is entitled to indemnification for some but not all of the Expenses incurred in connection with any Claim, the Company will pay Expense Advancements or will reimburse Expenses for the applicable Expenses.</w:t>
      </w:r>
    </w:p>
    <w:p>
      <w:pPr>
        <w:spacing w:after="0" w:line="171"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Section 7.</w:t>
      </w:r>
      <w:r>
        <w:rPr>
          <w:rFonts w:ascii="Arial" w:cs="Arial" w:eastAsia="Arial" w:hAnsi="Arial"/>
          <w:sz w:val="20"/>
          <w:szCs w:val="20"/>
          <w:u w:val="single" w:color="auto"/>
          <w:color w:val="auto"/>
        </w:rPr>
        <w:t>Indemnification for Expenses of a Witness</w:t>
      </w:r>
      <w:r>
        <w:rPr>
          <w:rFonts w:ascii="Arial" w:cs="Arial" w:eastAsia="Arial" w:hAnsi="Arial"/>
          <w:sz w:val="20"/>
          <w:szCs w:val="20"/>
          <w:color w:val="auto"/>
        </w:rPr>
        <w:t>. To the fullest extent permitted by law and the Constituent Documents, the Company will indemnify Indemnitee against all Expenses actually and reasonably incurred by Indemnitee or on Indemnitee’s behalf in connection with any proceeding to which Indemnitee is not a party but to which Indemnitee is a witness, deponent, interviewee, or otherwise asked to participate or provide information.</w:t>
      </w:r>
    </w:p>
    <w:p>
      <w:pPr>
        <w:spacing w:after="0" w:line="172" w:lineRule="exact"/>
        <w:rPr>
          <w:sz w:val="20"/>
          <w:szCs w:val="20"/>
          <w:color w:val="auto"/>
        </w:rPr>
      </w:pPr>
    </w:p>
    <w:p>
      <w:pPr>
        <w:jc w:val="both"/>
        <w:ind w:firstLine="749"/>
        <w:spacing w:after="0" w:line="230" w:lineRule="auto"/>
        <w:rPr>
          <w:sz w:val="20"/>
          <w:szCs w:val="20"/>
          <w:color w:val="auto"/>
        </w:rPr>
      </w:pPr>
      <w:r>
        <w:rPr>
          <w:rFonts w:ascii="Arial" w:cs="Arial" w:eastAsia="Arial" w:hAnsi="Arial"/>
          <w:sz w:val="20"/>
          <w:szCs w:val="20"/>
          <w:color w:val="auto"/>
        </w:rPr>
        <w:t>Section 8.</w:t>
      </w:r>
      <w:r>
        <w:rPr>
          <w:rFonts w:ascii="Arial" w:cs="Arial" w:eastAsia="Arial" w:hAnsi="Arial"/>
          <w:sz w:val="20"/>
          <w:szCs w:val="20"/>
          <w:u w:val="single" w:color="auto"/>
          <w:color w:val="auto"/>
        </w:rPr>
        <w:t>Liability Insurance</w:t>
      </w:r>
      <w:r>
        <w:rPr>
          <w:rFonts w:ascii="Arial" w:cs="Arial" w:eastAsia="Arial" w:hAnsi="Arial"/>
          <w:sz w:val="20"/>
          <w:szCs w:val="20"/>
          <w:color w:val="auto"/>
        </w:rPr>
        <w:t>. From the effective date of this Agreement, the Company, at its sole expense, shall maintain in force, for the benefit of Indemnitee in common with all other directors and officers of the Company, directors’ and officers’ liability insurance with an aggregate policy limit of such amount as is reasonable with regard to the potential liability faced by the directors and officers of the Company. Indemnitee shall be covered by such policies in such a manner as to provide Indemnitee the same rights and benefits as are accorded to the most favorably insured of the Company’s directors. At the time of the receipt of a notice of a Claim pursuant to this Agreement, the Company will give prompt notice of such Claim to the insurers in accordance with the procedures set forth in the respective policies. The Company will take all necessary or desirable action to cause such insurers to pay, on behalf of Indemnitee, all amounts payable as a result of such Claim in accordance with the terms of such policies. Indemnitee agrees to assist the Company’s efforts to cause the insurers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line="218" w:lineRule="auto"/>
        <w:rPr>
          <w:sz w:val="20"/>
          <w:szCs w:val="20"/>
          <w:color w:val="auto"/>
        </w:rPr>
      </w:pPr>
      <w:r>
        <w:rPr>
          <w:rFonts w:ascii="Calibri" w:cs="Calibri" w:eastAsia="Calibri" w:hAnsi="Calibri"/>
          <w:sz w:val="18"/>
          <w:szCs w:val="18"/>
          <w:color w:val="auto"/>
        </w:rPr>
        <w:t>SLB-Private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825500</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5" w:name="page86"/>
    <w:bookmarkEnd w:id="85"/>
    <w:p>
      <w:pPr>
        <w:spacing w:after="0"/>
        <w:rPr>
          <w:sz w:val="20"/>
          <w:szCs w:val="20"/>
          <w:color w:val="auto"/>
        </w:rPr>
      </w:pPr>
      <w:r>
        <w:rPr>
          <w:rFonts w:ascii="Arial" w:cs="Arial" w:eastAsia="Arial" w:hAnsi="Arial"/>
          <w:sz w:val="20"/>
          <w:szCs w:val="20"/>
          <w:color w:val="auto"/>
        </w:rPr>
        <w:t>to pay such amounts and will comply with the terms of such policies, including selection of approved counsel, if required.</w:t>
      </w:r>
    </w:p>
    <w:p>
      <w:pPr>
        <w:spacing w:after="0" w:line="202" w:lineRule="exact"/>
        <w:rPr>
          <w:sz w:val="20"/>
          <w:szCs w:val="20"/>
          <w:color w:val="auto"/>
        </w:rPr>
      </w:pPr>
    </w:p>
    <w:p>
      <w:pPr>
        <w:ind w:left="760"/>
        <w:spacing w:after="0"/>
        <w:tabs>
          <w:tab w:leader="none" w:pos="2840" w:val="left"/>
        </w:tabs>
        <w:rPr>
          <w:sz w:val="20"/>
          <w:szCs w:val="20"/>
          <w:color w:val="auto"/>
        </w:rPr>
      </w:pPr>
      <w:r>
        <w:rPr>
          <w:rFonts w:ascii="Arial" w:cs="Arial" w:eastAsia="Arial" w:hAnsi="Arial"/>
          <w:sz w:val="20"/>
          <w:szCs w:val="20"/>
          <w:color w:val="auto"/>
        </w:rPr>
        <w:t>Section 9.</w:t>
      </w:r>
      <w:r>
        <w:rPr>
          <w:rFonts w:ascii="Arial" w:cs="Arial" w:eastAsia="Arial" w:hAnsi="Arial"/>
          <w:sz w:val="20"/>
          <w:szCs w:val="20"/>
          <w:u w:val="single" w:color="auto"/>
          <w:color w:val="auto"/>
        </w:rPr>
        <w:t>Exceptions</w:t>
      </w:r>
      <w:r>
        <w:rPr>
          <w:rFonts w:ascii="Arial" w:cs="Arial" w:eastAsia="Arial" w:hAnsi="Arial"/>
          <w:sz w:val="20"/>
          <w:szCs w:val="20"/>
          <w:color w:val="auto"/>
        </w:rPr>
        <w:t>.</w:t>
        <w:tab/>
        <w:t>Regardless of any provision to the contrary, the Company will not be obligated under this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184" w:lineRule="exact"/>
        <w:rPr>
          <w:sz w:val="20"/>
          <w:szCs w:val="20"/>
          <w:color w:val="auto"/>
        </w:rPr>
      </w:pPr>
    </w:p>
    <w:p>
      <w:pPr>
        <w:ind w:firstLine="1505"/>
        <w:spacing w:after="0" w:line="257" w:lineRule="auto"/>
        <w:tabs>
          <w:tab w:leader="none" w:pos="2036" w:val="left"/>
        </w:tabs>
        <w:numPr>
          <w:ilvl w:val="0"/>
          <w:numId w:val="92"/>
        </w:numPr>
        <w:rPr>
          <w:rFonts w:ascii="Arial" w:cs="Arial" w:eastAsia="Arial" w:hAnsi="Arial"/>
          <w:sz w:val="20"/>
          <w:szCs w:val="20"/>
          <w:color w:val="auto"/>
        </w:rPr>
      </w:pPr>
      <w:r>
        <w:rPr>
          <w:rFonts w:ascii="Arial" w:cs="Arial" w:eastAsia="Arial" w:hAnsi="Arial"/>
          <w:sz w:val="20"/>
          <w:szCs w:val="20"/>
          <w:color w:val="auto"/>
        </w:rPr>
        <w:t>to indemnify or advance Expenses to Indemnitee with respect to Claims initiated or brought voluntarily by Indemnitee and not by way of defense, except:</w:t>
      </w:r>
    </w:p>
    <w:p>
      <w:pPr>
        <w:spacing w:after="0" w:line="155" w:lineRule="exact"/>
        <w:rPr>
          <w:sz w:val="20"/>
          <w:szCs w:val="20"/>
          <w:color w:val="auto"/>
        </w:rPr>
      </w:pPr>
    </w:p>
    <w:p>
      <w:pPr>
        <w:jc w:val="both"/>
        <w:ind w:left="760" w:firstLine="745"/>
        <w:spacing w:after="0" w:line="241" w:lineRule="auto"/>
        <w:tabs>
          <w:tab w:leader="none" w:pos="2048" w:val="left"/>
        </w:tabs>
        <w:numPr>
          <w:ilvl w:val="0"/>
          <w:numId w:val="93"/>
        </w:numPr>
        <w:rPr>
          <w:rFonts w:ascii="Arial" w:cs="Arial" w:eastAsia="Arial" w:hAnsi="Arial"/>
          <w:sz w:val="20"/>
          <w:szCs w:val="20"/>
          <w:color w:val="auto"/>
        </w:rPr>
      </w:pPr>
      <w:r>
        <w:rPr>
          <w:rFonts w:ascii="Arial" w:cs="Arial" w:eastAsia="Arial" w:hAnsi="Arial"/>
          <w:sz w:val="20"/>
          <w:szCs w:val="20"/>
          <w:color w:val="auto"/>
        </w:rPr>
        <w:t>with respect to actions or proceedings brought to establish or enforce a right to indemnification under applicable law, the Constituent Documents or this Agreement or otherwise relating to Claims for Indemnifiable Events, or</w:t>
      </w:r>
    </w:p>
    <w:p>
      <w:pPr>
        <w:spacing w:after="0" w:line="117" w:lineRule="exact"/>
        <w:rPr>
          <w:rFonts w:ascii="Arial" w:cs="Arial" w:eastAsia="Arial" w:hAnsi="Arial"/>
          <w:sz w:val="20"/>
          <w:szCs w:val="20"/>
          <w:color w:val="auto"/>
        </w:rPr>
      </w:pPr>
    </w:p>
    <w:p>
      <w:pPr>
        <w:ind w:left="2040" w:hanging="535"/>
        <w:spacing w:after="0"/>
        <w:tabs>
          <w:tab w:leader="none" w:pos="2040" w:val="left"/>
        </w:tabs>
        <w:numPr>
          <w:ilvl w:val="0"/>
          <w:numId w:val="93"/>
        </w:numPr>
        <w:rPr>
          <w:rFonts w:ascii="Arial" w:cs="Arial" w:eastAsia="Arial" w:hAnsi="Arial"/>
          <w:sz w:val="20"/>
          <w:szCs w:val="20"/>
          <w:color w:val="auto"/>
        </w:rPr>
      </w:pPr>
      <w:r>
        <w:rPr>
          <w:rFonts w:ascii="Arial" w:cs="Arial" w:eastAsia="Arial" w:hAnsi="Arial"/>
          <w:sz w:val="20"/>
          <w:szCs w:val="20"/>
          <w:color w:val="auto"/>
        </w:rPr>
        <w:t>if the Board of Directors has approved the initiation or bringing of such Claim;</w:t>
      </w:r>
    </w:p>
    <w:p>
      <w:pPr>
        <w:spacing w:after="0" w:line="148" w:lineRule="exact"/>
        <w:rPr>
          <w:sz w:val="20"/>
          <w:szCs w:val="20"/>
          <w:color w:val="auto"/>
        </w:rPr>
      </w:pPr>
    </w:p>
    <w:p>
      <w:pPr>
        <w:jc w:val="both"/>
        <w:ind w:firstLine="1505"/>
        <w:spacing w:after="0" w:line="241" w:lineRule="auto"/>
        <w:tabs>
          <w:tab w:leader="none" w:pos="2036" w:val="left"/>
        </w:tabs>
        <w:numPr>
          <w:ilvl w:val="0"/>
          <w:numId w:val="94"/>
        </w:numPr>
        <w:rPr>
          <w:rFonts w:ascii="Arial" w:cs="Arial" w:eastAsia="Arial" w:hAnsi="Arial"/>
          <w:sz w:val="20"/>
          <w:szCs w:val="20"/>
          <w:color w:val="auto"/>
        </w:rPr>
      </w:pPr>
      <w:r>
        <w:rPr>
          <w:rFonts w:ascii="Arial" w:cs="Arial" w:eastAsia="Arial" w:hAnsi="Arial"/>
          <w:sz w:val="20"/>
          <w:szCs w:val="20"/>
          <w:color w:val="auto"/>
        </w:rPr>
        <w:t>to indemnify Indemnitee for any expenses incurred by the Indemnitee with respect to any proceeding instituted by Indemnitee to enforce or interpret this Agreement, if a court of competent jurisdiction determines that each of the material assertions made by the Indemnitee in such proceeding was not made in good faith or was frivolous; and</w:t>
      </w:r>
    </w:p>
    <w:p>
      <w:pPr>
        <w:spacing w:after="0" w:line="171" w:lineRule="exact"/>
        <w:rPr>
          <w:rFonts w:ascii="Arial" w:cs="Arial" w:eastAsia="Arial" w:hAnsi="Arial"/>
          <w:sz w:val="20"/>
          <w:szCs w:val="20"/>
          <w:color w:val="auto"/>
        </w:rPr>
      </w:pPr>
    </w:p>
    <w:p>
      <w:pPr>
        <w:ind w:left="2040" w:hanging="535"/>
        <w:spacing w:after="0"/>
        <w:tabs>
          <w:tab w:leader="none" w:pos="2040" w:val="left"/>
        </w:tabs>
        <w:numPr>
          <w:ilvl w:val="0"/>
          <w:numId w:val="94"/>
        </w:numPr>
        <w:rPr>
          <w:rFonts w:ascii="Arial" w:cs="Arial" w:eastAsia="Arial" w:hAnsi="Arial"/>
          <w:sz w:val="20"/>
          <w:szCs w:val="20"/>
          <w:color w:val="auto"/>
        </w:rPr>
      </w:pPr>
      <w:r>
        <w:rPr>
          <w:rFonts w:ascii="Arial" w:cs="Arial" w:eastAsia="Arial" w:hAnsi="Arial"/>
          <w:sz w:val="20"/>
          <w:szCs w:val="20"/>
          <w:color w:val="auto"/>
        </w:rPr>
        <w:t>to indemnify Indemnitee for:</w:t>
      </w:r>
    </w:p>
    <w:p>
      <w:pPr>
        <w:spacing w:after="0" w:line="202" w:lineRule="exact"/>
        <w:rPr>
          <w:sz w:val="20"/>
          <w:szCs w:val="20"/>
          <w:color w:val="auto"/>
        </w:rPr>
      </w:pPr>
    </w:p>
    <w:p>
      <w:pPr>
        <w:jc w:val="both"/>
        <w:ind w:left="760" w:firstLine="745"/>
        <w:spacing w:after="0" w:line="241" w:lineRule="auto"/>
        <w:tabs>
          <w:tab w:leader="none" w:pos="2117" w:val="left"/>
        </w:tabs>
        <w:numPr>
          <w:ilvl w:val="0"/>
          <w:numId w:val="95"/>
        </w:numPr>
        <w:rPr>
          <w:rFonts w:ascii="Arial" w:cs="Arial" w:eastAsia="Arial" w:hAnsi="Arial"/>
          <w:sz w:val="20"/>
          <w:szCs w:val="20"/>
          <w:color w:val="auto"/>
        </w:rPr>
      </w:pPr>
      <w:r>
        <w:rPr>
          <w:rFonts w:ascii="Arial" w:cs="Arial" w:eastAsia="Arial" w:hAnsi="Arial"/>
          <w:sz w:val="20"/>
          <w:szCs w:val="20"/>
          <w:color w:val="auto"/>
        </w:rPr>
        <w:t>expenses and the payment of profits arising from the purchase and sale by Indemnitee of securities in violation of Section 16 of the United States Securities Exchange Act of 1934, as amended (the “</w:t>
      </w:r>
      <w:r>
        <w:rPr>
          <w:rFonts w:ascii="Arial" w:cs="Arial" w:eastAsia="Arial" w:hAnsi="Arial"/>
          <w:sz w:val="20"/>
          <w:szCs w:val="20"/>
          <w:u w:val="single" w:color="auto"/>
          <w:color w:val="auto"/>
        </w:rPr>
        <w:t>Exchange Act</w:t>
      </w:r>
      <w:r>
        <w:rPr>
          <w:rFonts w:ascii="Arial" w:cs="Arial" w:eastAsia="Arial" w:hAnsi="Arial"/>
          <w:sz w:val="20"/>
          <w:szCs w:val="20"/>
          <w:color w:val="auto"/>
        </w:rPr>
        <w:t>”), or the rules and regulations promulgated thereunder, or any similar successor statute, rules or regulations; or</w:t>
      </w:r>
    </w:p>
    <w:p>
      <w:pPr>
        <w:spacing w:after="0" w:line="117" w:lineRule="exact"/>
        <w:rPr>
          <w:rFonts w:ascii="Arial" w:cs="Arial" w:eastAsia="Arial" w:hAnsi="Arial"/>
          <w:sz w:val="20"/>
          <w:szCs w:val="20"/>
          <w:color w:val="auto"/>
        </w:rPr>
      </w:pPr>
    </w:p>
    <w:p>
      <w:pPr>
        <w:jc w:val="both"/>
        <w:ind w:left="760" w:firstLine="745"/>
        <w:spacing w:after="0" w:line="233" w:lineRule="auto"/>
        <w:tabs>
          <w:tab w:leader="none" w:pos="2048" w:val="left"/>
        </w:tabs>
        <w:numPr>
          <w:ilvl w:val="0"/>
          <w:numId w:val="95"/>
        </w:numPr>
        <w:rPr>
          <w:rFonts w:ascii="Arial" w:cs="Arial" w:eastAsia="Arial" w:hAnsi="Arial"/>
          <w:sz w:val="20"/>
          <w:szCs w:val="20"/>
          <w:color w:val="auto"/>
        </w:rPr>
      </w:pPr>
      <w:r>
        <w:rPr>
          <w:rFonts w:ascii="Arial" w:cs="Arial" w:eastAsia="Arial" w:hAnsi="Arial"/>
          <w:sz w:val="20"/>
          <w:szCs w:val="20"/>
          <w:color w:val="auto"/>
        </w:rPr>
        <w:t>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Arial" w:cs="Arial" w:eastAsia="Arial" w:hAnsi="Arial"/>
          <w:sz w:val="20"/>
          <w:szCs w:val="20"/>
          <w:u w:val="single" w:color="auto"/>
          <w:color w:val="auto"/>
        </w:rPr>
        <w:t>Sarbanes-Oxley Act</w:t>
      </w:r>
      <w:r>
        <w:rPr>
          <w:rFonts w:ascii="Arial" w:cs="Arial" w:eastAsia="Arial" w:hAnsi="Arial"/>
          <w:sz w:val="20"/>
          <w:szCs w:val="20"/>
          <w:color w:val="auto"/>
        </w:rPr>
        <w:t>”), or the payment to the Company of profits arising from the purchase and sale by Indemnitee of securities in violation of Section 306 of the Sarbanes-Oxley Act).</w:t>
      </w:r>
    </w:p>
    <w:p>
      <w:pPr>
        <w:spacing w:after="0" w:line="11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Section 10.</w:t>
      </w:r>
      <w:r>
        <w:rPr>
          <w:rFonts w:ascii="Arial" w:cs="Arial" w:eastAsia="Arial" w:hAnsi="Arial"/>
          <w:sz w:val="20"/>
          <w:szCs w:val="20"/>
          <w:u w:val="single" w:color="auto"/>
          <w:color w:val="auto"/>
        </w:rPr>
        <w:t>Remedies of Indemnitee</w:t>
      </w:r>
      <w:r>
        <w:rPr>
          <w:rFonts w:ascii="Arial" w:cs="Arial" w:eastAsia="Arial" w:hAnsi="Arial"/>
          <w:sz w:val="20"/>
          <w:szCs w:val="20"/>
          <w:color w:val="auto"/>
        </w:rPr>
        <w:t>.</w:t>
      </w:r>
    </w:p>
    <w:p>
      <w:pPr>
        <w:spacing w:after="0" w:line="216" w:lineRule="exact"/>
        <w:rPr>
          <w:sz w:val="20"/>
          <w:szCs w:val="20"/>
          <w:color w:val="auto"/>
        </w:rPr>
      </w:pPr>
    </w:p>
    <w:p>
      <w:pPr>
        <w:ind w:right="20" w:firstLine="1505"/>
        <w:spacing w:after="0" w:line="247" w:lineRule="auto"/>
        <w:tabs>
          <w:tab w:leader="none" w:pos="2036" w:val="left"/>
        </w:tabs>
        <w:numPr>
          <w:ilvl w:val="0"/>
          <w:numId w:val="96"/>
        </w:numPr>
        <w:rPr>
          <w:rFonts w:ascii="Arial" w:cs="Arial" w:eastAsia="Arial" w:hAnsi="Arial"/>
          <w:sz w:val="22"/>
          <w:szCs w:val="22"/>
          <w:color w:val="auto"/>
        </w:rPr>
      </w:pPr>
      <w:r>
        <w:rPr>
          <w:rFonts w:ascii="Arial" w:cs="Arial" w:eastAsia="Arial" w:hAnsi="Arial"/>
          <w:sz w:val="20"/>
          <w:szCs w:val="20"/>
          <w:color w:val="auto"/>
        </w:rPr>
        <w:t>Indemnitee may commence litigation against the Company in any court selected by Indemnitee to obtain indemnification or advancement of Expenses provided by this Agreement in the event that:</w:t>
      </w:r>
    </w:p>
    <w:p>
      <w:pPr>
        <w:spacing w:after="0" w:line="164" w:lineRule="exact"/>
        <w:rPr>
          <w:sz w:val="20"/>
          <w:szCs w:val="20"/>
          <w:color w:val="auto"/>
        </w:rPr>
      </w:pPr>
    </w:p>
    <w:p>
      <w:pPr>
        <w:ind w:left="2620" w:hanging="366"/>
        <w:spacing w:after="0" w:line="257" w:lineRule="auto"/>
        <w:tabs>
          <w:tab w:leader="none" w:pos="26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 xml:space="preserve">a determination is made pursuant to </w:t>
      </w:r>
      <w:r>
        <w:rPr>
          <w:rFonts w:ascii="Arial" w:cs="Arial" w:eastAsia="Arial" w:hAnsi="Arial"/>
          <w:sz w:val="20"/>
          <w:szCs w:val="20"/>
          <w:u w:val="single" w:color="auto"/>
          <w:color w:val="auto"/>
        </w:rPr>
        <w:t>Section 2(b)</w:t>
      </w:r>
      <w:r>
        <w:rPr>
          <w:rFonts w:ascii="Arial" w:cs="Arial" w:eastAsia="Arial" w:hAnsi="Arial"/>
          <w:sz w:val="20"/>
          <w:szCs w:val="20"/>
          <w:color w:val="auto"/>
        </w:rPr>
        <w:t xml:space="preserve"> that Indemnitee is not entitled to indemnification under this Agreement,</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line="218" w:lineRule="auto"/>
        <w:rPr>
          <w:sz w:val="20"/>
          <w:szCs w:val="20"/>
          <w:color w:val="auto"/>
        </w:rPr>
      </w:pPr>
      <w:r>
        <w:rPr>
          <w:rFonts w:ascii="Calibri" w:cs="Calibri" w:eastAsia="Calibri" w:hAnsi="Calibri"/>
          <w:sz w:val="18"/>
          <w:szCs w:val="18"/>
          <w:color w:val="auto"/>
        </w:rPr>
        <w:t>SLB-Private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825500</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6" w:name="page87"/>
    <w:bookmarkEnd w:id="86"/>
    <w:p>
      <w:pPr>
        <w:ind w:left="2620" w:hanging="366"/>
        <w:spacing w:after="0" w:line="257" w:lineRule="auto"/>
        <w:tabs>
          <w:tab w:leader="none" w:pos="2620" w:val="left"/>
        </w:tabs>
        <w:numPr>
          <w:ilvl w:val="0"/>
          <w:numId w:val="98"/>
        </w:numPr>
        <w:rPr>
          <w:rFonts w:ascii="Arial" w:cs="Arial" w:eastAsia="Arial" w:hAnsi="Arial"/>
          <w:sz w:val="20"/>
          <w:szCs w:val="20"/>
          <w:color w:val="auto"/>
        </w:rPr>
      </w:pPr>
      <w:r>
        <w:rPr>
          <w:rFonts w:ascii="Arial" w:cs="Arial" w:eastAsia="Arial" w:hAnsi="Arial"/>
          <w:sz w:val="20"/>
          <w:szCs w:val="20"/>
          <w:color w:val="auto"/>
        </w:rPr>
        <w:t xml:space="preserve">the determination of entitlement to indemnification is not made pursuant to </w:t>
      </w:r>
      <w:r>
        <w:rPr>
          <w:rFonts w:ascii="Arial" w:cs="Arial" w:eastAsia="Arial" w:hAnsi="Arial"/>
          <w:sz w:val="20"/>
          <w:szCs w:val="20"/>
          <w:u w:val="single" w:color="auto"/>
          <w:color w:val="auto"/>
        </w:rPr>
        <w:t>Section 2(b)</w:t>
      </w:r>
      <w:r>
        <w:rPr>
          <w:rFonts w:ascii="Arial" w:cs="Arial" w:eastAsia="Arial" w:hAnsi="Arial"/>
          <w:sz w:val="20"/>
          <w:szCs w:val="20"/>
          <w:color w:val="auto"/>
        </w:rPr>
        <w:t xml:space="preserve"> within 30 days of the date required thereunder,</w:t>
      </w:r>
    </w:p>
    <w:p>
      <w:pPr>
        <w:spacing w:after="0" w:line="155" w:lineRule="exact"/>
        <w:rPr>
          <w:rFonts w:ascii="Arial" w:cs="Arial" w:eastAsia="Arial" w:hAnsi="Arial"/>
          <w:sz w:val="20"/>
          <w:szCs w:val="20"/>
          <w:color w:val="auto"/>
        </w:rPr>
      </w:pPr>
    </w:p>
    <w:p>
      <w:pPr>
        <w:ind w:left="2620" w:hanging="366"/>
        <w:spacing w:after="0"/>
        <w:tabs>
          <w:tab w:leader="none" w:pos="2620" w:val="left"/>
        </w:tabs>
        <w:numPr>
          <w:ilvl w:val="0"/>
          <w:numId w:val="98"/>
        </w:numPr>
        <w:rPr>
          <w:rFonts w:ascii="Arial" w:cs="Arial" w:eastAsia="Arial" w:hAnsi="Arial"/>
          <w:sz w:val="20"/>
          <w:szCs w:val="20"/>
          <w:color w:val="auto"/>
        </w:rPr>
      </w:pPr>
      <w:r>
        <w:rPr>
          <w:rFonts w:ascii="Arial" w:cs="Arial" w:eastAsia="Arial" w:hAnsi="Arial"/>
          <w:sz w:val="20"/>
          <w:szCs w:val="20"/>
          <w:color w:val="auto"/>
        </w:rPr>
        <w:t xml:space="preserve">the Company does not advance Expenses in accordance with </w:t>
      </w:r>
      <w:r>
        <w:rPr>
          <w:rFonts w:ascii="Arial" w:cs="Arial" w:eastAsia="Arial" w:hAnsi="Arial"/>
          <w:sz w:val="20"/>
          <w:szCs w:val="20"/>
          <w:u w:val="single" w:color="auto"/>
          <w:color w:val="auto"/>
        </w:rPr>
        <w:t>Section 3</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2620" w:hanging="366"/>
        <w:spacing w:after="0" w:line="241" w:lineRule="auto"/>
        <w:tabs>
          <w:tab w:leader="none" w:pos="2620" w:val="left"/>
        </w:tabs>
        <w:numPr>
          <w:ilvl w:val="0"/>
          <w:numId w:val="98"/>
        </w:numPr>
        <w:rPr>
          <w:rFonts w:ascii="Arial" w:cs="Arial" w:eastAsia="Arial" w:hAnsi="Arial"/>
          <w:sz w:val="20"/>
          <w:szCs w:val="20"/>
          <w:color w:val="auto"/>
        </w:rPr>
      </w:pPr>
      <w:r>
        <w:rPr>
          <w:rFonts w:ascii="Arial" w:cs="Arial" w:eastAsia="Arial" w:hAnsi="Arial"/>
          <w:sz w:val="20"/>
          <w:szCs w:val="20"/>
          <w:color w:val="auto"/>
        </w:rPr>
        <w:t xml:space="preserve">the Company does not indemnify Indemnitee in accordance with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within 30 days after a determination has been made that Indemnitee is entitled to indemnification, or</w:t>
      </w:r>
    </w:p>
    <w:p>
      <w:pPr>
        <w:spacing w:after="0" w:line="171" w:lineRule="exact"/>
        <w:rPr>
          <w:rFonts w:ascii="Arial" w:cs="Arial" w:eastAsia="Arial" w:hAnsi="Arial"/>
          <w:sz w:val="20"/>
          <w:szCs w:val="20"/>
          <w:color w:val="auto"/>
        </w:rPr>
      </w:pPr>
    </w:p>
    <w:p>
      <w:pPr>
        <w:jc w:val="both"/>
        <w:ind w:left="2620" w:hanging="366"/>
        <w:spacing w:after="0" w:line="237" w:lineRule="auto"/>
        <w:tabs>
          <w:tab w:leader="none" w:pos="2620" w:val="left"/>
        </w:tabs>
        <w:numPr>
          <w:ilvl w:val="0"/>
          <w:numId w:val="98"/>
        </w:numPr>
        <w:rPr>
          <w:rFonts w:ascii="Arial" w:cs="Arial" w:eastAsia="Arial" w:hAnsi="Arial"/>
          <w:sz w:val="20"/>
          <w:szCs w:val="20"/>
          <w:color w:val="auto"/>
        </w:rPr>
      </w:pPr>
      <w:r>
        <w:rPr>
          <w:rFonts w:ascii="Arial" w:cs="Arial" w:eastAsia="Arial" w:hAnsi="Arial"/>
          <w:sz w:val="20"/>
          <w:szCs w:val="20"/>
          <w:color w:val="auto"/>
        </w:rPr>
        <w:t>in the event that the Company or any other person takes or threatens to take any action to declare this Agreement void or unenforceable, or institutes any litigation or other action or proceeding designed to deny, or to recover from, the Indemnitee the benefits provided or intended to be provided to the Indemnitee hereunder.</w:t>
      </w:r>
    </w:p>
    <w:p>
      <w:pPr>
        <w:spacing w:after="0" w:line="172" w:lineRule="exact"/>
        <w:rPr>
          <w:sz w:val="20"/>
          <w:szCs w:val="20"/>
          <w:color w:val="auto"/>
        </w:rPr>
      </w:pPr>
    </w:p>
    <w:p>
      <w:pPr>
        <w:jc w:val="both"/>
        <w:ind w:left="760"/>
        <w:spacing w:after="0" w:line="234" w:lineRule="auto"/>
        <w:rPr>
          <w:sz w:val="20"/>
          <w:szCs w:val="20"/>
          <w:color w:val="auto"/>
        </w:rPr>
      </w:pPr>
      <w:r>
        <w:rPr>
          <w:rFonts w:ascii="Arial" w:cs="Arial" w:eastAsia="Arial" w:hAnsi="Arial"/>
          <w:sz w:val="20"/>
          <w:szCs w:val="20"/>
          <w:color w:val="auto"/>
        </w:rPr>
        <w:t xml:space="preserve">Alternatively, Indemnitee, at Indemnitee’s option, may seek an award in arbitration to be conducted by a single arbitrator pursuant to the Commercial Arbitration Rules of the American Arbitration Association. Indemnitee must commence such proceeding seeking an adjudication or an award in arbitration within 180 days following the date on which Indemnitee first has the right to commence such proceeding pursuant to this </w:t>
      </w:r>
      <w:r>
        <w:rPr>
          <w:rFonts w:ascii="Arial" w:cs="Arial" w:eastAsia="Arial" w:hAnsi="Arial"/>
          <w:sz w:val="20"/>
          <w:szCs w:val="20"/>
          <w:u w:val="single" w:color="auto"/>
          <w:color w:val="auto"/>
        </w:rPr>
        <w:t>Section 10(a)</w:t>
      </w:r>
      <w:r>
        <w:rPr>
          <w:rFonts w:ascii="Arial" w:cs="Arial" w:eastAsia="Arial" w:hAnsi="Arial"/>
          <w:sz w:val="20"/>
          <w:szCs w:val="20"/>
          <w:color w:val="auto"/>
        </w:rPr>
        <w:t>. The Company will not oppose Indemnitee’s right to seek any such adjudication or award in arbitration.</w:t>
      </w:r>
    </w:p>
    <w:p>
      <w:pPr>
        <w:spacing w:after="0" w:line="188" w:lineRule="exact"/>
        <w:rPr>
          <w:sz w:val="20"/>
          <w:szCs w:val="20"/>
          <w:color w:val="auto"/>
        </w:rPr>
      </w:pPr>
    </w:p>
    <w:p>
      <w:pPr>
        <w:jc w:val="both"/>
        <w:ind w:firstLine="1505"/>
        <w:spacing w:after="0" w:line="231" w:lineRule="auto"/>
        <w:tabs>
          <w:tab w:leader="none" w:pos="2036" w:val="left"/>
        </w:tabs>
        <w:numPr>
          <w:ilvl w:val="0"/>
          <w:numId w:val="99"/>
        </w:numPr>
        <w:rPr>
          <w:rFonts w:ascii="Arial" w:cs="Arial" w:eastAsia="Arial" w:hAnsi="Arial"/>
          <w:sz w:val="22"/>
          <w:szCs w:val="22"/>
          <w:color w:val="auto"/>
        </w:rPr>
      </w:pPr>
      <w:r>
        <w:rPr>
          <w:rFonts w:ascii="Arial" w:cs="Arial" w:eastAsia="Arial" w:hAnsi="Arial"/>
          <w:sz w:val="20"/>
          <w:szCs w:val="20"/>
          <w:color w:val="auto"/>
        </w:rPr>
        <w:t xml:space="preserve">If a determination is made pursuant to </w:t>
      </w:r>
      <w:r>
        <w:rPr>
          <w:rFonts w:ascii="Arial" w:cs="Arial" w:eastAsia="Arial" w:hAnsi="Arial"/>
          <w:sz w:val="20"/>
          <w:szCs w:val="20"/>
          <w:u w:val="single" w:color="auto"/>
          <w:color w:val="auto"/>
        </w:rPr>
        <w:t>Section 2(b)</w:t>
      </w:r>
      <w:r>
        <w:rPr>
          <w:rFonts w:ascii="Arial" w:cs="Arial" w:eastAsia="Arial" w:hAnsi="Arial"/>
          <w:sz w:val="20"/>
          <w:szCs w:val="20"/>
          <w:color w:val="auto"/>
        </w:rPr>
        <w:t xml:space="preserve"> that Indemnitee is not entitled to indemnification, any judicial proceeding or arbitration commenced pursuant to this </w:t>
      </w:r>
      <w:r>
        <w:rPr>
          <w:rFonts w:ascii="Arial" w:cs="Arial" w:eastAsia="Arial" w:hAnsi="Arial"/>
          <w:sz w:val="20"/>
          <w:szCs w:val="20"/>
          <w:u w:val="single" w:color="auto"/>
          <w:color w:val="auto"/>
        </w:rPr>
        <w:t>Section 10</w:t>
      </w:r>
      <w:r>
        <w:rPr>
          <w:rFonts w:ascii="Arial" w:cs="Arial" w:eastAsia="Arial" w:hAnsi="Arial"/>
          <w:sz w:val="20"/>
          <w:szCs w:val="20"/>
          <w:color w:val="auto"/>
        </w:rPr>
        <w:t xml:space="preserve"> will be conducted in all respects as a de novo trial or arbitration on the merits and Indemnitee may not be prejudiced by reason of that adverse determination. In any judicial proceeding or arbitration commenced pursuant to this </w:t>
      </w:r>
      <w:r>
        <w:rPr>
          <w:rFonts w:ascii="Arial" w:cs="Arial" w:eastAsia="Arial" w:hAnsi="Arial"/>
          <w:sz w:val="20"/>
          <w:szCs w:val="20"/>
          <w:u w:val="single" w:color="auto"/>
          <w:color w:val="auto"/>
        </w:rPr>
        <w:t>Section 10</w:t>
      </w:r>
      <w:r>
        <w:rPr>
          <w:rFonts w:ascii="Arial" w:cs="Arial" w:eastAsia="Arial" w:hAnsi="Arial"/>
          <w:sz w:val="20"/>
          <w:szCs w:val="20"/>
          <w:color w:val="auto"/>
        </w:rPr>
        <w:t xml:space="preserve"> the Company will have the burden of proving Indemnitee is not entitled to indemnification or advancement of Expenses, as the case may be, and will not introduce evidence of the determination made pursuant to </w:t>
      </w:r>
      <w:r>
        <w:rPr>
          <w:rFonts w:ascii="Arial" w:cs="Arial" w:eastAsia="Arial" w:hAnsi="Arial"/>
          <w:sz w:val="20"/>
          <w:szCs w:val="20"/>
          <w:u w:val="single" w:color="auto"/>
          <w:color w:val="auto"/>
        </w:rPr>
        <w:t>Section 2(b)</w:t>
      </w:r>
      <w:r>
        <w:rPr>
          <w:rFonts w:ascii="Arial" w:cs="Arial" w:eastAsia="Arial" w:hAnsi="Arial"/>
          <w:sz w:val="20"/>
          <w:szCs w:val="20"/>
          <w:color w:val="auto"/>
        </w:rPr>
        <w:t>.</w:t>
      </w:r>
    </w:p>
    <w:p>
      <w:pPr>
        <w:spacing w:after="0" w:line="188" w:lineRule="exact"/>
        <w:rPr>
          <w:rFonts w:ascii="Arial" w:cs="Arial" w:eastAsia="Arial" w:hAnsi="Arial"/>
          <w:sz w:val="22"/>
          <w:szCs w:val="22"/>
          <w:color w:val="auto"/>
        </w:rPr>
      </w:pPr>
    </w:p>
    <w:p>
      <w:pPr>
        <w:jc w:val="both"/>
        <w:ind w:firstLine="1505"/>
        <w:spacing w:after="0" w:line="234" w:lineRule="auto"/>
        <w:tabs>
          <w:tab w:leader="none" w:pos="2036" w:val="left"/>
        </w:tabs>
        <w:numPr>
          <w:ilvl w:val="0"/>
          <w:numId w:val="99"/>
        </w:numPr>
        <w:rPr>
          <w:rFonts w:ascii="Arial" w:cs="Arial" w:eastAsia="Arial" w:hAnsi="Arial"/>
          <w:sz w:val="22"/>
          <w:szCs w:val="22"/>
          <w:color w:val="auto"/>
        </w:rPr>
      </w:pPr>
      <w:r>
        <w:rPr>
          <w:rFonts w:ascii="Arial" w:cs="Arial" w:eastAsia="Arial" w:hAnsi="Arial"/>
          <w:sz w:val="20"/>
          <w:szCs w:val="20"/>
          <w:color w:val="auto"/>
        </w:rPr>
        <w:t xml:space="preserve">The Company is, to the fullest extent not prohibited by law, precluded from asserting in any judicial proceeding or arbitration commenced pursuant to this </w:t>
      </w:r>
      <w:r>
        <w:rPr>
          <w:rFonts w:ascii="Arial" w:cs="Arial" w:eastAsia="Arial" w:hAnsi="Arial"/>
          <w:sz w:val="20"/>
          <w:szCs w:val="20"/>
          <w:u w:val="single" w:color="auto"/>
          <w:color w:val="auto"/>
        </w:rPr>
        <w:t>Section 10</w:t>
      </w:r>
      <w:r>
        <w:rPr>
          <w:rFonts w:ascii="Arial" w:cs="Arial" w:eastAsia="Arial" w:hAnsi="Arial"/>
          <w:sz w:val="20"/>
          <w:szCs w:val="20"/>
          <w:color w:val="auto"/>
        </w:rPr>
        <w:t xml:space="preserve"> that the procedures and presumptions of this Agreement are not valid, binding, or enforceable and will stipulate in any such court or before any such arbitrator that the Company is bound by all the provisions of this Agreement.</w:t>
      </w:r>
    </w:p>
    <w:p>
      <w:pPr>
        <w:spacing w:after="0" w:line="187" w:lineRule="exact"/>
        <w:rPr>
          <w:rFonts w:ascii="Arial" w:cs="Arial" w:eastAsia="Arial" w:hAnsi="Arial"/>
          <w:sz w:val="22"/>
          <w:szCs w:val="22"/>
          <w:color w:val="auto"/>
        </w:rPr>
      </w:pPr>
    </w:p>
    <w:p>
      <w:pPr>
        <w:jc w:val="both"/>
        <w:ind w:firstLine="1505"/>
        <w:spacing w:after="0" w:line="232" w:lineRule="auto"/>
        <w:tabs>
          <w:tab w:leader="none" w:pos="2036" w:val="left"/>
        </w:tabs>
        <w:numPr>
          <w:ilvl w:val="0"/>
          <w:numId w:val="99"/>
        </w:numPr>
        <w:rPr>
          <w:rFonts w:ascii="Arial" w:cs="Arial" w:eastAsia="Arial" w:hAnsi="Arial"/>
          <w:sz w:val="22"/>
          <w:szCs w:val="22"/>
          <w:color w:val="auto"/>
        </w:rPr>
      </w:pPr>
      <w:r>
        <w:rPr>
          <w:rFonts w:ascii="Arial" w:cs="Arial" w:eastAsia="Arial" w:hAnsi="Arial"/>
          <w:sz w:val="20"/>
          <w:szCs w:val="20"/>
          <w:color w:val="auto"/>
        </w:rPr>
        <w:t>It is the intent of the Company that, to the fullest extent permitted by law,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under this Agreement. The Company, to the fullest extent permitted by law, will (within 30 days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pacing w:after="0" w:line="218" w:lineRule="auto"/>
        <w:rPr>
          <w:sz w:val="20"/>
          <w:szCs w:val="20"/>
          <w:color w:val="auto"/>
        </w:rPr>
      </w:pPr>
      <w:r>
        <w:rPr>
          <w:rFonts w:ascii="Calibri" w:cs="Calibri" w:eastAsia="Calibri" w:hAnsi="Calibri"/>
          <w:sz w:val="18"/>
          <w:szCs w:val="18"/>
          <w:color w:val="auto"/>
        </w:rPr>
        <w:t>SLB-Private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825500</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7" w:name="page88"/>
    <w:bookmarkEnd w:id="87"/>
    <w:p>
      <w:pPr>
        <w:jc w:val="both"/>
        <w:spacing w:after="0" w:line="233" w:lineRule="auto"/>
        <w:rPr>
          <w:sz w:val="20"/>
          <w:szCs w:val="20"/>
          <w:color w:val="auto"/>
        </w:rPr>
      </w:pPr>
      <w:r>
        <w:rPr>
          <w:rFonts w:ascii="Arial" w:cs="Arial" w:eastAsia="Arial" w:hAnsi="Arial"/>
          <w:sz w:val="20"/>
          <w:szCs w:val="20"/>
          <w:color w:val="auto"/>
        </w:rPr>
        <w:t>after receipt by the Company of a written request therefor) advance to Indemnitee such Expenses which are incurred by Indemnitee in connection with a Claim concerning this Agreement, Indemnitee’s other right to indemnification or advancement of Expenses from the Company, or concerning any directors’ and officers’ liability insurance policies maintained by the Company, and will indemnify Indemnitee against any and all such Expenses unless the court determines that each of the Indemnitee’s claims in such action were made in bad faith or frivolous, or that the Company is prohibited by law from indemnifying Indemnitee for such Expenses.</w:t>
      </w:r>
    </w:p>
    <w:p>
      <w:pPr>
        <w:spacing w:after="0" w:line="172"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0"/>
          <w:szCs w:val="20"/>
          <w:color w:val="auto"/>
        </w:rPr>
        <w:t>Section 11.</w:t>
      </w:r>
      <w:r>
        <w:rPr>
          <w:rFonts w:ascii="Arial" w:cs="Arial" w:eastAsia="Arial" w:hAnsi="Arial"/>
          <w:sz w:val="20"/>
          <w:szCs w:val="20"/>
          <w:u w:val="single" w:color="auto"/>
          <w:color w:val="auto"/>
        </w:rPr>
        <w:t>Period of Limitations</w:t>
      </w:r>
      <w:r>
        <w:rPr>
          <w:rFonts w:ascii="Arial" w:cs="Arial" w:eastAsia="Arial" w:hAnsi="Arial"/>
          <w:sz w:val="20"/>
          <w:szCs w:val="20"/>
          <w:color w:val="auto"/>
        </w:rPr>
        <w:t xml:space="preserve">. No legal action shall be brought and no cause of action shall be asserted by or in the right of the Company against Indemnitee, Indemnitee’s estate,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any shorter period of limitations is otherwise applicable to any such cause of action, such shorter period shall govern.</w:t>
      </w:r>
    </w:p>
    <w:p>
      <w:pPr>
        <w:spacing w:after="0" w:line="17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Section 12.</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one or more counterparts, each of which when so executed shall be deemed to be an original and all of which taken together shall constitute one and the same agreement. This Agreement may be validly executed and delivered by facsimile, portable document format (.pdf) or other electronic transmission, and a signature by facsimile, portable document format (.pdf) or other electronic transmission shall be as effective and binding as delivery of a manually executed original signature.</w:t>
      </w:r>
    </w:p>
    <w:p>
      <w:pPr>
        <w:spacing w:after="0" w:line="175"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0"/>
          <w:szCs w:val="20"/>
          <w:color w:val="auto"/>
        </w:rPr>
        <w:t xml:space="preserve">Section 13. </w:t>
      </w:r>
      <w:r>
        <w:rPr>
          <w:rFonts w:ascii="Arial" w:cs="Arial" w:eastAsia="Arial" w:hAnsi="Arial"/>
          <w:sz w:val="20"/>
          <w:szCs w:val="20"/>
          <w:u w:val="single" w:color="auto"/>
          <w:color w:val="auto"/>
        </w:rPr>
        <w:t>Binding Effect; Successors and Assigns</w:t>
      </w:r>
      <w:r>
        <w:rPr>
          <w:rFonts w:ascii="Arial" w:cs="Arial" w:eastAsia="Arial" w:hAnsi="Arial"/>
          <w:sz w:val="20"/>
          <w:szCs w:val="20"/>
          <w:color w:val="auto"/>
        </w:rPr>
        <w:t>. This Agreement shall be binding upon and inure to the benefit of and be enforceable by the parties hereto and their respective successors, assigns, including any direct or indirect successor by purchase, merger, consolidation or otherwise to all or substantially all of the business and/or assets of the Company, estate, spouse, heirs, executors and personal and legal representatives. The Company shall cause any successor, whether direct or indirect, to expressly assume the obligations of the Company hereunder. This Agreement shall continue in effect regardless of whether Indemnitee continues to serve as a director of the Company or of any other Enterprise at the Company’s request.</w:t>
      </w:r>
    </w:p>
    <w:p>
      <w:pPr>
        <w:spacing w:after="0" w:line="172"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0"/>
          <w:szCs w:val="20"/>
          <w:color w:val="auto"/>
        </w:rPr>
        <w:t>Section 14.</w:t>
      </w:r>
      <w:r>
        <w:rPr>
          <w:rFonts w:ascii="Arial" w:cs="Arial" w:eastAsia="Arial" w:hAnsi="Arial"/>
          <w:sz w:val="20"/>
          <w:szCs w:val="20"/>
          <w:u w:val="single" w:color="auto"/>
          <w:color w:val="auto"/>
        </w:rPr>
        <w:t>Notice</w:t>
      </w:r>
      <w:r>
        <w:rPr>
          <w:rFonts w:ascii="Arial" w:cs="Arial" w:eastAsia="Arial" w:hAnsi="Arial"/>
          <w:sz w:val="20"/>
          <w:szCs w:val="20"/>
          <w:color w:val="auto"/>
        </w:rPr>
        <w:t>. All notices, requests, demands and other communications under this Agreement shall be in writing and shall be deemed duly given (i) if delivered by hand, on the date of such receipt, (ii) if mailed by certified or registered mail with postage prepaid, on the third business day after the date postmarked or (iii) if delivered by facsimile transmission or electronic mail, on the date of such receipt when received prior to 5:00 p.m. local time, otherwise on the date following such receipt. Addresses for notice to either party are as shown on the signature page of this Agreement, or as subsequently modified by written notice.</w:t>
      </w:r>
    </w:p>
    <w:p>
      <w:pPr>
        <w:spacing w:after="0" w:line="17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Section 15.</w:t>
      </w:r>
      <w:r>
        <w:rPr>
          <w:rFonts w:ascii="Arial" w:cs="Arial" w:eastAsia="Arial" w:hAnsi="Arial"/>
          <w:sz w:val="20"/>
          <w:szCs w:val="20"/>
          <w:u w:val="single" w:color="auto"/>
          <w:color w:val="auto"/>
        </w:rPr>
        <w:t>Contribution</w:t>
      </w:r>
      <w:r>
        <w:rPr>
          <w:rFonts w:ascii="Arial" w:cs="Arial" w:eastAsia="Arial" w:hAnsi="Arial"/>
          <w:sz w:val="20"/>
          <w:szCs w:val="20"/>
          <w:color w:val="auto"/>
        </w:rPr>
        <w:t>. To the fullest extent permissible under applicable law, if the indemnification provided for in this Agreement is unavailable to Indemnitee for any reason whatsoever, the Company, in lieu of indemnifying Indemnitee, will contribute to the amount incurred by Indemnitee, whether for judgments, fines, penalties, excise taxes,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pacing w:after="0" w:line="218" w:lineRule="auto"/>
        <w:rPr>
          <w:sz w:val="20"/>
          <w:szCs w:val="20"/>
          <w:color w:val="auto"/>
        </w:rPr>
      </w:pPr>
      <w:r>
        <w:rPr>
          <w:rFonts w:ascii="Calibri" w:cs="Calibri" w:eastAsia="Calibri" w:hAnsi="Calibri"/>
          <w:sz w:val="18"/>
          <w:szCs w:val="18"/>
          <w:color w:val="auto"/>
        </w:rPr>
        <w:t>SLB-Private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825500</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8" w:name="page89"/>
    <w:bookmarkEnd w:id="88"/>
    <w:p>
      <w:pPr>
        <w:jc w:val="both"/>
        <w:spacing w:after="0" w:line="234" w:lineRule="auto"/>
        <w:rPr>
          <w:sz w:val="20"/>
          <w:szCs w:val="20"/>
          <w:color w:val="auto"/>
        </w:rPr>
      </w:pPr>
      <w:r>
        <w:rPr>
          <w:rFonts w:ascii="Arial" w:cs="Arial" w:eastAsia="Arial" w:hAnsi="Arial"/>
          <w:sz w:val="20"/>
          <w:szCs w:val="20"/>
          <w:color w:val="auto"/>
        </w:rPr>
        <w:t>amounts paid or to be paid in settlement and/or for Expenses, in connection with any claim relating to an indemnifiable event under this Agreement, in such proportion as is deemed fair and reasonable in light of all of the circumstances of such Claim in order to reflect (i) the relative benefits received by the Company and Indemnitee as a result of the event(s) and/or transaction(s) giving cause to such Claim; and/or (ii) the relative fault of the Company (and its directors, officers, employees and agents) and Indemnitee in connection with such event(s) and/or transaction(s).</w:t>
      </w:r>
    </w:p>
    <w:p>
      <w:pPr>
        <w:spacing w:after="0" w:line="175"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Section 16.</w:t>
      </w:r>
      <w:r>
        <w:rPr>
          <w:rFonts w:ascii="Arial" w:cs="Arial" w:eastAsia="Arial" w:hAnsi="Arial"/>
          <w:sz w:val="20"/>
          <w:szCs w:val="20"/>
          <w:u w:val="single" w:color="auto"/>
          <w:color w:val="auto"/>
        </w:rPr>
        <w:t>Severability</w:t>
      </w:r>
      <w:r>
        <w:rPr>
          <w:rFonts w:ascii="Arial" w:cs="Arial" w:eastAsia="Arial" w:hAnsi="Arial"/>
          <w:sz w:val="20"/>
          <w:szCs w:val="20"/>
          <w:color w:val="auto"/>
        </w:rPr>
        <w:t>. The provisions of this Agreement shall be severable in the event that any of the provisions hereof (including any provision within a single section, paragraph or sentence) are held by a court of competent jurisdiction to be invalid, void or otherwise unenforceable. The remaining provisions shall remain enforceable to the fullest extent permitted by law and, to the fullest extent possible, shall be construed so as to give effect to the intent manifested by the provision held invalid, illegal or unenforceable.</w:t>
      </w:r>
    </w:p>
    <w:p>
      <w:pPr>
        <w:spacing w:after="0" w:line="17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Section 17.</w:t>
      </w:r>
      <w:r>
        <w:rPr>
          <w:rFonts w:ascii="Arial" w:cs="Arial" w:eastAsia="Arial" w:hAnsi="Arial"/>
          <w:sz w:val="20"/>
          <w:szCs w:val="20"/>
          <w:u w:val="single" w:color="auto"/>
          <w:color w:val="auto"/>
        </w:rPr>
        <w:t>Choice of Law</w:t>
      </w:r>
      <w:r>
        <w:rPr>
          <w:rFonts w:ascii="Arial" w:cs="Arial" w:eastAsia="Arial" w:hAnsi="Arial"/>
          <w:sz w:val="20"/>
          <w:szCs w:val="20"/>
          <w:color w:val="auto"/>
        </w:rPr>
        <w:t>. This Agreement shall be governed by and its provisions construed and enforced in accordance with the laws of Curaçao, without regard to the conflict of laws principles thereof.</w:t>
      </w:r>
    </w:p>
    <w:p>
      <w:pPr>
        <w:spacing w:after="0" w:line="155"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Section 18.</w:t>
      </w:r>
      <w:r>
        <w:rPr>
          <w:rFonts w:ascii="Arial" w:cs="Arial" w:eastAsia="Arial" w:hAnsi="Arial"/>
          <w:sz w:val="20"/>
          <w:szCs w:val="20"/>
          <w:u w:val="single" w:color="auto"/>
          <w:color w:val="auto"/>
        </w:rPr>
        <w:t>Subrogation</w:t>
      </w:r>
      <w:r>
        <w:rPr>
          <w:rFonts w:ascii="Arial" w:cs="Arial" w:eastAsia="Arial" w:hAnsi="Arial"/>
          <w:sz w:val="20"/>
          <w:szCs w:val="20"/>
          <w:color w:val="auto"/>
        </w:rPr>
        <w:t>. In the event of payment under this Agreement, the Company shall be subrogated to the extent of such payment to all of the rights of recovery of Indemnitee, who shall execute all documents required and shall do all acts that may be necessary to secure such rights and to enable the Company effectively to bring suit to enforce such rights.</w:t>
      </w:r>
    </w:p>
    <w:p>
      <w:pPr>
        <w:spacing w:after="0" w:line="171"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Section 19.</w:t>
      </w:r>
      <w:r>
        <w:rPr>
          <w:rFonts w:ascii="Arial" w:cs="Arial" w:eastAsia="Arial" w:hAnsi="Arial"/>
          <w:sz w:val="20"/>
          <w:szCs w:val="20"/>
          <w:u w:val="single" w:color="auto"/>
          <w:color w:val="auto"/>
        </w:rPr>
        <w:t>Amendment and Waiver</w:t>
      </w:r>
      <w:r>
        <w:rPr>
          <w:rFonts w:ascii="Arial" w:cs="Arial" w:eastAsia="Arial" w:hAnsi="Arial"/>
          <w:sz w:val="20"/>
          <w:szCs w:val="20"/>
          <w:color w:val="auto"/>
        </w:rPr>
        <w:t>. No amendment, modification, termination or cancellation of this Agreement shall be effective unless it is in writing signed by both the parties hereto. No waiver of any of the provisions of this Agreement shall be deemed or shall constitute a waiver of any other provisions hereof (whether or not similar) nor shall such waiver constitute a continuing waiver.</w:t>
      </w:r>
    </w:p>
    <w:p>
      <w:pPr>
        <w:spacing w:after="0" w:line="17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Section 20.</w:t>
      </w:r>
      <w:r>
        <w:rPr>
          <w:rFonts w:ascii="Arial" w:cs="Arial" w:eastAsia="Arial" w:hAnsi="Arial"/>
          <w:sz w:val="20"/>
          <w:szCs w:val="20"/>
          <w:u w:val="single" w:color="auto"/>
          <w:color w:val="auto"/>
        </w:rPr>
        <w:t>Integration and Entire Agreement</w:t>
      </w:r>
      <w:r>
        <w:rPr>
          <w:rFonts w:ascii="Arial" w:cs="Arial" w:eastAsia="Arial" w:hAnsi="Arial"/>
          <w:sz w:val="20"/>
          <w:szCs w:val="20"/>
          <w:color w:val="auto"/>
        </w:rPr>
        <w:t>. This Agreement sets forth the entire understanding between the parties hereto and supersedes and merges all previous written and oral negotiations, commitments, understandings and agreements relating to the subject matter hereof between the parties hereto.</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7</w:t>
      </w:r>
    </w:p>
    <w:p>
      <w:pPr>
        <w:spacing w:after="0" w:line="218" w:lineRule="auto"/>
        <w:rPr>
          <w:sz w:val="20"/>
          <w:szCs w:val="20"/>
          <w:color w:val="auto"/>
        </w:rPr>
      </w:pPr>
      <w:r>
        <w:rPr>
          <w:rFonts w:ascii="Calibri" w:cs="Calibri" w:eastAsia="Calibri" w:hAnsi="Calibri"/>
          <w:sz w:val="18"/>
          <w:szCs w:val="18"/>
          <w:color w:val="auto"/>
        </w:rPr>
        <w:t>SLB-Private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9" w:name="page90"/>
    <w:bookmarkEnd w:id="89"/>
    <w:p>
      <w:pPr>
        <w:ind w:left="760"/>
        <w:spacing w:after="0"/>
        <w:rPr>
          <w:sz w:val="20"/>
          <w:szCs w:val="20"/>
          <w:color w:val="auto"/>
        </w:rPr>
      </w:pPr>
      <w:r>
        <w:rPr>
          <w:rFonts w:ascii="Arial" w:cs="Arial" w:eastAsia="Arial" w:hAnsi="Arial"/>
          <w:sz w:val="20"/>
          <w:szCs w:val="20"/>
          <w:color w:val="auto"/>
        </w:rPr>
        <w:t>IN WITNESS WHEREOF, the parties hereto have executed this Agreement as of the date first above written.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300" w:type="dxa"/>
            <w:vAlign w:val="bottom"/>
            <w:gridSpan w:val="2"/>
          </w:tcPr>
          <w:p>
            <w:pPr>
              <w:ind w:left="100"/>
              <w:spacing w:after="0"/>
              <w:rPr>
                <w:sz w:val="20"/>
                <w:szCs w:val="20"/>
                <w:color w:val="auto"/>
              </w:rPr>
            </w:pPr>
            <w:r>
              <w:rPr>
                <w:rFonts w:ascii="Arial" w:cs="Arial" w:eastAsia="Arial" w:hAnsi="Arial"/>
                <w:sz w:val="20"/>
                <w:szCs w:val="20"/>
                <w:b w:val="1"/>
                <w:bCs w:val="1"/>
                <w:color w:val="auto"/>
              </w:rPr>
              <w:t>AGREED TO AND ACCEPTED:</w:t>
            </w:r>
          </w:p>
        </w:tc>
        <w:tc>
          <w:tcPr>
            <w:tcW w:w="6940" w:type="dxa"/>
            <w:vAlign w:val="bottom"/>
            <w:gridSpan w:val="2"/>
          </w:tcPr>
          <w:p>
            <w:pPr>
              <w:ind w:left="1320"/>
              <w:spacing w:after="0"/>
              <w:rPr>
                <w:sz w:val="20"/>
                <w:szCs w:val="20"/>
                <w:color w:val="auto"/>
              </w:rPr>
            </w:pPr>
            <w:r>
              <w:rPr>
                <w:rFonts w:ascii="Arial" w:cs="Arial" w:eastAsia="Arial" w:hAnsi="Arial"/>
                <w:sz w:val="20"/>
                <w:szCs w:val="20"/>
                <w:b w:val="1"/>
                <w:bCs w:val="1"/>
                <w:color w:val="auto"/>
              </w:rPr>
              <w:t>SCHLUMBERGER LIMITED</w:t>
            </w:r>
          </w:p>
        </w:tc>
      </w:tr>
      <w:tr>
        <w:trPr>
          <w:trHeight w:val="593"/>
        </w:trPr>
        <w:tc>
          <w:tcPr>
            <w:tcW w:w="4300" w:type="dxa"/>
            <w:vAlign w:val="bottom"/>
            <w:gridSpan w:val="2"/>
          </w:tcPr>
          <w:p>
            <w:pPr>
              <w:ind w:left="100"/>
              <w:spacing w:after="0"/>
              <w:rPr>
                <w:sz w:val="20"/>
                <w:szCs w:val="20"/>
                <w:color w:val="auto"/>
              </w:rPr>
            </w:pPr>
            <w:r>
              <w:rPr>
                <w:rFonts w:ascii="Arial" w:cs="Arial" w:eastAsia="Arial" w:hAnsi="Arial"/>
                <w:sz w:val="20"/>
                <w:szCs w:val="20"/>
                <w:color w:val="auto"/>
              </w:rPr>
              <w:t>_________________________</w:t>
            </w:r>
          </w:p>
        </w:tc>
        <w:tc>
          <w:tcPr>
            <w:tcW w:w="2040" w:type="dxa"/>
            <w:vAlign w:val="bottom"/>
          </w:tcPr>
          <w:p>
            <w:pPr>
              <w:ind w:left="1320"/>
              <w:spacing w:after="0"/>
              <w:rPr>
                <w:sz w:val="20"/>
                <w:szCs w:val="20"/>
                <w:color w:val="auto"/>
              </w:rPr>
            </w:pPr>
            <w:r>
              <w:rPr>
                <w:rFonts w:ascii="Arial" w:cs="Arial" w:eastAsia="Arial" w:hAnsi="Arial"/>
                <w:sz w:val="20"/>
                <w:szCs w:val="20"/>
                <w:color w:val="auto"/>
              </w:rPr>
              <w:t>By:</w:t>
            </w:r>
          </w:p>
        </w:tc>
        <w:tc>
          <w:tcPr>
            <w:tcW w:w="4900" w:type="dxa"/>
            <w:vAlign w:val="bottom"/>
          </w:tcPr>
          <w:p>
            <w:pPr>
              <w:spacing w:after="0"/>
              <w:rPr>
                <w:sz w:val="24"/>
                <w:szCs w:val="24"/>
                <w:color w:val="auto"/>
              </w:rPr>
            </w:pPr>
          </w:p>
        </w:tc>
      </w:tr>
      <w:tr>
        <w:trPr>
          <w:trHeight w:val="216"/>
        </w:trPr>
        <w:tc>
          <w:tcPr>
            <w:tcW w:w="840" w:type="dxa"/>
            <w:vAlign w:val="bottom"/>
          </w:tcPr>
          <w:p>
            <w:pPr>
              <w:ind w:left="100"/>
              <w:spacing w:after="0" w:line="216" w:lineRule="exact"/>
              <w:rPr>
                <w:sz w:val="20"/>
                <w:szCs w:val="20"/>
                <w:color w:val="auto"/>
              </w:rPr>
            </w:pPr>
            <w:r>
              <w:rPr>
                <w:rFonts w:ascii="Arial" w:cs="Arial" w:eastAsia="Arial" w:hAnsi="Arial"/>
                <w:sz w:val="20"/>
                <w:szCs w:val="20"/>
                <w:color w:val="auto"/>
              </w:rPr>
              <w:t>Name:</w:t>
            </w:r>
          </w:p>
        </w:tc>
        <w:tc>
          <w:tcPr>
            <w:tcW w:w="3460" w:type="dxa"/>
            <w:vAlign w:val="bottom"/>
          </w:tcPr>
          <w:p>
            <w:pPr>
              <w:jc w:val="right"/>
              <w:ind w:right="1561"/>
              <w:spacing w:after="0" w:line="216" w:lineRule="exact"/>
              <w:rPr>
                <w:sz w:val="20"/>
                <w:szCs w:val="20"/>
                <w:color w:val="auto"/>
              </w:rPr>
            </w:pPr>
            <w:r>
              <w:rPr>
                <w:rFonts w:ascii="Arial" w:cs="Arial" w:eastAsia="Arial" w:hAnsi="Arial"/>
                <w:sz w:val="20"/>
                <w:szCs w:val="20"/>
                <w:color w:val="auto"/>
              </w:rPr>
              <w:t>[______________]</w:t>
            </w:r>
          </w:p>
        </w:tc>
        <w:tc>
          <w:tcPr>
            <w:tcW w:w="2040" w:type="dxa"/>
            <w:vAlign w:val="bottom"/>
          </w:tcPr>
          <w:p>
            <w:pPr>
              <w:ind w:left="1320"/>
              <w:spacing w:after="0" w:line="216" w:lineRule="exact"/>
              <w:rPr>
                <w:sz w:val="20"/>
                <w:szCs w:val="20"/>
                <w:color w:val="auto"/>
              </w:rPr>
            </w:pPr>
            <w:r>
              <w:rPr>
                <w:rFonts w:ascii="Arial" w:cs="Arial" w:eastAsia="Arial" w:hAnsi="Arial"/>
                <w:sz w:val="20"/>
                <w:szCs w:val="20"/>
                <w:color w:val="auto"/>
              </w:rPr>
              <w:t>Name:</w:t>
            </w:r>
          </w:p>
        </w:tc>
        <w:tc>
          <w:tcPr>
            <w:tcW w:w="4900" w:type="dxa"/>
            <w:vAlign w:val="bottom"/>
          </w:tcPr>
          <w:p>
            <w:pPr>
              <w:ind w:left="160"/>
              <w:spacing w:after="0" w:line="216" w:lineRule="exact"/>
              <w:rPr>
                <w:sz w:val="20"/>
                <w:szCs w:val="20"/>
                <w:color w:val="auto"/>
              </w:rPr>
            </w:pPr>
            <w:r>
              <w:rPr>
                <w:rFonts w:ascii="Arial" w:cs="Arial" w:eastAsia="Arial" w:hAnsi="Arial"/>
                <w:sz w:val="20"/>
                <w:szCs w:val="20"/>
                <w:color w:val="auto"/>
              </w:rPr>
              <w:t>[______________]</w:t>
            </w:r>
          </w:p>
        </w:tc>
      </w:tr>
      <w:tr>
        <w:trPr>
          <w:trHeight w:val="216"/>
        </w:trPr>
        <w:tc>
          <w:tcPr>
            <w:tcW w:w="840" w:type="dxa"/>
            <w:vAlign w:val="bottom"/>
          </w:tcPr>
          <w:p>
            <w:pPr>
              <w:ind w:left="100"/>
              <w:spacing w:after="0" w:line="216" w:lineRule="exact"/>
              <w:rPr>
                <w:sz w:val="20"/>
                <w:szCs w:val="20"/>
                <w:color w:val="auto"/>
              </w:rPr>
            </w:pPr>
            <w:r>
              <w:rPr>
                <w:rFonts w:ascii="Arial" w:cs="Arial" w:eastAsia="Arial" w:hAnsi="Arial"/>
                <w:sz w:val="20"/>
                <w:szCs w:val="20"/>
                <w:color w:val="auto"/>
              </w:rPr>
              <w:t>Title:</w:t>
            </w:r>
          </w:p>
        </w:tc>
        <w:tc>
          <w:tcPr>
            <w:tcW w:w="3460" w:type="dxa"/>
            <w:vAlign w:val="bottom"/>
          </w:tcPr>
          <w:p>
            <w:pPr>
              <w:jc w:val="right"/>
              <w:ind w:right="1561"/>
              <w:spacing w:after="0" w:line="216" w:lineRule="exact"/>
              <w:rPr>
                <w:sz w:val="20"/>
                <w:szCs w:val="20"/>
                <w:color w:val="auto"/>
              </w:rPr>
            </w:pPr>
            <w:r>
              <w:rPr>
                <w:rFonts w:ascii="Arial" w:cs="Arial" w:eastAsia="Arial" w:hAnsi="Arial"/>
                <w:sz w:val="20"/>
                <w:szCs w:val="20"/>
                <w:color w:val="auto"/>
              </w:rPr>
              <w:t>[______________]</w:t>
            </w:r>
          </w:p>
        </w:tc>
        <w:tc>
          <w:tcPr>
            <w:tcW w:w="2040" w:type="dxa"/>
            <w:vAlign w:val="bottom"/>
          </w:tcPr>
          <w:p>
            <w:pPr>
              <w:ind w:left="1320"/>
              <w:spacing w:after="0" w:line="216" w:lineRule="exact"/>
              <w:rPr>
                <w:sz w:val="20"/>
                <w:szCs w:val="20"/>
                <w:color w:val="auto"/>
              </w:rPr>
            </w:pPr>
            <w:r>
              <w:rPr>
                <w:rFonts w:ascii="Arial" w:cs="Arial" w:eastAsia="Arial" w:hAnsi="Arial"/>
                <w:sz w:val="20"/>
                <w:szCs w:val="20"/>
                <w:color w:val="auto"/>
              </w:rPr>
              <w:t>Title:</w:t>
            </w:r>
          </w:p>
        </w:tc>
        <w:tc>
          <w:tcPr>
            <w:tcW w:w="4900" w:type="dxa"/>
            <w:vAlign w:val="bottom"/>
          </w:tcPr>
          <w:p>
            <w:pPr>
              <w:ind w:left="160"/>
              <w:spacing w:after="0" w:line="216" w:lineRule="exact"/>
              <w:rPr>
                <w:sz w:val="20"/>
                <w:szCs w:val="20"/>
                <w:color w:val="auto"/>
              </w:rPr>
            </w:pPr>
            <w:r>
              <w:rPr>
                <w:rFonts w:ascii="Arial" w:cs="Arial" w:eastAsia="Arial" w:hAnsi="Arial"/>
                <w:sz w:val="20"/>
                <w:szCs w:val="20"/>
                <w:color w:val="auto"/>
              </w:rPr>
              <w:t>[______________]</w:t>
            </w:r>
          </w:p>
        </w:tc>
      </w:tr>
      <w:tr>
        <w:trPr>
          <w:trHeight w:val="216"/>
        </w:trPr>
        <w:tc>
          <w:tcPr>
            <w:tcW w:w="4300" w:type="dxa"/>
            <w:vAlign w:val="bottom"/>
            <w:gridSpan w:val="2"/>
          </w:tcPr>
          <w:p>
            <w:pPr>
              <w:ind w:left="100"/>
              <w:spacing w:after="0" w:line="216" w:lineRule="exact"/>
              <w:rPr>
                <w:sz w:val="20"/>
                <w:szCs w:val="20"/>
                <w:color w:val="auto"/>
              </w:rPr>
            </w:pPr>
            <w:r>
              <w:rPr>
                <w:rFonts w:ascii="Arial" w:cs="Arial" w:eastAsia="Arial" w:hAnsi="Arial"/>
                <w:sz w:val="20"/>
                <w:szCs w:val="20"/>
                <w:color w:val="auto"/>
              </w:rPr>
              <w:t>Address: [______________]</w:t>
            </w:r>
          </w:p>
        </w:tc>
        <w:tc>
          <w:tcPr>
            <w:tcW w:w="6940" w:type="dxa"/>
            <w:vAlign w:val="bottom"/>
            <w:gridSpan w:val="2"/>
          </w:tcPr>
          <w:p>
            <w:pPr>
              <w:ind w:left="1320"/>
              <w:spacing w:after="0" w:line="216" w:lineRule="exact"/>
              <w:rPr>
                <w:sz w:val="20"/>
                <w:szCs w:val="20"/>
                <w:color w:val="auto"/>
              </w:rPr>
            </w:pPr>
            <w:r>
              <w:rPr>
                <w:rFonts w:ascii="Arial" w:cs="Arial" w:eastAsia="Arial" w:hAnsi="Arial"/>
                <w:sz w:val="20"/>
                <w:szCs w:val="20"/>
                <w:color w:val="auto"/>
              </w:rPr>
              <w:t>Address: 5599 San Felipe Street,</w:t>
            </w:r>
          </w:p>
        </w:tc>
      </w:tr>
      <w:tr>
        <w:trPr>
          <w:trHeight w:val="261"/>
        </w:trPr>
        <w:tc>
          <w:tcPr>
            <w:tcW w:w="4300" w:type="dxa"/>
            <w:vAlign w:val="bottom"/>
            <w:gridSpan w:val="2"/>
          </w:tcPr>
          <w:p>
            <w:pPr>
              <w:jc w:val="right"/>
              <w:ind w:right="2381"/>
              <w:spacing w:after="0"/>
              <w:rPr>
                <w:sz w:val="20"/>
                <w:szCs w:val="20"/>
                <w:color w:val="auto"/>
              </w:rPr>
            </w:pPr>
            <w:r>
              <w:rPr>
                <w:rFonts w:ascii="Arial" w:cs="Arial" w:eastAsia="Arial" w:hAnsi="Arial"/>
                <w:sz w:val="20"/>
                <w:szCs w:val="20"/>
                <w:color w:val="auto"/>
              </w:rPr>
              <w:t>[______________]</w:t>
            </w:r>
          </w:p>
        </w:tc>
        <w:tc>
          <w:tcPr>
            <w:tcW w:w="2040" w:type="dxa"/>
            <w:vAlign w:val="bottom"/>
          </w:tcPr>
          <w:p>
            <w:pPr>
              <w:spacing w:after="0"/>
              <w:rPr>
                <w:sz w:val="22"/>
                <w:szCs w:val="22"/>
                <w:color w:val="auto"/>
              </w:rPr>
            </w:pPr>
          </w:p>
        </w:tc>
        <w:tc>
          <w:tcPr>
            <w:tcW w:w="4900" w:type="dxa"/>
            <w:vAlign w:val="bottom"/>
          </w:tcPr>
          <w:p>
            <w:pPr>
              <w:ind w:left="120"/>
              <w:spacing w:after="0"/>
              <w:rPr>
                <w:sz w:val="20"/>
                <w:szCs w:val="20"/>
                <w:color w:val="auto"/>
              </w:rPr>
            </w:pPr>
            <w:r>
              <w:rPr>
                <w:rFonts w:ascii="Arial" w:cs="Arial" w:eastAsia="Arial" w:hAnsi="Arial"/>
                <w:sz w:val="20"/>
                <w:szCs w:val="20"/>
                <w:color w:val="auto"/>
              </w:rPr>
              <w:t>Houston, TX 77056 USA</w:t>
            </w:r>
          </w:p>
        </w:tc>
      </w:tr>
      <w:tr>
        <w:trPr>
          <w:trHeight w:val="1563"/>
        </w:trPr>
        <w:tc>
          <w:tcPr>
            <w:tcW w:w="84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20"/>
          <w:szCs w:val="20"/>
          <w:b w:val="1"/>
          <w:bCs w:val="1"/>
          <w:color w:val="auto"/>
        </w:rPr>
        <w:t>Schedule 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Glossary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For the purposes of this Agreement, the following terms will have the definitions assigned below.</w:t>
      </w:r>
    </w:p>
    <w:p>
      <w:pPr>
        <w:spacing w:after="0" w:line="200" w:lineRule="exact"/>
        <w:rPr>
          <w:sz w:val="20"/>
          <w:szCs w:val="20"/>
          <w:color w:val="auto"/>
        </w:rPr>
      </w:pPr>
    </w:p>
    <w:p>
      <w:pPr>
        <w:jc w:val="both"/>
        <w:ind w:firstLine="1505"/>
        <w:spacing w:after="0" w:line="242" w:lineRule="auto"/>
        <w:tabs>
          <w:tab w:leader="none" w:pos="2036" w:val="left"/>
        </w:tabs>
        <w:numPr>
          <w:ilvl w:val="0"/>
          <w:numId w:val="10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Beneficial Owner</w:t>
      </w:r>
      <w:r>
        <w:rPr>
          <w:rFonts w:ascii="Arial" w:cs="Arial" w:eastAsia="Arial" w:hAnsi="Arial"/>
          <w:sz w:val="20"/>
          <w:szCs w:val="20"/>
          <w:color w:val="auto"/>
        </w:rPr>
        <w:t>” has the meaning given to such term in Rule 13d-3 under the Exchange Act; provided, however, that Beneficial Owner excludes any Person otherwise becoming a Beneficial Owner by reason of the stockholders of the Company approving a merger of the Company with another entity.</w:t>
      </w:r>
    </w:p>
    <w:p>
      <w:pPr>
        <w:spacing w:after="0" w:line="168" w:lineRule="exact"/>
        <w:rPr>
          <w:rFonts w:ascii="Arial" w:cs="Arial" w:eastAsia="Arial" w:hAnsi="Arial"/>
          <w:sz w:val="20"/>
          <w:szCs w:val="20"/>
          <w:color w:val="auto"/>
        </w:rPr>
      </w:pPr>
    </w:p>
    <w:p>
      <w:pPr>
        <w:ind w:left="2040" w:hanging="535"/>
        <w:spacing w:after="0"/>
        <w:tabs>
          <w:tab w:leader="none" w:pos="204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A “</w:t>
      </w:r>
      <w:r>
        <w:rPr>
          <w:rFonts w:ascii="Arial" w:cs="Arial" w:eastAsia="Arial" w:hAnsi="Arial"/>
          <w:sz w:val="20"/>
          <w:szCs w:val="20"/>
          <w:b w:val="1"/>
          <w:bCs w:val="1"/>
          <w:color w:val="auto"/>
        </w:rPr>
        <w:t>Change in Control</w:t>
      </w:r>
      <w:r>
        <w:rPr>
          <w:rFonts w:ascii="Arial" w:cs="Arial" w:eastAsia="Arial" w:hAnsi="Arial"/>
          <w:sz w:val="20"/>
          <w:szCs w:val="20"/>
          <w:color w:val="auto"/>
        </w:rPr>
        <w:t>” means a change in control of the Company which shall be deemed to have</w:t>
      </w:r>
    </w:p>
    <w:p>
      <w:pPr>
        <w:spacing w:after="0" w:line="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occurred if at any time:</w:t>
      </w:r>
    </w:p>
    <w:p>
      <w:pPr>
        <w:spacing w:after="0" w:line="184" w:lineRule="exact"/>
        <w:rPr>
          <w:sz w:val="20"/>
          <w:szCs w:val="20"/>
          <w:color w:val="auto"/>
        </w:rPr>
      </w:pPr>
    </w:p>
    <w:p>
      <w:pPr>
        <w:jc w:val="both"/>
        <w:ind w:left="760" w:firstLine="745"/>
        <w:spacing w:after="0" w:line="233" w:lineRule="auto"/>
        <w:tabs>
          <w:tab w:leader="none" w:pos="2048" w:val="left"/>
        </w:tabs>
        <w:numPr>
          <w:ilvl w:val="0"/>
          <w:numId w:val="101"/>
        </w:numPr>
        <w:rPr>
          <w:rFonts w:ascii="Arial" w:cs="Arial" w:eastAsia="Arial" w:hAnsi="Arial"/>
          <w:sz w:val="20"/>
          <w:szCs w:val="20"/>
          <w:color w:val="auto"/>
        </w:rPr>
      </w:pPr>
      <w:r>
        <w:rPr>
          <w:rFonts w:ascii="Arial" w:cs="Arial" w:eastAsia="Arial" w:hAnsi="Arial"/>
          <w:sz w:val="20"/>
          <w:szCs w:val="20"/>
          <w:color w:val="auto"/>
        </w:rPr>
        <w:t>any Person is or becomes the Beneficial Owner, directly or indirectly of securities of the Company representing 30% or more of the combined voting power of the Company’s then outstanding shares without the prior approval of at least two-thirds of the members of the Board of Directors in office immediately prior to such Person attaining such percentage interest unless the change in relative beneficial ownership of the Company’s securities by any Person results solely from a reduction in the aggregate number of outstanding shares of securities entitled to vote generally in the election of directors;</w:t>
      </w:r>
    </w:p>
    <w:p>
      <w:pPr>
        <w:spacing w:after="0" w:line="172" w:lineRule="exact"/>
        <w:rPr>
          <w:rFonts w:ascii="Arial" w:cs="Arial" w:eastAsia="Arial" w:hAnsi="Arial"/>
          <w:sz w:val="20"/>
          <w:szCs w:val="20"/>
          <w:color w:val="auto"/>
        </w:rPr>
      </w:pPr>
    </w:p>
    <w:p>
      <w:pPr>
        <w:jc w:val="both"/>
        <w:ind w:left="760" w:firstLine="745"/>
        <w:spacing w:after="0" w:line="241" w:lineRule="auto"/>
        <w:tabs>
          <w:tab w:leader="none" w:pos="2048"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Company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in office thereafter;</w:t>
      </w:r>
    </w:p>
    <w:p>
      <w:pPr>
        <w:spacing w:after="0" w:line="171" w:lineRule="exact"/>
        <w:rPr>
          <w:rFonts w:ascii="Arial" w:cs="Arial" w:eastAsia="Arial" w:hAnsi="Arial"/>
          <w:sz w:val="20"/>
          <w:szCs w:val="20"/>
          <w:color w:val="auto"/>
        </w:rPr>
      </w:pPr>
    </w:p>
    <w:p>
      <w:pPr>
        <w:jc w:val="both"/>
        <w:ind w:left="760" w:firstLine="745"/>
        <w:spacing w:after="0" w:line="230" w:lineRule="auto"/>
        <w:tabs>
          <w:tab w:leader="none" w:pos="2048" w:val="left"/>
        </w:tabs>
        <w:numPr>
          <w:ilvl w:val="0"/>
          <w:numId w:val="101"/>
        </w:numPr>
        <w:rPr>
          <w:rFonts w:ascii="Arial" w:cs="Arial" w:eastAsia="Arial" w:hAnsi="Arial"/>
          <w:sz w:val="20"/>
          <w:szCs w:val="20"/>
          <w:color w:val="auto"/>
        </w:rPr>
      </w:pPr>
      <w:r>
        <w:rPr>
          <w:rFonts w:ascii="Arial" w:cs="Arial" w:eastAsia="Arial" w:hAnsi="Arial"/>
          <w:sz w:val="20"/>
          <w:szCs w:val="20"/>
          <w:color w:val="auto"/>
        </w:rPr>
        <w:t>during any 15-month period, individuals who at the beginning of such period constituted the Board of Directors (including for this purpose any new director whose election or nomination for election by the Company’s shareholders was approved by a vote of at least two-thirds of the directors then still in office who were directors at the beginning of such period) (the “</w:t>
      </w:r>
      <w:r>
        <w:rPr>
          <w:rFonts w:ascii="Arial" w:cs="Arial" w:eastAsia="Arial" w:hAnsi="Arial"/>
          <w:sz w:val="20"/>
          <w:szCs w:val="20"/>
          <w:b w:val="1"/>
          <w:bCs w:val="1"/>
          <w:color w:val="auto"/>
        </w:rPr>
        <w:t>Incumbent Directors</w:t>
      </w:r>
      <w:r>
        <w:rPr>
          <w:rFonts w:ascii="Arial" w:cs="Arial" w:eastAsia="Arial" w:hAnsi="Arial"/>
          <w:sz w:val="20"/>
          <w:szCs w:val="20"/>
          <w:color w:val="auto"/>
        </w:rPr>
        <w:t>”) cease for any reason to constitute at least a majority of the Board of Directors; but provided, that any such person whose initial assumption of office is in connection with an actual or threatened election contest relating to the election of members of the Board of Directors or other actual or threatened solicitation of proxies or consents by or on behalf of a Person other than the Board of Directors, including by reason of agreement intended to avoid or settle any such actual or threatened contest or solicitation, shall not be considered an Incumbent Director;</w:t>
      </w:r>
    </w:p>
    <w:p>
      <w:pPr>
        <w:spacing w:after="0" w:line="176" w:lineRule="exact"/>
        <w:rPr>
          <w:rFonts w:ascii="Arial" w:cs="Arial" w:eastAsia="Arial" w:hAnsi="Arial"/>
          <w:sz w:val="20"/>
          <w:szCs w:val="20"/>
          <w:color w:val="auto"/>
        </w:rPr>
      </w:pPr>
    </w:p>
    <w:p>
      <w:pPr>
        <w:ind w:left="760" w:firstLine="745"/>
        <w:spacing w:after="0" w:line="257" w:lineRule="auto"/>
        <w:tabs>
          <w:tab w:leader="none" w:pos="2048"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approval by the shareholders of the Company of a complete liquidation of the Company or an agreement for the sale or disposition by the Company of all or substantially all of the Company’s assets; and</w:t>
      </w:r>
    </w:p>
    <w:p>
      <w:pPr>
        <w:spacing w:after="0" w:line="155" w:lineRule="exact"/>
        <w:rPr>
          <w:rFonts w:ascii="Arial" w:cs="Arial" w:eastAsia="Arial" w:hAnsi="Arial"/>
          <w:sz w:val="20"/>
          <w:szCs w:val="20"/>
          <w:color w:val="auto"/>
        </w:rPr>
      </w:pPr>
    </w:p>
    <w:p>
      <w:pPr>
        <w:jc w:val="both"/>
        <w:ind w:left="760" w:firstLine="745"/>
        <w:spacing w:after="0" w:line="284" w:lineRule="auto"/>
        <w:tabs>
          <w:tab w:leader="none" w:pos="204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there occurs any other event of a nature that would be required to be reported in response to Item 6(e) of Schedule 14A of Regulation 14A (or a response to any similar item on any similar schedule or form) promulgated under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4" w:lineRule="exact"/>
        <w:rPr>
          <w:sz w:val="20"/>
          <w:szCs w:val="20"/>
          <w:color w:val="auto"/>
        </w:rPr>
      </w:pPr>
    </w:p>
    <w:p>
      <w:pPr>
        <w:spacing w:after="0"/>
        <w:rPr>
          <w:sz w:val="20"/>
          <w:szCs w:val="20"/>
          <w:color w:val="auto"/>
        </w:rPr>
      </w:pPr>
      <w:r>
        <w:rPr>
          <w:rFonts w:ascii="Calibri" w:cs="Calibri" w:eastAsia="Calibri" w:hAnsi="Calibri"/>
          <w:sz w:val="18"/>
          <w:szCs w:val="18"/>
          <w:color w:val="auto"/>
        </w:rPr>
        <w:t>SLB-Private</w:t>
      </w: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791210</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91" w:name="page92"/>
    <w:bookmarkEnd w:id="91"/>
    <w:p>
      <w:pPr>
        <w:ind w:left="760"/>
        <w:spacing w:after="0"/>
        <w:rPr>
          <w:sz w:val="20"/>
          <w:szCs w:val="20"/>
          <w:color w:val="auto"/>
        </w:rPr>
      </w:pPr>
      <w:r>
        <w:rPr>
          <w:rFonts w:ascii="Arial" w:cs="Arial" w:eastAsia="Arial" w:hAnsi="Arial"/>
          <w:sz w:val="20"/>
          <w:szCs w:val="20"/>
          <w:color w:val="auto"/>
        </w:rPr>
        <w:t>the Exchange Act, whether or not the Company is then subject to such reporting requirement.</w:t>
      </w:r>
    </w:p>
    <w:p>
      <w:pPr>
        <w:spacing w:after="0" w:line="200" w:lineRule="exact"/>
        <w:rPr>
          <w:sz w:val="20"/>
          <w:szCs w:val="20"/>
          <w:color w:val="auto"/>
        </w:rPr>
      </w:pPr>
    </w:p>
    <w:p>
      <w:pPr>
        <w:jc w:val="both"/>
        <w:ind w:firstLine="1505"/>
        <w:spacing w:after="0" w:line="230" w:lineRule="auto"/>
        <w:tabs>
          <w:tab w:leader="none" w:pos="2036" w:val="left"/>
        </w:tabs>
        <w:numPr>
          <w:ilvl w:val="0"/>
          <w:numId w:val="10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Claim</w:t>
      </w:r>
      <w:r>
        <w:rPr>
          <w:rFonts w:ascii="Arial" w:cs="Arial" w:eastAsia="Arial" w:hAnsi="Arial"/>
          <w:sz w:val="20"/>
          <w:szCs w:val="20"/>
          <w:color w:val="auto"/>
        </w:rPr>
        <w:t>” means any threatened, pending or completed action, suit, claim, counterclaim, cross claim, proceeding, arbitration, mediation, alternative dispute resolution mechanism, inquiry, investigation, or any other actual, threatened or completed proceeding, whether brought in the right of the Company or otherwise and whether of a civil, criminal, administrative, legislative, regulatory</w:t>
      </w:r>
      <w:r>
        <w:rPr>
          <w:rFonts w:ascii="Arial" w:cs="Arial" w:eastAsia="Arial" w:hAnsi="Arial"/>
          <w:sz w:val="20"/>
          <w:szCs w:val="20"/>
          <w:b w:val="1"/>
          <w:bCs w:val="1"/>
          <w:color w:val="auto"/>
        </w:rPr>
        <w:t>,</w:t>
      </w:r>
      <w:r>
        <w:rPr>
          <w:rFonts w:ascii="Arial" w:cs="Arial" w:eastAsia="Arial" w:hAnsi="Arial"/>
          <w:sz w:val="20"/>
          <w:szCs w:val="20"/>
          <w:color w:val="auto"/>
        </w:rPr>
        <w:t xml:space="preserve"> or investigative (formal or informal) nature, including any appeal therefrom in which Indemnitee was, is, or will be involved as a party, potential party, non-party witness, or otherwise by reason of Indemnitee’s Corporate Status or by reason of any action taken by Indemnitee (or a failure to take action by Indemnitee) or of any action (or failure to act) on Indemnitee’s part while acting pursuant to Indemnitee’s Corporate Status, in each case whether or not serving in such capacity at the time any liability or Expense is incurred for which indemnification, reimbursement, or advancement of Expenses can be provided under this Agreement. A Claim also includes a situation that Indemnitee in good faith believes might lead to, or culminate in, the institution of a Claim.</w:t>
      </w:r>
    </w:p>
    <w:p>
      <w:pPr>
        <w:spacing w:after="0" w:line="172" w:lineRule="exact"/>
        <w:rPr>
          <w:rFonts w:ascii="Arial" w:cs="Arial" w:eastAsia="Arial" w:hAnsi="Arial"/>
          <w:sz w:val="20"/>
          <w:szCs w:val="20"/>
          <w:color w:val="auto"/>
        </w:rPr>
      </w:pPr>
    </w:p>
    <w:p>
      <w:pPr>
        <w:ind w:firstLine="1505"/>
        <w:spacing w:after="0" w:line="259" w:lineRule="auto"/>
        <w:tabs>
          <w:tab w:leader="none" w:pos="2036" w:val="left"/>
        </w:tabs>
        <w:numPr>
          <w:ilvl w:val="0"/>
          <w:numId w:val="10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Corporate Status</w:t>
      </w:r>
      <w:r>
        <w:rPr>
          <w:rFonts w:ascii="Arial" w:cs="Arial" w:eastAsia="Arial" w:hAnsi="Arial"/>
          <w:sz w:val="20"/>
          <w:szCs w:val="20"/>
          <w:color w:val="auto"/>
        </w:rPr>
        <w:t>” describes the status of a person who is or was acting as a director, officer, employee or Agent of the Company or an Enterprise.</w:t>
      </w:r>
    </w:p>
    <w:p>
      <w:pPr>
        <w:spacing w:after="0" w:line="151" w:lineRule="exact"/>
        <w:rPr>
          <w:rFonts w:ascii="Arial" w:cs="Arial" w:eastAsia="Arial" w:hAnsi="Arial"/>
          <w:sz w:val="20"/>
          <w:szCs w:val="20"/>
          <w:color w:val="auto"/>
        </w:rPr>
      </w:pPr>
    </w:p>
    <w:p>
      <w:pPr>
        <w:jc w:val="both"/>
        <w:ind w:firstLine="1505"/>
        <w:spacing w:after="0" w:line="242" w:lineRule="auto"/>
        <w:tabs>
          <w:tab w:leader="none" w:pos="2036" w:val="left"/>
        </w:tabs>
        <w:numPr>
          <w:ilvl w:val="0"/>
          <w:numId w:val="10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Enterprise</w:t>
      </w:r>
      <w:r>
        <w:rPr>
          <w:rFonts w:ascii="Arial" w:cs="Arial" w:eastAsia="Arial" w:hAnsi="Arial"/>
          <w:sz w:val="20"/>
          <w:szCs w:val="20"/>
          <w:color w:val="auto"/>
        </w:rPr>
        <w:t>” means any other corporation, limited liability company, partnership, joint venture, trust, employee benefit plan or other entity for which Indemnitee is or was serving at the request of the Company as a director, officer, employee, or agent.</w:t>
      </w:r>
    </w:p>
    <w:p>
      <w:pPr>
        <w:spacing w:after="0" w:line="168" w:lineRule="exact"/>
        <w:rPr>
          <w:rFonts w:ascii="Arial" w:cs="Arial" w:eastAsia="Arial" w:hAnsi="Arial"/>
          <w:sz w:val="20"/>
          <w:szCs w:val="20"/>
          <w:color w:val="auto"/>
        </w:rPr>
      </w:pPr>
    </w:p>
    <w:p>
      <w:pPr>
        <w:ind w:left="2040" w:hanging="535"/>
        <w:spacing w:after="0"/>
        <w:tabs>
          <w:tab w:leader="none" w:pos="204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Expenses</w:t>
      </w:r>
      <w:r>
        <w:rPr>
          <w:rFonts w:ascii="Arial" w:cs="Arial" w:eastAsia="Arial" w:hAnsi="Arial"/>
          <w:sz w:val="20"/>
          <w:szCs w:val="20"/>
          <w:color w:val="auto"/>
        </w:rPr>
        <w:t>” means:</w:t>
      </w:r>
    </w:p>
    <w:p>
      <w:pPr>
        <w:spacing w:after="0" w:line="204" w:lineRule="exact"/>
        <w:rPr>
          <w:sz w:val="20"/>
          <w:szCs w:val="20"/>
          <w:color w:val="auto"/>
        </w:rPr>
      </w:pPr>
    </w:p>
    <w:p>
      <w:pPr>
        <w:jc w:val="both"/>
        <w:ind w:left="760" w:firstLine="745"/>
        <w:spacing w:after="0" w:line="233" w:lineRule="auto"/>
        <w:tabs>
          <w:tab w:leader="none" w:pos="2048"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any and all reasonable expenses, including attorneys’ fees, retainers, court costs, transcript costs, fees and other costs of experts and other professionals, witness fees, travel expenses, printing and binding costs, postage, delivery service fees, and all other costs, expenses and obligations incurred in connection with this Agreement, ERISA excise taxes and disbursements, obligations or expenses of the type customarily incurred in connection with investigating, defending, being a witness in or participating in (including on appeal), or preparing to defend, be a witness in or participate in, any Claim;</w:t>
      </w:r>
    </w:p>
    <w:p>
      <w:pPr>
        <w:spacing w:after="0" w:line="118" w:lineRule="exact"/>
        <w:rPr>
          <w:rFonts w:ascii="Arial" w:cs="Arial" w:eastAsia="Arial" w:hAnsi="Arial"/>
          <w:sz w:val="20"/>
          <w:szCs w:val="20"/>
          <w:color w:val="auto"/>
        </w:rPr>
      </w:pPr>
    </w:p>
    <w:p>
      <w:pPr>
        <w:jc w:val="both"/>
        <w:ind w:left="760" w:firstLine="745"/>
        <w:spacing w:after="0" w:line="237" w:lineRule="auto"/>
        <w:tabs>
          <w:tab w:leader="none" w:pos="2048"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any and all judgments, fines, penalties and amounts paid in settlement (if such settlement is approved in advance by the Company, which approval shall not be unreasonably withheld) of any Claim, including all interest, assessments and other charges paid or payable in connection with or in respect thereof, including excise taxes assessed with respect to any employee benefit plan; and</w:t>
      </w:r>
    </w:p>
    <w:p>
      <w:pPr>
        <w:spacing w:after="0" w:line="117" w:lineRule="exact"/>
        <w:rPr>
          <w:rFonts w:ascii="Arial" w:cs="Arial" w:eastAsia="Arial" w:hAnsi="Arial"/>
          <w:sz w:val="20"/>
          <w:szCs w:val="20"/>
          <w:color w:val="auto"/>
        </w:rPr>
      </w:pPr>
    </w:p>
    <w:p>
      <w:pPr>
        <w:ind w:left="760" w:firstLine="745"/>
        <w:spacing w:after="0" w:line="257" w:lineRule="auto"/>
        <w:tabs>
          <w:tab w:leader="none" w:pos="2048"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any federal, state, local or foreign taxes imposed on Indemnitee as a result of the actual or deemed receipt of any payments under this Agreement.</w:t>
      </w:r>
    </w:p>
    <w:p>
      <w:pPr>
        <w:spacing w:after="0" w:line="315" w:lineRule="exact"/>
        <w:rPr>
          <w:sz w:val="20"/>
          <w:szCs w:val="20"/>
          <w:color w:val="auto"/>
        </w:rPr>
      </w:pPr>
    </w:p>
    <w:p>
      <w:pPr>
        <w:ind w:firstLine="1505"/>
        <w:spacing w:after="0" w:line="259" w:lineRule="auto"/>
        <w:tabs>
          <w:tab w:leader="none" w:pos="2036" w:val="left"/>
        </w:tabs>
        <w:numPr>
          <w:ilvl w:val="0"/>
          <w:numId w:val="10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Indemnifiable Event</w:t>
      </w:r>
      <w:r>
        <w:rPr>
          <w:rFonts w:ascii="Arial" w:cs="Arial" w:eastAsia="Arial" w:hAnsi="Arial"/>
          <w:sz w:val="20"/>
          <w:szCs w:val="20"/>
          <w:color w:val="auto"/>
        </w:rPr>
        <w:t>” means any event or occurrence related to the fact that Indemnitee is or was a director, officer, partner, employee, trustee, agent or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14" w:lineRule="exact"/>
        <w:rPr>
          <w:sz w:val="20"/>
          <w:szCs w:val="20"/>
          <w:color w:val="auto"/>
        </w:rPr>
      </w:pPr>
    </w:p>
    <w:p>
      <w:pPr>
        <w:spacing w:after="0"/>
        <w:rPr>
          <w:sz w:val="20"/>
          <w:szCs w:val="20"/>
          <w:color w:val="auto"/>
        </w:rPr>
      </w:pPr>
      <w:r>
        <w:rPr>
          <w:rFonts w:ascii="Calibri" w:cs="Calibri" w:eastAsia="Calibri" w:hAnsi="Calibri"/>
          <w:sz w:val="18"/>
          <w:szCs w:val="18"/>
          <w:color w:val="auto"/>
        </w:rPr>
        <w:t>SLB-Private</w:t>
      </w: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791210</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2" w:name="page93"/>
    <w:bookmarkEnd w:id="92"/>
    <w:p>
      <w:pPr>
        <w:jc w:val="both"/>
        <w:spacing w:after="0" w:line="237" w:lineRule="auto"/>
        <w:rPr>
          <w:sz w:val="20"/>
          <w:szCs w:val="20"/>
          <w:color w:val="auto"/>
        </w:rPr>
      </w:pPr>
      <w:r>
        <w:rPr>
          <w:rFonts w:ascii="Arial" w:cs="Arial" w:eastAsia="Arial" w:hAnsi="Arial"/>
          <w:sz w:val="20"/>
          <w:szCs w:val="20"/>
          <w:color w:val="auto"/>
        </w:rPr>
        <w:t>fiduciary of the Company, or of any subsidiary of the Company, or is or was serving at the request of the Company as a director, officer, partner, employee, trustee, agent or fiduciary of any Enterprise, which imposes duties on, or involves services by, such director, officer, employee, agent or fiduciary while serving in such capacity, or by reason of any action or inaction on the part of Indemnitee in such capacity.</w:t>
      </w:r>
    </w:p>
    <w:p>
      <w:pPr>
        <w:spacing w:after="0" w:line="170" w:lineRule="exact"/>
        <w:rPr>
          <w:sz w:val="20"/>
          <w:szCs w:val="20"/>
          <w:color w:val="auto"/>
        </w:rPr>
      </w:pPr>
    </w:p>
    <w:p>
      <w:pPr>
        <w:jc w:val="both"/>
        <w:ind w:firstLine="1505"/>
        <w:spacing w:after="0" w:line="232" w:lineRule="auto"/>
        <w:tabs>
          <w:tab w:leader="none" w:pos="2036" w:val="left"/>
        </w:tabs>
        <w:numPr>
          <w:ilvl w:val="0"/>
          <w:numId w:val="10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Independent Legal Counsel</w:t>
      </w:r>
      <w:r>
        <w:rPr>
          <w:rFonts w:ascii="Arial" w:cs="Arial" w:eastAsia="Arial" w:hAnsi="Arial"/>
          <w:sz w:val="20"/>
          <w:szCs w:val="20"/>
          <w:color w:val="auto"/>
        </w:rPr>
        <w:t>” means an attorney or firm of attorneys, “</w:t>
      </w:r>
      <w:r>
        <w:rPr>
          <w:rFonts w:ascii="Arial" w:cs="Arial" w:eastAsia="Arial" w:hAnsi="Arial"/>
          <w:sz w:val="20"/>
          <w:szCs w:val="20"/>
          <w:b w:val="1"/>
          <w:bCs w:val="1"/>
          <w:color w:val="auto"/>
        </w:rPr>
        <w:t>AV</w:t>
      </w:r>
      <w:r>
        <w:rPr>
          <w:rFonts w:ascii="Arial" w:cs="Arial" w:eastAsia="Arial" w:hAnsi="Arial"/>
          <w:sz w:val="20"/>
          <w:szCs w:val="20"/>
          <w:color w:val="auto"/>
        </w:rPr>
        <w:t>” or better rated by Martindale Hubbell, having no previous employment, attorney-client or other relationship with the Company or Indemnitee in the past five years selected by Indemnitee and consented to in writing by the Company, which consent shall not be unreasonably withheld. In the event that the parties cannot agree on the selection of Independent Legal Counsel, such counsel shall be drawn by lot from a selection of at least four law firms having more than fifty attorneys and an “AV” or better rating by Martindale-Hubbell, two of which firms shall be chosen by the Company and two of which shall be chosen by Director. The drawing shall be done in the presence of both parties or their legal counsel, as each party may elect.</w:t>
      </w:r>
    </w:p>
    <w:p>
      <w:pPr>
        <w:spacing w:after="0" w:line="171" w:lineRule="exact"/>
        <w:rPr>
          <w:rFonts w:ascii="Arial" w:cs="Arial" w:eastAsia="Arial" w:hAnsi="Arial"/>
          <w:sz w:val="20"/>
          <w:szCs w:val="20"/>
          <w:color w:val="auto"/>
        </w:rPr>
      </w:pPr>
    </w:p>
    <w:p>
      <w:pPr>
        <w:jc w:val="both"/>
        <w:ind w:firstLine="1505"/>
        <w:spacing w:after="0" w:line="237" w:lineRule="auto"/>
        <w:tabs>
          <w:tab w:leader="none" w:pos="2036" w:val="left"/>
        </w:tabs>
        <w:numPr>
          <w:ilvl w:val="0"/>
          <w:numId w:val="10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has the meaning as set forth in Sections 13(d) and 14(d) of the Exchange Act; provided, however, that Person excludes (i) the Company, (ii) any trustee or other fiduciary holding securities under an employee benefit plan of the Company, and (iii) any corporation owned, directly or indirectly, by the shareholders of the Company in substantially the same proportions as their ownership of stock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14" w:lineRule="exact"/>
        <w:rPr>
          <w:sz w:val="20"/>
          <w:szCs w:val="20"/>
          <w:color w:val="auto"/>
        </w:rPr>
      </w:pPr>
    </w:p>
    <w:p>
      <w:pPr>
        <w:spacing w:after="0"/>
        <w:rPr>
          <w:sz w:val="20"/>
          <w:szCs w:val="20"/>
          <w:color w:val="auto"/>
        </w:rPr>
      </w:pPr>
      <w:r>
        <w:rPr>
          <w:rFonts w:ascii="Calibri" w:cs="Calibri" w:eastAsia="Calibri" w:hAnsi="Calibri"/>
          <w:sz w:val="18"/>
          <w:szCs w:val="18"/>
          <w:color w:val="auto"/>
        </w:rPr>
        <w:t>SLB-Private</w:t>
      </w: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791210</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3" w:name="page94"/>
    <w:bookmarkEnd w:id="93"/>
    <w:p>
      <w:pPr>
        <w:ind w:left="10440"/>
        <w:spacing w:after="0"/>
        <w:rPr>
          <w:sz w:val="20"/>
          <w:szCs w:val="20"/>
          <w:color w:val="auto"/>
        </w:rPr>
      </w:pPr>
      <w:r>
        <w:rPr>
          <w:rFonts w:ascii="Arial" w:cs="Arial" w:eastAsia="Arial" w:hAnsi="Arial"/>
          <w:sz w:val="16"/>
          <w:szCs w:val="16"/>
          <w:b w:val="1"/>
          <w:bCs w:val="1"/>
          <w:u w:val="single" w:color="auto"/>
          <w:color w:val="auto"/>
        </w:rPr>
        <w:t>Exhibit 21</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Significant Subsidiaries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Listed below are the significant subsidiaries of Schlumberger Limited (Schlumberger N.V.) as of December 31, 2023, and the states or jurisdictions in which they are incorporated or organized. The indentation reflects the principal parenting of each subsidiary. The names of other subsidiaries have been omitted from the list below, since they would not constitute, in the aggregate, a significant subsidiary as of December 31, 2023.</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Schlumberger B.V., Netherlands</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Schlumberger Canada Limited, Canada</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Schlumberger Holdings Corporation, Delaware</w:t>
      </w:r>
    </w:p>
    <w:p>
      <w:pPr>
        <w:spacing w:after="0" w:line="1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Cameron International Corporation, Delaware</w:t>
      </w:r>
    </w:p>
    <w:p>
      <w:pPr>
        <w:spacing w:after="0" w:line="1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Schlumberger Technology Corporation, Texas</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Schlumberger Norge AS, Norway</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Schlumberger SA, France</w:t>
      </w:r>
    </w:p>
    <w:p>
      <w:pPr>
        <w:spacing w:after="0" w:line="1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Services Petroliers Schlumberger, France</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Schlumberger UK Limited, UK</w:t>
      </w:r>
    </w:p>
    <w:p>
      <w:pPr>
        <w:spacing w:after="0" w:line="1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Schlumberger Plc, UK</w:t>
      </w:r>
    </w:p>
    <w:p>
      <w:pPr>
        <w:spacing w:after="0" w:line="19"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Schlumberger Oilfield UK Limited, UK</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Schlumberger Oilfield Holdings Limited, BVI</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Schlumberger Holdings II Limited, BVI</w:t>
      </w:r>
    </w:p>
    <w:p>
      <w:pPr>
        <w:spacing w:after="0" w:line="1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Dowell Schlumberger Corporation, BVI</w:t>
      </w:r>
    </w:p>
    <w:p>
      <w:pPr>
        <w:spacing w:after="0" w:line="1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Schlumberger Logelco, Inc., Panama</w:t>
      </w:r>
    </w:p>
    <w:p>
      <w:pPr>
        <w:spacing w:after="0" w:line="1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Schlumberger Middle East SA., Panama</w:t>
      </w:r>
    </w:p>
    <w:p>
      <w:pPr>
        <w:spacing w:after="0" w:line="1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Schlumberger Offshore Services Limited, BVI</w:t>
      </w:r>
    </w:p>
    <w:p>
      <w:pPr>
        <w:spacing w:after="0" w:line="1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Schlumberger Oilfield Eastern Ltd., BVI</w:t>
      </w:r>
    </w:p>
    <w:p>
      <w:pPr>
        <w:spacing w:after="0" w:line="1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Schlumberger Overseas, SA, Panama</w:t>
      </w:r>
    </w:p>
    <w:p>
      <w:pPr>
        <w:spacing w:after="0" w:line="1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Schlumberger Seaco, Inc., Panama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1226185</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6"/>
          <w:szCs w:val="16"/>
          <w:b w:val="1"/>
          <w:bCs w:val="1"/>
          <w:u w:val="single" w:color="auto"/>
          <w:color w:val="auto"/>
        </w:rPr>
        <w:t>Exhibit 22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Issuers of Registered Guaranteed Debt Securities</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Schlumberger Investment S.A., a société anonyme incorporated under the laws of the Grand Duchy of Luxembourg (“SISA”), and Schlumberger Finance Canada Ltd., a corporation incorporated under the laws of the Province of Alberta, Canada (“SFCL”), are both indirect wholly-owned subsidiaries of Schlumberger Limited (the “Guarantor”).</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December 31, 2023, (i) SISA was the issuer of its 4.500% Senior Notes due 2028, 2.650% Senior Notes due 2030, and 4.850% Senior Notes due 2033 (together, the “SISA Notes”), and (ii) SFCL was the issuer of its 1.400% Senior Notes due 2025 (the “SFCL Notes”). The Guarantor fully and unconditionally guarantees the SISA Notes and the SFCL Notes on a senior unsecured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927735</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5" w:name="page96"/>
    <w:bookmarkEnd w:id="95"/>
    <w:p>
      <w:pPr>
        <w:ind w:left="10440"/>
        <w:spacing w:after="0"/>
        <w:rPr>
          <w:sz w:val="20"/>
          <w:szCs w:val="20"/>
          <w:color w:val="auto"/>
        </w:rPr>
      </w:pPr>
      <w:r>
        <w:rPr>
          <w:rFonts w:ascii="Arial" w:cs="Arial" w:eastAsia="Arial" w:hAnsi="Arial"/>
          <w:sz w:val="16"/>
          <w:szCs w:val="16"/>
          <w:b w:val="1"/>
          <w:bCs w:val="1"/>
          <w:u w:val="single" w:color="auto"/>
          <w:color w:val="auto"/>
        </w:rPr>
        <w:t>Exhibit 23</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94" w:lineRule="exact"/>
        <w:rPr>
          <w:sz w:val="20"/>
          <w:szCs w:val="20"/>
          <w:color w:val="auto"/>
        </w:rPr>
      </w:pPr>
    </w:p>
    <w:p>
      <w:pPr>
        <w:jc w:val="both"/>
        <w:ind w:firstLine="545"/>
        <w:spacing w:after="0" w:line="265" w:lineRule="auto"/>
        <w:rPr>
          <w:sz w:val="20"/>
          <w:szCs w:val="20"/>
          <w:color w:val="auto"/>
        </w:rPr>
      </w:pPr>
      <w:r>
        <w:rPr>
          <w:rFonts w:ascii="Arial" w:cs="Arial" w:eastAsia="Arial" w:hAnsi="Arial"/>
          <w:sz w:val="16"/>
          <w:szCs w:val="16"/>
          <w:color w:val="auto"/>
        </w:rPr>
        <w:t>We hereby consent to the incorporation by reference in the Registration Statements on Form S-8 (Nos. 333-124534; 333-151920; 333-173055, 333-188590; 333-207260; 333-218181; 333-218182; 333-231025; and 333-261482); on Form S-3 (Nos. 333-271711; and 333-273974); and on Form S-4 (No. 333-97899); of Schlumberger Limited of our report dated January 24, 2024 relating to the consolidated financial statements and the effectiveness of internal control over financial reporting, which appears in this Form 10-K.</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7830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Houston, Texas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January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1080770</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6"/>
          <w:szCs w:val="16"/>
          <w:b w:val="1"/>
          <w:bCs w:val="1"/>
          <w:u w:val="single" w:color="auto"/>
          <w:color w:val="auto"/>
        </w:rPr>
        <w:t>Exhibit 24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Powers of Attorney</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Each of the undersigned, in the capacity or capacities set forth below his or her signature as a member of the Board of Directors and/or an officer of Schlumberger Limited, a Curaçao company, hereby appoints Howard Guild and Dianne B. Ralston, or either of them, the attorney or attorneys of the undersigned, with full power of substitution and revocation, for and in the name, place and stead of the undersigned, to execute and file with the Securities and Exchange Commission the Annual Report on Form 10-K under the Securities Exchange Act of 1934 (the “Exchange Act”) for the fiscal year ended December 31, 2023, and any amendment or amendments to any such Annual Report on Form 10-K, and any agreements, consents or waivers related thereto, and to take any and all such other action for and in the name and place and stead of the undersigned as may be necessary or desirable in order to comply with the Exchange Act or the rules and regulations thereunder.</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/s/ Peter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17182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4">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6"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Peter Coleman</w:t>
      </w:r>
    </w:p>
    <w:p>
      <w:pPr>
        <w:spacing w:after="0" w:line="21"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56"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/s/ Patrick de La Chevardière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17182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5">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6"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Patrick de La Chevardière</w:t>
      </w:r>
    </w:p>
    <w:p>
      <w:pPr>
        <w:spacing w:after="0" w:line="21"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29"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/s/ Miguel M. Galuccio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17182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6">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6"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Miguel M. Galuccio</w:t>
      </w:r>
    </w:p>
    <w:p>
      <w:pPr>
        <w:spacing w:after="0" w:line="21"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56"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/s/ James Hackett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17182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7">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6"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James Hackett</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Chairman of the Board</w:t>
      </w:r>
    </w:p>
    <w:p>
      <w:pPr>
        <w:spacing w:after="0" w:line="200" w:lineRule="exact"/>
        <w:rPr>
          <w:sz w:val="20"/>
          <w:szCs w:val="20"/>
          <w:color w:val="auto"/>
        </w:rPr>
      </w:pPr>
    </w:p>
    <w:p>
      <w:pPr>
        <w:spacing w:after="0" w:line="343"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17182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8">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6"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Olivier Le Peuch</w:t>
      </w:r>
    </w:p>
    <w:p>
      <w:pPr>
        <w:spacing w:after="0" w:line="21"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Chief Executive Officer and Director</w:t>
      </w:r>
    </w:p>
    <w:p>
      <w:pPr>
        <w:spacing w:after="0" w:line="200" w:lineRule="exact"/>
        <w:rPr>
          <w:sz w:val="20"/>
          <w:szCs w:val="20"/>
          <w:color w:val="auto"/>
        </w:rPr>
      </w:pPr>
    </w:p>
    <w:p>
      <w:pPr>
        <w:spacing w:after="0" w:line="343"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/s/ Samuel Leupold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171825"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9">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26"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Samuel Leupold</w:t>
      </w:r>
    </w:p>
    <w:p>
      <w:pPr>
        <w:spacing w:after="0" w:line="21"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 Tatiana A. Mitrova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-953135</wp:posOffset>
            </wp:positionH>
            <wp:positionV relativeFrom="paragraph">
              <wp:posOffset>20955</wp:posOffset>
            </wp:positionV>
            <wp:extent cx="316293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50">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Tatiana A. Mitrova</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/s/ Maria Moræus Hanssen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-953135</wp:posOffset>
            </wp:positionH>
            <wp:positionV relativeFrom="paragraph">
              <wp:posOffset>20955</wp:posOffset>
            </wp:positionV>
            <wp:extent cx="316293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51">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Maria Moræus Hanssen</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 Vanitha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-953135</wp:posOffset>
            </wp:positionH>
            <wp:positionV relativeFrom="paragraph">
              <wp:posOffset>20955</wp:posOffset>
            </wp:positionV>
            <wp:extent cx="316293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52">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Vanitha Narayanan</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 Jeff W.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-953135</wp:posOffset>
            </wp:positionH>
            <wp:positionV relativeFrom="paragraph">
              <wp:posOffset>20955</wp:posOffset>
            </wp:positionV>
            <wp:extent cx="316293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53">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Jeff W. Sheets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4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 Ulrich Spiesshofer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-953135</wp:posOffset>
            </wp:positionH>
            <wp:positionV relativeFrom="paragraph">
              <wp:posOffset>20955</wp:posOffset>
            </wp:positionV>
            <wp:extent cx="316293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4">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Ulrich Spiesshofer</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Director</w:t>
      </w:r>
    </w:p>
    <w:p>
      <w:pPr>
        <w:spacing w:after="0" w:line="1360" w:lineRule="exact"/>
        <w:rPr>
          <w:sz w:val="20"/>
          <w:szCs w:val="20"/>
          <w:color w:val="auto"/>
        </w:rPr>
      </w:pPr>
    </w:p>
    <w:p>
      <w:pPr>
        <w:sectPr>
          <w:pgSz w:w="11900" w:h="16838" w:orient="portrait"/>
          <w:cols w:equalWidth="0" w:num="2">
            <w:col w:w="7040" w:space="720"/>
            <w:col w:w="3480"/>
          </w:cols>
          <w:pgMar w:left="320" w:top="368" w:right="339" w:bottom="1440" w:gutter="0" w:footer="0" w:header="0"/>
          <w:type w:val="continuous"/>
        </w:sect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Date: January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565150</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97" w:name="page98"/>
    <w:bookmarkEnd w:id="97"/>
    <w:p>
      <w:pPr>
        <w:ind w:left="10300"/>
        <w:spacing w:after="0"/>
        <w:rPr>
          <w:sz w:val="20"/>
          <w:szCs w:val="20"/>
          <w:color w:val="auto"/>
        </w:rPr>
      </w:pPr>
      <w:r>
        <w:rPr>
          <w:rFonts w:ascii="Arial" w:cs="Arial" w:eastAsia="Arial" w:hAnsi="Arial"/>
          <w:sz w:val="16"/>
          <w:szCs w:val="16"/>
          <w:b w:val="1"/>
          <w:bCs w:val="1"/>
          <w:u w:val="single" w:color="auto"/>
          <w:color w:val="auto"/>
        </w:rPr>
        <w:t>Exhibit 31.1</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CERTIFICATION OF CHIEF EXECUTIVE OFFICER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Olivier Le Peuch, certify that:</w:t>
      </w:r>
    </w:p>
    <w:p>
      <w:pPr>
        <w:spacing w:after="0" w:line="113" w:lineRule="exact"/>
        <w:rPr>
          <w:sz w:val="20"/>
          <w:szCs w:val="20"/>
          <w:color w:val="auto"/>
        </w:rPr>
      </w:pPr>
    </w:p>
    <w:p>
      <w:pPr>
        <w:ind w:left="560" w:hanging="178"/>
        <w:spacing w:after="0"/>
        <w:tabs>
          <w:tab w:leader="none" w:pos="5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Schlumberger N.V. (Schlumberger Limited);</w:t>
      </w:r>
    </w:p>
    <w:p>
      <w:pPr>
        <w:spacing w:after="0" w:line="113" w:lineRule="exact"/>
        <w:rPr>
          <w:rFonts w:ascii="Arial" w:cs="Arial" w:eastAsia="Arial" w:hAnsi="Arial"/>
          <w:sz w:val="16"/>
          <w:szCs w:val="16"/>
          <w:color w:val="auto"/>
        </w:rPr>
      </w:pPr>
    </w:p>
    <w:p>
      <w:pPr>
        <w:ind w:firstLine="382"/>
        <w:spacing w:after="0" w:line="286" w:lineRule="auto"/>
        <w:tabs>
          <w:tab w:leader="none" w:pos="56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6"/>
          <w:szCs w:val="16"/>
          <w:color w:val="auto"/>
        </w:rPr>
      </w:pPr>
    </w:p>
    <w:p>
      <w:pPr>
        <w:ind w:firstLine="382"/>
        <w:spacing w:after="0" w:line="286" w:lineRule="auto"/>
        <w:tabs>
          <w:tab w:leader="none" w:pos="569" w:val="left"/>
        </w:tabs>
        <w:numPr>
          <w:ilvl w:val="0"/>
          <w:numId w:val="10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6"/>
          <w:szCs w:val="16"/>
          <w:color w:val="auto"/>
        </w:rPr>
      </w:pPr>
    </w:p>
    <w:p>
      <w:pPr>
        <w:jc w:val="both"/>
        <w:ind w:firstLine="382"/>
        <w:spacing w:after="0" w:line="266" w:lineRule="auto"/>
        <w:tabs>
          <w:tab w:leader="none" w:pos="5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6"/>
          <w:szCs w:val="16"/>
          <w:color w:val="auto"/>
        </w:rPr>
      </w:pPr>
    </w:p>
    <w:p>
      <w:pPr>
        <w:ind w:left="1020" w:hanging="479"/>
        <w:spacing w:after="0" w:line="266" w:lineRule="auto"/>
        <w:tabs>
          <w:tab w:leader="none" w:pos="895" w:val="left"/>
        </w:tabs>
        <w:numPr>
          <w:ilvl w:val="1"/>
          <w:numId w:val="10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6"/>
          <w:szCs w:val="16"/>
          <w:color w:val="auto"/>
        </w:rPr>
      </w:pPr>
    </w:p>
    <w:p>
      <w:pPr>
        <w:ind w:left="1020" w:hanging="479"/>
        <w:spacing w:after="0" w:line="266" w:lineRule="auto"/>
        <w:tabs>
          <w:tab w:leader="none" w:pos="895" w:val="left"/>
        </w:tabs>
        <w:numPr>
          <w:ilvl w:val="1"/>
          <w:numId w:val="10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6"/>
          <w:szCs w:val="16"/>
          <w:color w:val="auto"/>
        </w:rPr>
      </w:pPr>
    </w:p>
    <w:p>
      <w:pPr>
        <w:ind w:left="1020" w:right="40" w:hanging="479"/>
        <w:spacing w:after="0" w:line="286" w:lineRule="auto"/>
        <w:tabs>
          <w:tab w:leader="none" w:pos="895"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6"/>
          <w:szCs w:val="16"/>
          <w:color w:val="auto"/>
        </w:rPr>
      </w:pPr>
    </w:p>
    <w:p>
      <w:pPr>
        <w:ind w:left="1020" w:hanging="479"/>
        <w:spacing w:after="0" w:line="266" w:lineRule="auto"/>
        <w:tabs>
          <w:tab w:leader="none" w:pos="895" w:val="left"/>
        </w:tabs>
        <w:numPr>
          <w:ilvl w:val="1"/>
          <w:numId w:val="10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6"/>
          <w:szCs w:val="16"/>
          <w:color w:val="auto"/>
        </w:rPr>
      </w:pPr>
    </w:p>
    <w:p>
      <w:pPr>
        <w:ind w:firstLine="382"/>
        <w:spacing w:after="0" w:line="286" w:lineRule="auto"/>
        <w:tabs>
          <w:tab w:leader="none" w:pos="566"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6"/>
          <w:szCs w:val="16"/>
          <w:color w:val="auto"/>
        </w:rPr>
      </w:pPr>
    </w:p>
    <w:p>
      <w:pPr>
        <w:ind w:left="1020" w:right="20" w:hanging="479"/>
        <w:spacing w:after="0" w:line="286" w:lineRule="auto"/>
        <w:tabs>
          <w:tab w:leader="none" w:pos="895"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6"/>
          <w:szCs w:val="16"/>
          <w:color w:val="auto"/>
        </w:rPr>
      </w:pPr>
    </w:p>
    <w:p>
      <w:pPr>
        <w:ind w:left="1020" w:hanging="479"/>
        <w:spacing w:after="0" w:line="286" w:lineRule="auto"/>
        <w:tabs>
          <w:tab w:leader="none" w:pos="895"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6"/>
          <w:szCs w:val="16"/>
          <w:color w:val="auto"/>
        </w:rPr>
        <w:t>Date: January 24, 2024</w:t>
      </w:r>
      <w:r>
        <w:rPr>
          <w:sz w:val="20"/>
          <w:szCs w:val="20"/>
          <w:color w:val="auto"/>
        </w:rPr>
        <w:tab/>
      </w:r>
      <w:r>
        <w:rPr>
          <w:rFonts w:ascii="Arial" w:cs="Arial" w:eastAsia="Arial" w:hAnsi="Arial"/>
          <w:sz w:val="16"/>
          <w:szCs w:val="16"/>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20955</wp:posOffset>
            </wp:positionV>
            <wp:extent cx="284607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6"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Olivier Le Peuch</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711200</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8" w:name="page99"/>
    <w:bookmarkEnd w:id="98"/>
    <w:p>
      <w:pPr>
        <w:ind w:left="10300"/>
        <w:spacing w:after="0"/>
        <w:rPr>
          <w:sz w:val="20"/>
          <w:szCs w:val="20"/>
          <w:color w:val="auto"/>
        </w:rPr>
      </w:pPr>
      <w:r>
        <w:rPr>
          <w:rFonts w:ascii="Arial" w:cs="Arial" w:eastAsia="Arial" w:hAnsi="Arial"/>
          <w:sz w:val="16"/>
          <w:szCs w:val="16"/>
          <w:b w:val="1"/>
          <w:bCs w:val="1"/>
          <w:u w:val="single" w:color="auto"/>
          <w:color w:val="auto"/>
        </w:rPr>
        <w:t>Exhibit 31.2</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CERTIFICATION OF CHIEF FINANCIAL OFFICER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Stephane Biguet, certify that:</w:t>
      </w:r>
    </w:p>
    <w:p>
      <w:pPr>
        <w:spacing w:after="0" w:line="113" w:lineRule="exact"/>
        <w:rPr>
          <w:sz w:val="20"/>
          <w:szCs w:val="20"/>
          <w:color w:val="auto"/>
        </w:rPr>
      </w:pPr>
    </w:p>
    <w:p>
      <w:pPr>
        <w:ind w:left="560" w:hanging="178"/>
        <w:spacing w:after="0"/>
        <w:tabs>
          <w:tab w:leader="none" w:pos="5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Schlumberger N.V. (Schlumberger Limited);</w:t>
      </w:r>
    </w:p>
    <w:p>
      <w:pPr>
        <w:spacing w:after="0" w:line="113" w:lineRule="exact"/>
        <w:rPr>
          <w:rFonts w:ascii="Arial" w:cs="Arial" w:eastAsia="Arial" w:hAnsi="Arial"/>
          <w:sz w:val="16"/>
          <w:szCs w:val="16"/>
          <w:color w:val="auto"/>
        </w:rPr>
      </w:pPr>
    </w:p>
    <w:p>
      <w:pPr>
        <w:ind w:firstLine="382"/>
        <w:spacing w:after="0" w:line="286" w:lineRule="auto"/>
        <w:tabs>
          <w:tab w:leader="none" w:pos="56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6"/>
          <w:szCs w:val="16"/>
          <w:color w:val="auto"/>
        </w:rPr>
      </w:pPr>
    </w:p>
    <w:p>
      <w:pPr>
        <w:ind w:firstLine="382"/>
        <w:spacing w:after="0" w:line="286" w:lineRule="auto"/>
        <w:tabs>
          <w:tab w:leader="none" w:pos="56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6"/>
          <w:szCs w:val="16"/>
          <w:color w:val="auto"/>
        </w:rPr>
      </w:pPr>
    </w:p>
    <w:p>
      <w:pPr>
        <w:jc w:val="both"/>
        <w:ind w:firstLine="382"/>
        <w:spacing w:after="0" w:line="266" w:lineRule="auto"/>
        <w:tabs>
          <w:tab w:leader="none" w:pos="5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6"/>
          <w:szCs w:val="16"/>
          <w:color w:val="auto"/>
        </w:rPr>
      </w:pPr>
    </w:p>
    <w:p>
      <w:pPr>
        <w:ind w:left="1020" w:hanging="479"/>
        <w:spacing w:after="0" w:line="266" w:lineRule="auto"/>
        <w:tabs>
          <w:tab w:leader="none" w:pos="895" w:val="left"/>
        </w:tabs>
        <w:numPr>
          <w:ilvl w:val="1"/>
          <w:numId w:val="10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6"/>
          <w:szCs w:val="16"/>
          <w:color w:val="auto"/>
        </w:rPr>
      </w:pPr>
    </w:p>
    <w:p>
      <w:pPr>
        <w:ind w:left="1020" w:hanging="479"/>
        <w:spacing w:after="0" w:line="266" w:lineRule="auto"/>
        <w:tabs>
          <w:tab w:leader="none" w:pos="895" w:val="left"/>
        </w:tabs>
        <w:numPr>
          <w:ilvl w:val="1"/>
          <w:numId w:val="10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6"/>
          <w:szCs w:val="16"/>
          <w:color w:val="auto"/>
        </w:rPr>
      </w:pPr>
    </w:p>
    <w:p>
      <w:pPr>
        <w:ind w:left="1020" w:right="40" w:hanging="479"/>
        <w:spacing w:after="0" w:line="286" w:lineRule="auto"/>
        <w:tabs>
          <w:tab w:leader="none" w:pos="895" w:val="left"/>
        </w:tabs>
        <w:numPr>
          <w:ilvl w:val="1"/>
          <w:numId w:val="10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6"/>
          <w:szCs w:val="16"/>
          <w:color w:val="auto"/>
        </w:rPr>
      </w:pPr>
    </w:p>
    <w:p>
      <w:pPr>
        <w:ind w:left="1020" w:hanging="479"/>
        <w:spacing w:after="0" w:line="266" w:lineRule="auto"/>
        <w:tabs>
          <w:tab w:leader="none" w:pos="895" w:val="left"/>
        </w:tabs>
        <w:numPr>
          <w:ilvl w:val="1"/>
          <w:numId w:val="10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6"/>
          <w:szCs w:val="16"/>
          <w:color w:val="auto"/>
        </w:rPr>
      </w:pPr>
    </w:p>
    <w:p>
      <w:pPr>
        <w:ind w:firstLine="382"/>
        <w:spacing w:after="0" w:line="286" w:lineRule="auto"/>
        <w:tabs>
          <w:tab w:leader="none" w:pos="566"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6"/>
          <w:szCs w:val="16"/>
          <w:color w:val="auto"/>
        </w:rPr>
      </w:pPr>
    </w:p>
    <w:p>
      <w:pPr>
        <w:ind w:left="1020" w:right="20" w:hanging="479"/>
        <w:spacing w:after="0" w:line="286" w:lineRule="auto"/>
        <w:tabs>
          <w:tab w:leader="none" w:pos="895"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6"/>
          <w:szCs w:val="16"/>
          <w:color w:val="auto"/>
        </w:rPr>
      </w:pPr>
    </w:p>
    <w:p>
      <w:pPr>
        <w:ind w:left="1020" w:hanging="479"/>
        <w:spacing w:after="0" w:line="286" w:lineRule="auto"/>
        <w:tabs>
          <w:tab w:leader="none" w:pos="895"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6"/>
          <w:szCs w:val="16"/>
          <w:color w:val="auto"/>
        </w:rPr>
        <w:t>Date: January 24, 2024</w:t>
      </w:r>
      <w:r>
        <w:rPr>
          <w:sz w:val="20"/>
          <w:szCs w:val="20"/>
          <w:color w:val="auto"/>
        </w:rPr>
        <w:tab/>
      </w:r>
      <w:r>
        <w:rPr>
          <w:rFonts w:ascii="Arial" w:cs="Arial" w:eastAsia="Arial" w:hAnsi="Arial"/>
          <w:sz w:val="16"/>
          <w:szCs w:val="16"/>
          <w:color w:val="auto"/>
        </w:rPr>
        <w:t>/s/ Stephane Biguet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20955</wp:posOffset>
            </wp:positionV>
            <wp:extent cx="284607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6"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Stephane Biguet</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711200</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9" w:name="page100"/>
    <w:bookmarkEnd w:id="99"/>
    <w:p>
      <w:pPr>
        <w:ind w:left="10300"/>
        <w:spacing w:after="0"/>
        <w:rPr>
          <w:sz w:val="20"/>
          <w:szCs w:val="20"/>
          <w:color w:val="auto"/>
        </w:rPr>
      </w:pPr>
      <w:r>
        <w:rPr>
          <w:rFonts w:ascii="Arial" w:cs="Arial" w:eastAsia="Arial" w:hAnsi="Arial"/>
          <w:sz w:val="16"/>
          <w:szCs w:val="16"/>
          <w:b w:val="1"/>
          <w:bCs w:val="1"/>
          <w:u w:val="single" w:color="auto"/>
          <w:color w:val="auto"/>
        </w:rPr>
        <w:t>Exhibit 32.1</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CERTIFICATION OF CHIEF EXECUTIVE OFFICER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SECTION 906 OF THE SARBANES-OXLEY ACT OF 2002</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Annual Report on Form 10-K of Schlumberger N.V. (Schlumberger Limited) (the “Company”) for the year ended December 31, 2023 as filed with the Securities and Exchange Commission on the date hereof (the “Report”), I, Olivier Le Peuch, Chief Executive Officer of the Company, certify, pursuant to 18 U.S.C. § 1350, as adopted pursuant to § 906 of the Sarbanes-Oxley Act of 2002, that:</w:t>
      </w:r>
    </w:p>
    <w:p>
      <w:pPr>
        <w:spacing w:after="0" w:line="63" w:lineRule="exact"/>
        <w:rPr>
          <w:sz w:val="20"/>
          <w:szCs w:val="20"/>
          <w:color w:val="auto"/>
        </w:rPr>
      </w:pPr>
    </w:p>
    <w:p>
      <w:pPr>
        <w:ind w:left="1020" w:right="20" w:hanging="479"/>
        <w:spacing w:after="0" w:line="286" w:lineRule="auto"/>
        <w:tabs>
          <w:tab w:leader="none" w:pos="89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47" w:lineRule="exact"/>
        <w:rPr>
          <w:rFonts w:ascii="Arial" w:cs="Arial" w:eastAsia="Arial" w:hAnsi="Arial"/>
          <w:sz w:val="16"/>
          <w:szCs w:val="16"/>
          <w:color w:val="auto"/>
        </w:rPr>
      </w:pPr>
    </w:p>
    <w:p>
      <w:pPr>
        <w:ind w:left="900" w:hanging="359"/>
        <w:spacing w:after="0"/>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p>
      <w:pPr>
        <w:ind w:left="20"/>
        <w:spacing w:after="0"/>
        <w:tabs>
          <w:tab w:leader="none" w:pos="6640" w:val="left"/>
        </w:tabs>
        <w:rPr>
          <w:sz w:val="20"/>
          <w:szCs w:val="20"/>
          <w:color w:val="auto"/>
        </w:rPr>
      </w:pPr>
      <w:r>
        <w:rPr>
          <w:rFonts w:ascii="Arial" w:cs="Arial" w:eastAsia="Arial" w:hAnsi="Arial"/>
          <w:sz w:val="16"/>
          <w:szCs w:val="16"/>
          <w:color w:val="auto"/>
        </w:rPr>
        <w:t>Date: January 24, 2024</w:t>
      </w:r>
      <w:r>
        <w:rPr>
          <w:sz w:val="20"/>
          <w:szCs w:val="20"/>
          <w:color w:val="auto"/>
        </w:rPr>
        <w:tab/>
      </w:r>
      <w:r>
        <w:rPr>
          <w:rFonts w:ascii="Arial" w:cs="Arial" w:eastAsia="Arial" w:hAnsi="Arial"/>
          <w:sz w:val="16"/>
          <w:szCs w:val="16"/>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20955</wp:posOffset>
            </wp:positionV>
            <wp:extent cx="292290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60">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6"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Olivier Le Peuch</w:t>
      </w:r>
    </w:p>
    <w:p>
      <w:pPr>
        <w:spacing w:after="0" w:line="32"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Chief Executive Officer</w:t>
      </w:r>
    </w:p>
    <w:p>
      <w:pPr>
        <w:spacing w:after="0" w:line="20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0" w:name="page101"/>
    <w:bookmarkEnd w:id="100"/>
    <w:p>
      <w:pPr>
        <w:ind w:left="10300"/>
        <w:spacing w:after="0"/>
        <w:rPr>
          <w:sz w:val="20"/>
          <w:szCs w:val="20"/>
          <w:color w:val="auto"/>
        </w:rPr>
      </w:pPr>
      <w:r>
        <w:rPr>
          <w:rFonts w:ascii="Arial" w:cs="Arial" w:eastAsia="Arial" w:hAnsi="Arial"/>
          <w:sz w:val="16"/>
          <w:szCs w:val="16"/>
          <w:b w:val="1"/>
          <w:bCs w:val="1"/>
          <w:u w:val="single" w:color="auto"/>
          <w:color w:val="auto"/>
        </w:rPr>
        <w:t>Exhibit 32.2</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CERTIFICATION OF CHIEF FINANCIAL OFFICER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SECTION 906 OF THE SARBANES-OXLEY ACT OF 2002</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Annual Report on Form 10-K of Schlumberger N.V. (Schlumberger Limited) (the “Company”) for the year ended December 31, 2023 as filed with the Securities and Exchange Commission on the date hereof (the “Report”), I, Stephane Biguet, Executive Vice President and Chief Financial Officer of the Company, certify, pursuant to 18 U.S.C. § 1350, as adopted pursuant to § 906 of the Sarbanes-Oxley Act of 2002, that:</w:t>
      </w:r>
    </w:p>
    <w:p>
      <w:pPr>
        <w:spacing w:after="0" w:line="63" w:lineRule="exact"/>
        <w:rPr>
          <w:sz w:val="20"/>
          <w:szCs w:val="20"/>
          <w:color w:val="auto"/>
        </w:rPr>
      </w:pPr>
    </w:p>
    <w:p>
      <w:pPr>
        <w:ind w:left="1020" w:right="20" w:hanging="479"/>
        <w:spacing w:after="0" w:line="286" w:lineRule="auto"/>
        <w:tabs>
          <w:tab w:leader="none" w:pos="89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47" w:lineRule="exact"/>
        <w:rPr>
          <w:rFonts w:ascii="Arial" w:cs="Arial" w:eastAsia="Arial" w:hAnsi="Arial"/>
          <w:sz w:val="16"/>
          <w:szCs w:val="16"/>
          <w:color w:val="auto"/>
        </w:rPr>
      </w:pPr>
    </w:p>
    <w:p>
      <w:pPr>
        <w:ind w:left="900" w:hanging="359"/>
        <w:spacing w:after="0"/>
        <w:tabs>
          <w:tab w:leader="none" w:pos="9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p>
      <w:pPr>
        <w:ind w:left="20"/>
        <w:spacing w:after="0"/>
        <w:tabs>
          <w:tab w:leader="none" w:pos="6640" w:val="left"/>
        </w:tabs>
        <w:rPr>
          <w:sz w:val="20"/>
          <w:szCs w:val="20"/>
          <w:color w:val="auto"/>
        </w:rPr>
      </w:pPr>
      <w:r>
        <w:rPr>
          <w:rFonts w:ascii="Arial" w:cs="Arial" w:eastAsia="Arial" w:hAnsi="Arial"/>
          <w:sz w:val="16"/>
          <w:szCs w:val="16"/>
          <w:color w:val="auto"/>
        </w:rPr>
        <w:t>Date: January 24, 2024</w:t>
      </w:r>
      <w:r>
        <w:rPr>
          <w:sz w:val="20"/>
          <w:szCs w:val="20"/>
          <w:color w:val="auto"/>
        </w:rPr>
        <w:tab/>
      </w:r>
      <w:r>
        <w:rPr>
          <w:rFonts w:ascii="Arial" w:cs="Arial" w:eastAsia="Arial" w:hAnsi="Arial"/>
          <w:sz w:val="16"/>
          <w:szCs w:val="16"/>
          <w:color w:val="auto"/>
        </w:rPr>
        <w:t>/s/ Stephane Biguet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20955</wp:posOffset>
            </wp:positionV>
            <wp:extent cx="292290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62">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6"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Stephane Biguet</w:t>
      </w:r>
    </w:p>
    <w:p>
      <w:pPr>
        <w:spacing w:after="0" w:line="32"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Executive Vice President and Chief Financial Officer</w:t>
      </w:r>
    </w:p>
    <w:p>
      <w:pPr>
        <w:spacing w:after="0" w:line="20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1" w:name="page102"/>
    <w:bookmarkEnd w:id="101"/>
    <w:p>
      <w:pPr>
        <w:ind w:left="10440"/>
        <w:spacing w:after="0"/>
        <w:rPr>
          <w:sz w:val="20"/>
          <w:szCs w:val="20"/>
          <w:color w:val="auto"/>
        </w:rPr>
      </w:pPr>
      <w:r>
        <w:rPr>
          <w:rFonts w:ascii="Arial" w:cs="Arial" w:eastAsia="Arial" w:hAnsi="Arial"/>
          <w:sz w:val="16"/>
          <w:szCs w:val="16"/>
          <w:b w:val="1"/>
          <w:bCs w:val="1"/>
          <w:u w:val="single" w:color="auto"/>
          <w:color w:val="auto"/>
        </w:rPr>
        <w:t>Exhibit 95</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Mine Safety Disclosure</w:t>
      </w:r>
    </w:p>
    <w:p>
      <w:pPr>
        <w:spacing w:after="0" w:line="2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5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table that follows reflects citations, orders, violations and proposed assessments issued by the Mine Safety and Health Administration (the “MSHA”) to indirect subsidiaries of Schlumberger. The disclosure is with respect to the full year ended December 31, 2023. Due to timing and other factors, the data may not agree with the mine data retrieval system maintained by the MSHA at www.MSHA.gov.</w:t>
      </w:r>
    </w:p>
    <w:p>
      <w:pPr>
        <w:spacing w:after="0" w:line="171" w:lineRule="exact"/>
        <w:rPr>
          <w:sz w:val="20"/>
          <w:szCs w:val="20"/>
          <w:color w:val="auto"/>
        </w:rPr>
      </w:pPr>
    </w:p>
    <w:p>
      <w:pPr>
        <w:ind w:left="5060"/>
        <w:spacing w:after="0"/>
        <w:rPr>
          <w:sz w:val="20"/>
          <w:szCs w:val="20"/>
          <w:color w:val="auto"/>
        </w:rPr>
      </w:pPr>
      <w:r>
        <w:rPr>
          <w:rFonts w:ascii="Arial" w:cs="Arial" w:eastAsia="Arial" w:hAnsi="Arial"/>
          <w:sz w:val="16"/>
          <w:szCs w:val="16"/>
          <w:b w:val="1"/>
          <w:bCs w:val="1"/>
          <w:u w:val="single" w:color="auto"/>
          <w:color w:val="auto"/>
        </w:rPr>
        <w:t>Full Year 2023</w:t>
      </w:r>
    </w:p>
    <w:p>
      <w:pPr>
        <w:spacing w:after="0" w:line="21" w:lineRule="exact"/>
        <w:rPr>
          <w:sz w:val="20"/>
          <w:szCs w:val="20"/>
          <w:color w:val="auto"/>
        </w:rPr>
      </w:pPr>
    </w:p>
    <w:p>
      <w:pPr>
        <w:ind w:left="5100"/>
        <w:spacing w:after="0"/>
        <w:rPr>
          <w:sz w:val="20"/>
          <w:szCs w:val="20"/>
          <w:color w:val="auto"/>
        </w:rPr>
      </w:pPr>
      <w:r>
        <w:rPr>
          <w:rFonts w:ascii="Arial" w:cs="Arial" w:eastAsia="Arial" w:hAnsi="Arial"/>
          <w:sz w:val="16"/>
          <w:szCs w:val="16"/>
          <w:i w:val="1"/>
          <w:iCs w:val="1"/>
          <w:color w:val="auto"/>
        </w:rPr>
        <w:t>(whole dollars)</w:t>
      </w:r>
    </w:p>
    <w:tbl>
      <w:tblPr>
        <w:tblLayout w:type="fixed"/>
        <w:tblInd w:w="420" w:type="dxa"/>
        <w:tblCellMar>
          <w:top w:w="0" w:type="dxa"/>
          <w:left w:w="0" w:type="dxa"/>
          <w:bottom w:w="0" w:type="dxa"/>
          <w:right w:w="0" w:type="dxa"/>
        </w:tblCellMar>
      </w:tblPr>
      <w:tr>
        <w:trPr>
          <w:trHeight w:val="134"/>
        </w:trPr>
        <w:tc>
          <w:tcPr>
            <w:tcW w:w="20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jc w:val="center"/>
              <w:spacing w:after="0" w:line="134" w:lineRule="exact"/>
              <w:rPr>
                <w:sz w:val="20"/>
                <w:szCs w:val="20"/>
                <w:color w:val="auto"/>
              </w:rPr>
            </w:pPr>
            <w:r>
              <w:rPr>
                <w:rFonts w:ascii="Arial" w:cs="Arial" w:eastAsia="Arial" w:hAnsi="Arial"/>
                <w:sz w:val="13"/>
                <w:szCs w:val="13"/>
                <w:color w:val="auto"/>
                <w:w w:val="95"/>
              </w:rPr>
              <w:t>Received</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5"/>
        </w:trPr>
        <w:tc>
          <w:tcPr>
            <w:tcW w:w="20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7"/>
              </w:rPr>
              <w:t>Notice of</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5"/>
        </w:trPr>
        <w:tc>
          <w:tcPr>
            <w:tcW w:w="20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5"/>
              </w:rPr>
              <w:t>Received</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5"/>
              </w:rPr>
              <w:t>Potential to</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5"/>
        </w:trPr>
        <w:tc>
          <w:tcPr>
            <w:tcW w:w="20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7"/>
              </w:rPr>
              <w:t>Notice of</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8"/>
              </w:rPr>
              <w:t>Have</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4"/>
              </w:rPr>
              <w:t>Legal</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5"/>
        </w:trPr>
        <w:tc>
          <w:tcPr>
            <w:tcW w:w="20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5"/>
              </w:rPr>
              <w:t>Pattern of</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5"/>
              </w:rPr>
              <w:t>Pattern</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8"/>
              </w:rPr>
              <w:t>Actions</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5"/>
        </w:trPr>
        <w:tc>
          <w:tcPr>
            <w:tcW w:w="20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96"/>
              </w:rPr>
              <w:t>Section</w:t>
            </w: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6"/>
              </w:rPr>
              <w:t>Total Dollar</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9"/>
              </w:rPr>
              <w:t>Total</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5"/>
              </w:rPr>
              <w:t>Violations</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5"/>
              </w:rPr>
              <w:t>Under</w:t>
            </w:r>
          </w:p>
        </w:tc>
        <w:tc>
          <w:tcPr>
            <w:tcW w:w="64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96"/>
              </w:rPr>
              <w:t>Pending</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rPr>
              <w:t>Legal</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rPr>
              <w:t>Legal</w:t>
            </w:r>
          </w:p>
        </w:tc>
      </w:tr>
      <w:tr>
        <w:trPr>
          <w:trHeight w:val="135"/>
        </w:trPr>
        <w:tc>
          <w:tcPr>
            <w:tcW w:w="20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95"/>
              </w:rPr>
              <w:t>104(d)</w:t>
            </w: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2"/>
              </w:rPr>
              <w:t>Value of</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5"/>
              </w:rPr>
              <w:t>Number of</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5"/>
              </w:rPr>
              <w:t>Under</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6"/>
              </w:rPr>
              <w:t>Section</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rPr>
              <w:t>as</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93"/>
              </w:rPr>
              <w:t>Actions</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3"/>
              </w:rPr>
              <w:t>Actions</w:t>
            </w:r>
          </w:p>
        </w:tc>
      </w:tr>
      <w:tr>
        <w:trPr>
          <w:trHeight w:val="135"/>
        </w:trPr>
        <w:tc>
          <w:tcPr>
            <w:tcW w:w="20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6"/>
              </w:rPr>
              <w:t>Section</w:t>
            </w:r>
          </w:p>
        </w:tc>
        <w:tc>
          <w:tcPr>
            <w:tcW w:w="660" w:type="dxa"/>
            <w:vAlign w:val="bottom"/>
          </w:tcPr>
          <w:p>
            <w:pPr>
              <w:ind w:left="100"/>
              <w:spacing w:after="0" w:line="135" w:lineRule="exact"/>
              <w:rPr>
                <w:sz w:val="20"/>
                <w:szCs w:val="20"/>
                <w:color w:val="auto"/>
              </w:rPr>
            </w:pPr>
            <w:r>
              <w:rPr>
                <w:rFonts w:ascii="Arial" w:cs="Arial" w:eastAsia="Arial" w:hAnsi="Arial"/>
                <w:sz w:val="13"/>
                <w:szCs w:val="13"/>
                <w:color w:val="auto"/>
              </w:rPr>
              <w:t>Section</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98"/>
              </w:rPr>
              <w:t>Citations</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6"/>
              </w:rPr>
              <w:t>Section</w:t>
            </w:r>
          </w:p>
        </w:tc>
        <w:tc>
          <w:tcPr>
            <w:tcW w:w="660" w:type="dxa"/>
            <w:vAlign w:val="bottom"/>
          </w:tcPr>
          <w:p>
            <w:pPr>
              <w:ind w:left="120"/>
              <w:spacing w:after="0" w:line="135" w:lineRule="exact"/>
              <w:rPr>
                <w:sz w:val="20"/>
                <w:szCs w:val="20"/>
                <w:color w:val="auto"/>
              </w:rPr>
            </w:pPr>
            <w:r>
              <w:rPr>
                <w:rFonts w:ascii="Arial" w:cs="Arial" w:eastAsia="Arial" w:hAnsi="Arial"/>
                <w:sz w:val="13"/>
                <w:szCs w:val="13"/>
                <w:color w:val="auto"/>
              </w:rPr>
              <w:t>Section</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5"/>
              </w:rPr>
              <w:t>MSHA</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3"/>
              </w:rPr>
              <w:t>Mining</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6"/>
              </w:rPr>
              <w:t>Section</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5"/>
              </w:rPr>
              <w:t>104(e)</w:t>
            </w:r>
          </w:p>
        </w:tc>
        <w:tc>
          <w:tcPr>
            <w:tcW w:w="64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97"/>
              </w:rPr>
              <w:t>of Last</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96"/>
              </w:rPr>
              <w:t>Initiated</w:t>
            </w:r>
          </w:p>
        </w:tc>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5"/>
              </w:rPr>
              <w:t>Resolved</w:t>
            </w:r>
          </w:p>
        </w:tc>
      </w:tr>
      <w:tr>
        <w:trPr>
          <w:trHeight w:val="126"/>
        </w:trPr>
        <w:tc>
          <w:tcPr>
            <w:tcW w:w="2060" w:type="dxa"/>
            <w:vAlign w:val="bottom"/>
          </w:tcPr>
          <w:p>
            <w:pPr>
              <w:spacing w:after="0" w:line="126" w:lineRule="exact"/>
              <w:rPr>
                <w:sz w:val="20"/>
                <w:szCs w:val="20"/>
                <w:color w:val="auto"/>
              </w:rPr>
            </w:pPr>
            <w:r>
              <w:rPr>
                <w:rFonts w:ascii="Arial" w:cs="Arial" w:eastAsia="Arial" w:hAnsi="Arial"/>
                <w:sz w:val="13"/>
                <w:szCs w:val="13"/>
                <w:color w:val="auto"/>
              </w:rPr>
              <w:t>Mine or Operating Name/MSHA</w:t>
            </w:r>
          </w:p>
        </w:tc>
        <w:tc>
          <w:tcPr>
            <w:tcW w:w="660" w:type="dxa"/>
            <w:vAlign w:val="bottom"/>
          </w:tcPr>
          <w:p>
            <w:pPr>
              <w:jc w:val="center"/>
              <w:spacing w:after="0" w:line="126" w:lineRule="exact"/>
              <w:rPr>
                <w:sz w:val="20"/>
                <w:szCs w:val="20"/>
                <w:color w:val="auto"/>
              </w:rPr>
            </w:pPr>
            <w:r>
              <w:rPr>
                <w:rFonts w:ascii="Arial" w:cs="Arial" w:eastAsia="Arial" w:hAnsi="Arial"/>
                <w:sz w:val="13"/>
                <w:szCs w:val="13"/>
                <w:color w:val="auto"/>
                <w:w w:val="97"/>
              </w:rPr>
              <w:t>104 S&amp;S</w:t>
            </w:r>
          </w:p>
        </w:tc>
        <w:tc>
          <w:tcPr>
            <w:tcW w:w="660" w:type="dxa"/>
            <w:vAlign w:val="bottom"/>
          </w:tcPr>
          <w:p>
            <w:pPr>
              <w:jc w:val="center"/>
              <w:spacing w:after="0" w:line="126" w:lineRule="exact"/>
              <w:rPr>
                <w:sz w:val="20"/>
                <w:szCs w:val="20"/>
                <w:color w:val="auto"/>
              </w:rPr>
            </w:pPr>
            <w:r>
              <w:rPr>
                <w:rFonts w:ascii="Arial" w:cs="Arial" w:eastAsia="Arial" w:hAnsi="Arial"/>
                <w:sz w:val="13"/>
                <w:szCs w:val="13"/>
                <w:color w:val="auto"/>
                <w:w w:val="95"/>
              </w:rPr>
              <w:t>104(b)</w:t>
            </w:r>
          </w:p>
        </w:tc>
        <w:tc>
          <w:tcPr>
            <w:tcW w:w="720" w:type="dxa"/>
            <w:vAlign w:val="bottom"/>
          </w:tcPr>
          <w:p>
            <w:pPr>
              <w:jc w:val="center"/>
              <w:spacing w:after="0" w:line="126" w:lineRule="exact"/>
              <w:rPr>
                <w:sz w:val="20"/>
                <w:szCs w:val="20"/>
                <w:color w:val="auto"/>
              </w:rPr>
            </w:pPr>
            <w:r>
              <w:rPr>
                <w:rFonts w:ascii="Arial" w:cs="Arial" w:eastAsia="Arial" w:hAnsi="Arial"/>
                <w:sz w:val="13"/>
                <w:szCs w:val="13"/>
                <w:color w:val="auto"/>
              </w:rPr>
              <w:t>and</w:t>
            </w:r>
          </w:p>
        </w:tc>
        <w:tc>
          <w:tcPr>
            <w:tcW w:w="800" w:type="dxa"/>
            <w:vAlign w:val="bottom"/>
          </w:tcPr>
          <w:p>
            <w:pPr>
              <w:jc w:val="center"/>
              <w:spacing w:after="0" w:line="126" w:lineRule="exact"/>
              <w:rPr>
                <w:sz w:val="20"/>
                <w:szCs w:val="20"/>
                <w:color w:val="auto"/>
              </w:rPr>
            </w:pPr>
            <w:r>
              <w:rPr>
                <w:rFonts w:ascii="Arial" w:cs="Arial" w:eastAsia="Arial" w:hAnsi="Arial"/>
                <w:sz w:val="13"/>
                <w:szCs w:val="13"/>
                <w:color w:val="auto"/>
                <w:w w:val="93"/>
              </w:rPr>
              <w:t>110(b)(2)</w:t>
            </w:r>
          </w:p>
        </w:tc>
        <w:tc>
          <w:tcPr>
            <w:tcW w:w="660" w:type="dxa"/>
            <w:vAlign w:val="bottom"/>
          </w:tcPr>
          <w:p>
            <w:pPr>
              <w:jc w:val="center"/>
              <w:spacing w:after="0" w:line="126" w:lineRule="exact"/>
              <w:rPr>
                <w:sz w:val="20"/>
                <w:szCs w:val="20"/>
                <w:color w:val="auto"/>
              </w:rPr>
            </w:pPr>
            <w:r>
              <w:rPr>
                <w:rFonts w:ascii="Arial" w:cs="Arial" w:eastAsia="Arial" w:hAnsi="Arial"/>
                <w:sz w:val="13"/>
                <w:szCs w:val="13"/>
                <w:color w:val="auto"/>
                <w:w w:val="95"/>
              </w:rPr>
              <w:t>107(a)</w:t>
            </w:r>
          </w:p>
        </w:tc>
        <w:tc>
          <w:tcPr>
            <w:tcW w:w="900" w:type="dxa"/>
            <w:vAlign w:val="bottom"/>
          </w:tcPr>
          <w:p>
            <w:pPr>
              <w:jc w:val="center"/>
              <w:spacing w:after="0" w:line="126" w:lineRule="exact"/>
              <w:rPr>
                <w:sz w:val="20"/>
                <w:szCs w:val="20"/>
                <w:color w:val="auto"/>
              </w:rPr>
            </w:pPr>
            <w:r>
              <w:rPr>
                <w:rFonts w:ascii="Arial" w:cs="Arial" w:eastAsia="Arial" w:hAnsi="Arial"/>
                <w:sz w:val="13"/>
                <w:szCs w:val="13"/>
                <w:color w:val="auto"/>
                <w:w w:val="98"/>
              </w:rPr>
              <w:t>Assessments</w:t>
            </w:r>
          </w:p>
        </w:tc>
        <w:tc>
          <w:tcPr>
            <w:tcW w:w="700" w:type="dxa"/>
            <w:vAlign w:val="bottom"/>
          </w:tcPr>
          <w:p>
            <w:pPr>
              <w:jc w:val="center"/>
              <w:spacing w:after="0" w:line="126" w:lineRule="exact"/>
              <w:rPr>
                <w:sz w:val="20"/>
                <w:szCs w:val="20"/>
                <w:color w:val="auto"/>
              </w:rPr>
            </w:pPr>
            <w:r>
              <w:rPr>
                <w:rFonts w:ascii="Arial" w:cs="Arial" w:eastAsia="Arial" w:hAnsi="Arial"/>
                <w:sz w:val="13"/>
                <w:szCs w:val="13"/>
                <w:color w:val="auto"/>
                <w:w w:val="98"/>
              </w:rPr>
              <w:t>Related</w:t>
            </w:r>
          </w:p>
        </w:tc>
        <w:tc>
          <w:tcPr>
            <w:tcW w:w="640" w:type="dxa"/>
            <w:vAlign w:val="bottom"/>
          </w:tcPr>
          <w:p>
            <w:pPr>
              <w:jc w:val="center"/>
              <w:spacing w:after="0" w:line="126" w:lineRule="exact"/>
              <w:rPr>
                <w:sz w:val="20"/>
                <w:szCs w:val="20"/>
                <w:color w:val="auto"/>
              </w:rPr>
            </w:pPr>
            <w:r>
              <w:rPr>
                <w:rFonts w:ascii="Arial" w:cs="Arial" w:eastAsia="Arial" w:hAnsi="Arial"/>
                <w:sz w:val="13"/>
                <w:szCs w:val="13"/>
                <w:color w:val="auto"/>
                <w:w w:val="95"/>
              </w:rPr>
              <w:t>104(e)</w:t>
            </w:r>
          </w:p>
        </w:tc>
        <w:tc>
          <w:tcPr>
            <w:tcW w:w="700" w:type="dxa"/>
            <w:vAlign w:val="bottom"/>
          </w:tcPr>
          <w:p>
            <w:pPr>
              <w:jc w:val="center"/>
              <w:spacing w:after="0" w:line="126" w:lineRule="exact"/>
              <w:rPr>
                <w:sz w:val="20"/>
                <w:szCs w:val="20"/>
                <w:color w:val="auto"/>
              </w:rPr>
            </w:pPr>
            <w:r>
              <w:rPr>
                <w:rFonts w:ascii="Arial" w:cs="Arial" w:eastAsia="Arial" w:hAnsi="Arial"/>
                <w:sz w:val="13"/>
                <w:szCs w:val="13"/>
                <w:color w:val="auto"/>
                <w:w w:val="97"/>
              </w:rPr>
              <w:t>(yes/no)</w:t>
            </w:r>
          </w:p>
        </w:tc>
        <w:tc>
          <w:tcPr>
            <w:tcW w:w="640" w:type="dxa"/>
            <w:vAlign w:val="bottom"/>
          </w:tcPr>
          <w:p>
            <w:pPr>
              <w:jc w:val="center"/>
              <w:spacing w:after="0" w:line="126" w:lineRule="exact"/>
              <w:rPr>
                <w:sz w:val="20"/>
                <w:szCs w:val="20"/>
                <w:color w:val="auto"/>
              </w:rPr>
            </w:pPr>
            <w:r>
              <w:rPr>
                <w:rFonts w:ascii="Arial" w:cs="Arial" w:eastAsia="Arial" w:hAnsi="Arial"/>
                <w:sz w:val="13"/>
                <w:szCs w:val="13"/>
                <w:color w:val="auto"/>
                <w:w w:val="94"/>
              </w:rPr>
              <w:t>Day</w:t>
            </w:r>
          </w:p>
        </w:tc>
        <w:tc>
          <w:tcPr>
            <w:tcW w:w="620" w:type="dxa"/>
            <w:vAlign w:val="bottom"/>
          </w:tcPr>
          <w:p>
            <w:pPr>
              <w:jc w:val="center"/>
              <w:spacing w:after="0" w:line="126" w:lineRule="exact"/>
              <w:rPr>
                <w:sz w:val="20"/>
                <w:szCs w:val="20"/>
                <w:color w:val="auto"/>
              </w:rPr>
            </w:pPr>
            <w:r>
              <w:rPr>
                <w:rFonts w:ascii="Arial" w:cs="Arial" w:eastAsia="Arial" w:hAnsi="Arial"/>
                <w:sz w:val="13"/>
                <w:szCs w:val="13"/>
                <w:color w:val="auto"/>
                <w:w w:val="93"/>
              </w:rPr>
              <w:t>During</w:t>
            </w:r>
          </w:p>
        </w:tc>
        <w:tc>
          <w:tcPr>
            <w:tcW w:w="660" w:type="dxa"/>
            <w:vAlign w:val="bottom"/>
          </w:tcPr>
          <w:p>
            <w:pPr>
              <w:jc w:val="center"/>
              <w:spacing w:after="0" w:line="126" w:lineRule="exact"/>
              <w:rPr>
                <w:sz w:val="20"/>
                <w:szCs w:val="20"/>
                <w:color w:val="auto"/>
              </w:rPr>
            </w:pPr>
            <w:r>
              <w:rPr>
                <w:rFonts w:ascii="Arial" w:cs="Arial" w:eastAsia="Arial" w:hAnsi="Arial"/>
                <w:sz w:val="13"/>
                <w:szCs w:val="13"/>
                <w:color w:val="auto"/>
                <w:w w:val="93"/>
              </w:rPr>
              <w:t>During</w:t>
            </w:r>
          </w:p>
        </w:tc>
      </w:tr>
      <w:tr>
        <w:trPr>
          <w:trHeight w:val="176"/>
        </w:trPr>
        <w:tc>
          <w:tcPr>
            <w:tcW w:w="20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Identification Number</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Citations</w:t>
            </w: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Orders</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Orders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Violations</w:t>
            </w: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Orders</w:t>
            </w:r>
          </w:p>
        </w:tc>
        <w:tc>
          <w:tcPr>
            <w:tcW w:w="90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color w:val="auto"/>
                <w:w w:val="93"/>
              </w:rPr>
              <w:t>Proposed</w:t>
            </w:r>
            <w:r>
              <w:rPr>
                <w:rFonts w:ascii="Arial" w:cs="Arial" w:eastAsia="Arial" w:hAnsi="Arial"/>
                <w:sz w:val="16"/>
                <w:szCs w:val="16"/>
                <w:color w:val="auto"/>
                <w:w w:val="93"/>
                <w:vertAlign w:val="superscript"/>
              </w:rPr>
              <w:t>(1)</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Fatalities</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(yes/no)</w:t>
            </w:r>
          </w:p>
        </w:tc>
        <w:tc>
          <w:tcPr>
            <w:tcW w:w="7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of Period</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Period</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Period</w:t>
            </w:r>
          </w:p>
        </w:tc>
      </w:tr>
      <w:tr>
        <w:trPr>
          <w:trHeight w:val="317"/>
        </w:trPr>
        <w:tc>
          <w:tcPr>
            <w:tcW w:w="2060" w:type="dxa"/>
            <w:vAlign w:val="bottom"/>
          </w:tcPr>
          <w:p>
            <w:pPr>
              <w:spacing w:after="0"/>
              <w:rPr>
                <w:sz w:val="20"/>
                <w:szCs w:val="20"/>
                <w:color w:val="auto"/>
              </w:rPr>
            </w:pPr>
            <w:r>
              <w:rPr>
                <w:rFonts w:ascii="Arial" w:cs="Arial" w:eastAsia="Arial" w:hAnsi="Arial"/>
                <w:sz w:val="13"/>
                <w:szCs w:val="13"/>
                <w:color w:val="auto"/>
              </w:rPr>
              <w:t>Amelia Barite Plant/1600825</w:t>
            </w:r>
          </w:p>
        </w:tc>
        <w:tc>
          <w:tcPr>
            <w:tcW w:w="66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6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72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6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6"/>
              </w:rPr>
              <w:t>$429</w:t>
            </w:r>
          </w:p>
        </w:tc>
        <w:tc>
          <w:tcPr>
            <w:tcW w:w="70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40" w:type="dxa"/>
            <w:vAlign w:val="bottom"/>
          </w:tcPr>
          <w:p>
            <w:pPr>
              <w:jc w:val="center"/>
              <w:spacing w:after="0"/>
              <w:rPr>
                <w:sz w:val="20"/>
                <w:szCs w:val="20"/>
                <w:color w:val="auto"/>
              </w:rPr>
            </w:pPr>
            <w:r>
              <w:rPr>
                <w:rFonts w:ascii="Arial" w:cs="Arial" w:eastAsia="Arial" w:hAnsi="Arial"/>
                <w:sz w:val="13"/>
                <w:szCs w:val="13"/>
                <w:color w:val="auto"/>
              </w:rPr>
              <w:t>N</w:t>
            </w:r>
          </w:p>
        </w:tc>
        <w:tc>
          <w:tcPr>
            <w:tcW w:w="700" w:type="dxa"/>
            <w:vAlign w:val="bottom"/>
          </w:tcPr>
          <w:p>
            <w:pPr>
              <w:jc w:val="center"/>
              <w:spacing w:after="0"/>
              <w:rPr>
                <w:sz w:val="20"/>
                <w:szCs w:val="20"/>
                <w:color w:val="auto"/>
              </w:rPr>
            </w:pPr>
            <w:r>
              <w:rPr>
                <w:rFonts w:ascii="Arial" w:cs="Arial" w:eastAsia="Arial" w:hAnsi="Arial"/>
                <w:sz w:val="13"/>
                <w:szCs w:val="13"/>
                <w:color w:val="auto"/>
              </w:rPr>
              <w:t>N</w:t>
            </w: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60" w:type="dxa"/>
            <w:vAlign w:val="bottom"/>
          </w:tcPr>
          <w:p>
            <w:pPr>
              <w:jc w:val="center"/>
              <w:spacing w:after="0"/>
              <w:rPr>
                <w:sz w:val="20"/>
                <w:szCs w:val="20"/>
                <w:color w:val="auto"/>
              </w:rPr>
            </w:pPr>
            <w:r>
              <w:rPr>
                <w:rFonts w:ascii="Arial" w:cs="Arial" w:eastAsia="Arial" w:hAnsi="Arial"/>
                <w:sz w:val="13"/>
                <w:szCs w:val="13"/>
                <w:color w:val="auto"/>
                <w:w w:val="86"/>
              </w:rPr>
              <w:t>─</w:t>
            </w:r>
          </w:p>
        </w:tc>
      </w:tr>
      <w:tr>
        <w:trPr>
          <w:trHeight w:val="293"/>
        </w:trPr>
        <w:tc>
          <w:tcPr>
            <w:tcW w:w="2060" w:type="dxa"/>
            <w:vAlign w:val="bottom"/>
          </w:tcPr>
          <w:p>
            <w:pPr>
              <w:spacing w:after="0"/>
              <w:rPr>
                <w:sz w:val="20"/>
                <w:szCs w:val="20"/>
                <w:color w:val="auto"/>
              </w:rPr>
            </w:pPr>
            <w:r>
              <w:rPr>
                <w:rFonts w:ascii="Arial" w:cs="Arial" w:eastAsia="Arial" w:hAnsi="Arial"/>
                <w:sz w:val="13"/>
                <w:szCs w:val="13"/>
                <w:color w:val="auto"/>
              </w:rPr>
              <w:t>Battle Mountain Grinding</w:t>
            </w:r>
          </w:p>
        </w:tc>
        <w:tc>
          <w:tcPr>
            <w:tcW w:w="66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6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72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6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6"/>
              </w:rPr>
              <w:t>$143</w:t>
            </w:r>
          </w:p>
        </w:tc>
        <w:tc>
          <w:tcPr>
            <w:tcW w:w="70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40" w:type="dxa"/>
            <w:vAlign w:val="bottom"/>
          </w:tcPr>
          <w:p>
            <w:pPr>
              <w:jc w:val="center"/>
              <w:spacing w:after="0"/>
              <w:rPr>
                <w:sz w:val="20"/>
                <w:szCs w:val="20"/>
                <w:color w:val="auto"/>
              </w:rPr>
            </w:pPr>
            <w:r>
              <w:rPr>
                <w:rFonts w:ascii="Arial" w:cs="Arial" w:eastAsia="Arial" w:hAnsi="Arial"/>
                <w:sz w:val="13"/>
                <w:szCs w:val="13"/>
                <w:color w:val="auto"/>
              </w:rPr>
              <w:t>N</w:t>
            </w:r>
          </w:p>
        </w:tc>
        <w:tc>
          <w:tcPr>
            <w:tcW w:w="700" w:type="dxa"/>
            <w:vAlign w:val="bottom"/>
          </w:tcPr>
          <w:p>
            <w:pPr>
              <w:jc w:val="center"/>
              <w:spacing w:after="0"/>
              <w:rPr>
                <w:sz w:val="20"/>
                <w:szCs w:val="20"/>
                <w:color w:val="auto"/>
              </w:rPr>
            </w:pPr>
            <w:r>
              <w:rPr>
                <w:rFonts w:ascii="Arial" w:cs="Arial" w:eastAsia="Arial" w:hAnsi="Arial"/>
                <w:sz w:val="13"/>
                <w:szCs w:val="13"/>
                <w:color w:val="auto"/>
              </w:rPr>
              <w:t>N</w:t>
            </w: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60" w:type="dxa"/>
            <w:vAlign w:val="bottom"/>
          </w:tcPr>
          <w:p>
            <w:pPr>
              <w:jc w:val="center"/>
              <w:spacing w:after="0"/>
              <w:rPr>
                <w:sz w:val="20"/>
                <w:szCs w:val="20"/>
                <w:color w:val="auto"/>
              </w:rPr>
            </w:pPr>
            <w:r>
              <w:rPr>
                <w:rFonts w:ascii="Arial" w:cs="Arial" w:eastAsia="Arial" w:hAnsi="Arial"/>
                <w:sz w:val="13"/>
                <w:szCs w:val="13"/>
                <w:color w:val="auto"/>
                <w:w w:val="86"/>
              </w:rPr>
              <w:t>─</w:t>
            </w:r>
          </w:p>
        </w:tc>
      </w:tr>
      <w:tr>
        <w:trPr>
          <w:trHeight w:val="166"/>
        </w:trPr>
        <w:tc>
          <w:tcPr>
            <w:tcW w:w="2060" w:type="dxa"/>
            <w:vAlign w:val="bottom"/>
          </w:tcPr>
          <w:p>
            <w:pPr>
              <w:spacing w:after="0"/>
              <w:rPr>
                <w:sz w:val="20"/>
                <w:szCs w:val="20"/>
                <w:color w:val="auto"/>
              </w:rPr>
            </w:pPr>
            <w:r>
              <w:rPr>
                <w:rFonts w:ascii="Arial" w:cs="Arial" w:eastAsia="Arial" w:hAnsi="Arial"/>
                <w:sz w:val="13"/>
                <w:szCs w:val="13"/>
                <w:color w:val="auto"/>
              </w:rPr>
              <w:t>Plant/2600828</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24"/>
        </w:trPr>
        <w:tc>
          <w:tcPr>
            <w:tcW w:w="2060" w:type="dxa"/>
            <w:vAlign w:val="bottom"/>
          </w:tcPr>
          <w:p>
            <w:pPr>
              <w:spacing w:after="0"/>
              <w:rPr>
                <w:sz w:val="20"/>
                <w:szCs w:val="20"/>
                <w:color w:val="auto"/>
              </w:rPr>
            </w:pPr>
            <w:r>
              <w:rPr>
                <w:rFonts w:ascii="Arial" w:cs="Arial" w:eastAsia="Arial" w:hAnsi="Arial"/>
                <w:sz w:val="13"/>
                <w:szCs w:val="13"/>
                <w:color w:val="auto"/>
              </w:rPr>
              <w:t>Greybull Milling Operation/4800602</w:t>
            </w:r>
          </w:p>
        </w:tc>
        <w:tc>
          <w:tcPr>
            <w:tcW w:w="660" w:type="dxa"/>
            <w:vAlign w:val="bottom"/>
          </w:tcPr>
          <w:p>
            <w:pPr>
              <w:jc w:val="center"/>
              <w:spacing w:after="0"/>
              <w:rPr>
                <w:sz w:val="20"/>
                <w:szCs w:val="20"/>
                <w:color w:val="auto"/>
              </w:rPr>
            </w:pPr>
            <w:r>
              <w:rPr>
                <w:rFonts w:ascii="Arial" w:cs="Arial" w:eastAsia="Arial" w:hAnsi="Arial"/>
                <w:sz w:val="13"/>
                <w:szCs w:val="13"/>
                <w:color w:val="auto"/>
              </w:rPr>
              <w:t>1</w:t>
            </w:r>
          </w:p>
        </w:tc>
        <w:tc>
          <w:tcPr>
            <w:tcW w:w="66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72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6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900" w:type="dxa"/>
            <w:vAlign w:val="bottom"/>
          </w:tcPr>
          <w:p>
            <w:pPr>
              <w:jc w:val="center"/>
              <w:spacing w:after="0"/>
              <w:rPr>
                <w:sz w:val="20"/>
                <w:szCs w:val="20"/>
                <w:color w:val="auto"/>
              </w:rPr>
            </w:pPr>
            <w:r>
              <w:rPr>
                <w:rFonts w:ascii="Arial" w:cs="Arial" w:eastAsia="Arial" w:hAnsi="Arial"/>
                <w:sz w:val="13"/>
                <w:szCs w:val="13"/>
                <w:color w:val="auto"/>
              </w:rPr>
              <w:t>$3,247</w:t>
            </w:r>
          </w:p>
        </w:tc>
        <w:tc>
          <w:tcPr>
            <w:tcW w:w="70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40" w:type="dxa"/>
            <w:vAlign w:val="bottom"/>
          </w:tcPr>
          <w:p>
            <w:pPr>
              <w:jc w:val="center"/>
              <w:spacing w:after="0"/>
              <w:rPr>
                <w:sz w:val="20"/>
                <w:szCs w:val="20"/>
                <w:color w:val="auto"/>
              </w:rPr>
            </w:pPr>
            <w:r>
              <w:rPr>
                <w:rFonts w:ascii="Arial" w:cs="Arial" w:eastAsia="Arial" w:hAnsi="Arial"/>
                <w:sz w:val="13"/>
                <w:szCs w:val="13"/>
                <w:color w:val="auto"/>
              </w:rPr>
              <w:t>N</w:t>
            </w:r>
          </w:p>
        </w:tc>
        <w:tc>
          <w:tcPr>
            <w:tcW w:w="700" w:type="dxa"/>
            <w:vAlign w:val="bottom"/>
          </w:tcPr>
          <w:p>
            <w:pPr>
              <w:jc w:val="center"/>
              <w:spacing w:after="0"/>
              <w:rPr>
                <w:sz w:val="20"/>
                <w:szCs w:val="20"/>
                <w:color w:val="auto"/>
              </w:rPr>
            </w:pPr>
            <w:r>
              <w:rPr>
                <w:rFonts w:ascii="Arial" w:cs="Arial" w:eastAsia="Arial" w:hAnsi="Arial"/>
                <w:sz w:val="13"/>
                <w:szCs w:val="13"/>
                <w:color w:val="auto"/>
              </w:rPr>
              <w:t>N</w:t>
            </w: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60" w:type="dxa"/>
            <w:vAlign w:val="bottom"/>
          </w:tcPr>
          <w:p>
            <w:pPr>
              <w:jc w:val="center"/>
              <w:spacing w:after="0"/>
              <w:rPr>
                <w:sz w:val="20"/>
                <w:szCs w:val="20"/>
                <w:color w:val="auto"/>
              </w:rPr>
            </w:pPr>
            <w:r>
              <w:rPr>
                <w:rFonts w:ascii="Arial" w:cs="Arial" w:eastAsia="Arial" w:hAnsi="Arial"/>
                <w:sz w:val="13"/>
                <w:szCs w:val="13"/>
                <w:color w:val="auto"/>
                <w:w w:val="86"/>
              </w:rPr>
              <w:t>─</w:t>
            </w:r>
          </w:p>
        </w:tc>
      </w:tr>
      <w:tr>
        <w:trPr>
          <w:trHeight w:val="459"/>
        </w:trPr>
        <w:tc>
          <w:tcPr>
            <w:tcW w:w="2060" w:type="dxa"/>
            <w:vAlign w:val="bottom"/>
          </w:tcPr>
          <w:p>
            <w:pPr>
              <w:spacing w:after="0"/>
              <w:rPr>
                <w:sz w:val="20"/>
                <w:szCs w:val="20"/>
                <w:color w:val="auto"/>
              </w:rPr>
            </w:pPr>
            <w:r>
              <w:rPr>
                <w:rFonts w:ascii="Arial" w:cs="Arial" w:eastAsia="Arial" w:hAnsi="Arial"/>
                <w:sz w:val="13"/>
                <w:szCs w:val="13"/>
                <w:color w:val="auto"/>
                <w:w w:val="99"/>
              </w:rPr>
              <w:t>Greybull Mining Operation/4800603</w:t>
            </w:r>
          </w:p>
        </w:tc>
        <w:tc>
          <w:tcPr>
            <w:tcW w:w="66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6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72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6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6"/>
              </w:rPr>
              <w:t>$286</w:t>
            </w:r>
          </w:p>
        </w:tc>
        <w:tc>
          <w:tcPr>
            <w:tcW w:w="70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40" w:type="dxa"/>
            <w:vAlign w:val="bottom"/>
          </w:tcPr>
          <w:p>
            <w:pPr>
              <w:jc w:val="center"/>
              <w:spacing w:after="0"/>
              <w:rPr>
                <w:sz w:val="20"/>
                <w:szCs w:val="20"/>
                <w:color w:val="auto"/>
              </w:rPr>
            </w:pPr>
            <w:r>
              <w:rPr>
                <w:rFonts w:ascii="Arial" w:cs="Arial" w:eastAsia="Arial" w:hAnsi="Arial"/>
                <w:sz w:val="13"/>
                <w:szCs w:val="13"/>
                <w:color w:val="auto"/>
              </w:rPr>
              <w:t>N</w:t>
            </w:r>
          </w:p>
        </w:tc>
        <w:tc>
          <w:tcPr>
            <w:tcW w:w="700" w:type="dxa"/>
            <w:vAlign w:val="bottom"/>
          </w:tcPr>
          <w:p>
            <w:pPr>
              <w:jc w:val="center"/>
              <w:spacing w:after="0"/>
              <w:rPr>
                <w:sz w:val="20"/>
                <w:szCs w:val="20"/>
                <w:color w:val="auto"/>
              </w:rPr>
            </w:pPr>
            <w:r>
              <w:rPr>
                <w:rFonts w:ascii="Arial" w:cs="Arial" w:eastAsia="Arial" w:hAnsi="Arial"/>
                <w:sz w:val="13"/>
                <w:szCs w:val="13"/>
                <w:color w:val="auto"/>
              </w:rPr>
              <w:t>N</w:t>
            </w: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60" w:type="dxa"/>
            <w:vAlign w:val="bottom"/>
          </w:tcPr>
          <w:p>
            <w:pPr>
              <w:jc w:val="center"/>
              <w:spacing w:after="0"/>
              <w:rPr>
                <w:sz w:val="20"/>
                <w:szCs w:val="20"/>
                <w:color w:val="auto"/>
              </w:rPr>
            </w:pPr>
            <w:r>
              <w:rPr>
                <w:rFonts w:ascii="Arial" w:cs="Arial" w:eastAsia="Arial" w:hAnsi="Arial"/>
                <w:sz w:val="13"/>
                <w:szCs w:val="13"/>
                <w:color w:val="auto"/>
                <w:w w:val="86"/>
              </w:rPr>
              <w:t>─</w:t>
            </w:r>
          </w:p>
        </w:tc>
      </w:tr>
      <w:tr>
        <w:trPr>
          <w:trHeight w:val="473"/>
        </w:trPr>
        <w:tc>
          <w:tcPr>
            <w:tcW w:w="2060" w:type="dxa"/>
            <w:vAlign w:val="bottom"/>
          </w:tcPr>
          <w:p>
            <w:pPr>
              <w:spacing w:after="0"/>
              <w:rPr>
                <w:sz w:val="20"/>
                <w:szCs w:val="20"/>
                <w:color w:val="auto"/>
              </w:rPr>
            </w:pPr>
            <w:r>
              <w:rPr>
                <w:rFonts w:ascii="Arial" w:cs="Arial" w:eastAsia="Arial" w:hAnsi="Arial"/>
                <w:sz w:val="13"/>
                <w:szCs w:val="13"/>
                <w:color w:val="auto"/>
              </w:rPr>
              <w:t>Greystone Mine/2600411</w:t>
            </w:r>
          </w:p>
        </w:tc>
        <w:tc>
          <w:tcPr>
            <w:tcW w:w="66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6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72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6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70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40" w:type="dxa"/>
            <w:vAlign w:val="bottom"/>
          </w:tcPr>
          <w:p>
            <w:pPr>
              <w:jc w:val="center"/>
              <w:spacing w:after="0"/>
              <w:rPr>
                <w:sz w:val="20"/>
                <w:szCs w:val="20"/>
                <w:color w:val="auto"/>
              </w:rPr>
            </w:pPr>
            <w:r>
              <w:rPr>
                <w:rFonts w:ascii="Arial" w:cs="Arial" w:eastAsia="Arial" w:hAnsi="Arial"/>
                <w:sz w:val="13"/>
                <w:szCs w:val="13"/>
                <w:color w:val="auto"/>
              </w:rPr>
              <w:t>N</w:t>
            </w:r>
          </w:p>
        </w:tc>
        <w:tc>
          <w:tcPr>
            <w:tcW w:w="700" w:type="dxa"/>
            <w:vAlign w:val="bottom"/>
          </w:tcPr>
          <w:p>
            <w:pPr>
              <w:jc w:val="center"/>
              <w:spacing w:after="0"/>
              <w:rPr>
                <w:sz w:val="20"/>
                <w:szCs w:val="20"/>
                <w:color w:val="auto"/>
              </w:rPr>
            </w:pPr>
            <w:r>
              <w:rPr>
                <w:rFonts w:ascii="Arial" w:cs="Arial" w:eastAsia="Arial" w:hAnsi="Arial"/>
                <w:sz w:val="13"/>
                <w:szCs w:val="13"/>
                <w:color w:val="auto"/>
              </w:rPr>
              <w:t>N</w:t>
            </w: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60" w:type="dxa"/>
            <w:vAlign w:val="bottom"/>
          </w:tcPr>
          <w:p>
            <w:pPr>
              <w:jc w:val="center"/>
              <w:spacing w:after="0"/>
              <w:rPr>
                <w:sz w:val="20"/>
                <w:szCs w:val="20"/>
                <w:color w:val="auto"/>
              </w:rPr>
            </w:pPr>
            <w:r>
              <w:rPr>
                <w:rFonts w:ascii="Arial" w:cs="Arial" w:eastAsia="Arial" w:hAnsi="Arial"/>
                <w:sz w:val="13"/>
                <w:szCs w:val="13"/>
                <w:color w:val="auto"/>
                <w:w w:val="86"/>
              </w:rPr>
              <w:t>─</w:t>
            </w:r>
          </w:p>
        </w:tc>
      </w:tr>
      <w:tr>
        <w:trPr>
          <w:trHeight w:val="293"/>
        </w:trPr>
        <w:tc>
          <w:tcPr>
            <w:tcW w:w="2060" w:type="dxa"/>
            <w:vAlign w:val="bottom"/>
          </w:tcPr>
          <w:p>
            <w:pPr>
              <w:spacing w:after="0"/>
              <w:rPr>
                <w:sz w:val="20"/>
                <w:szCs w:val="20"/>
                <w:color w:val="auto"/>
              </w:rPr>
            </w:pPr>
            <w:r>
              <w:rPr>
                <w:rFonts w:ascii="Arial" w:cs="Arial" w:eastAsia="Arial" w:hAnsi="Arial"/>
                <w:sz w:val="13"/>
                <w:szCs w:val="13"/>
                <w:color w:val="auto"/>
              </w:rPr>
              <w:t>Mountain Springs Beneficiation</w:t>
            </w:r>
          </w:p>
        </w:tc>
        <w:tc>
          <w:tcPr>
            <w:tcW w:w="66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6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72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6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70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40" w:type="dxa"/>
            <w:vAlign w:val="bottom"/>
          </w:tcPr>
          <w:p>
            <w:pPr>
              <w:jc w:val="center"/>
              <w:spacing w:after="0"/>
              <w:rPr>
                <w:sz w:val="20"/>
                <w:szCs w:val="20"/>
                <w:color w:val="auto"/>
              </w:rPr>
            </w:pPr>
            <w:r>
              <w:rPr>
                <w:rFonts w:ascii="Arial" w:cs="Arial" w:eastAsia="Arial" w:hAnsi="Arial"/>
                <w:sz w:val="13"/>
                <w:szCs w:val="13"/>
                <w:color w:val="auto"/>
              </w:rPr>
              <w:t>N</w:t>
            </w:r>
          </w:p>
        </w:tc>
        <w:tc>
          <w:tcPr>
            <w:tcW w:w="700" w:type="dxa"/>
            <w:vAlign w:val="bottom"/>
          </w:tcPr>
          <w:p>
            <w:pPr>
              <w:jc w:val="center"/>
              <w:spacing w:after="0"/>
              <w:rPr>
                <w:sz w:val="20"/>
                <w:szCs w:val="20"/>
                <w:color w:val="auto"/>
              </w:rPr>
            </w:pPr>
            <w:r>
              <w:rPr>
                <w:rFonts w:ascii="Arial" w:cs="Arial" w:eastAsia="Arial" w:hAnsi="Arial"/>
                <w:sz w:val="13"/>
                <w:szCs w:val="13"/>
                <w:color w:val="auto"/>
              </w:rPr>
              <w:t>N</w:t>
            </w: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60" w:type="dxa"/>
            <w:vAlign w:val="bottom"/>
          </w:tcPr>
          <w:p>
            <w:pPr>
              <w:jc w:val="center"/>
              <w:spacing w:after="0"/>
              <w:rPr>
                <w:sz w:val="20"/>
                <w:szCs w:val="20"/>
                <w:color w:val="auto"/>
              </w:rPr>
            </w:pPr>
            <w:r>
              <w:rPr>
                <w:rFonts w:ascii="Arial" w:cs="Arial" w:eastAsia="Arial" w:hAnsi="Arial"/>
                <w:sz w:val="13"/>
                <w:szCs w:val="13"/>
                <w:color w:val="auto"/>
                <w:w w:val="86"/>
              </w:rPr>
              <w:t>─</w:t>
            </w:r>
          </w:p>
        </w:tc>
      </w:tr>
      <w:tr>
        <w:trPr>
          <w:trHeight w:val="166"/>
        </w:trPr>
        <w:tc>
          <w:tcPr>
            <w:tcW w:w="2060" w:type="dxa"/>
            <w:vAlign w:val="bottom"/>
          </w:tcPr>
          <w:p>
            <w:pPr>
              <w:spacing w:after="0"/>
              <w:rPr>
                <w:sz w:val="20"/>
                <w:szCs w:val="20"/>
                <w:color w:val="auto"/>
              </w:rPr>
            </w:pPr>
            <w:r>
              <w:rPr>
                <w:rFonts w:ascii="Arial" w:cs="Arial" w:eastAsia="Arial" w:hAnsi="Arial"/>
                <w:sz w:val="13"/>
                <w:szCs w:val="13"/>
                <w:color w:val="auto"/>
              </w:rPr>
              <w:t>Plant/2601390</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pacing w:after="0" w:line="200" w:lineRule="exact"/>
        <w:rPr>
          <w:sz w:val="20"/>
          <w:szCs w:val="20"/>
          <w:color w:val="auto"/>
        </w:rPr>
      </w:pPr>
    </w:p>
    <w:p>
      <w:pPr>
        <w:spacing w:after="0" w:line="277" w:lineRule="exact"/>
        <w:rPr>
          <w:sz w:val="20"/>
          <w:szCs w:val="20"/>
          <w:color w:val="auto"/>
        </w:rPr>
      </w:pPr>
    </w:p>
    <w:p>
      <w:pPr>
        <w:jc w:val="both"/>
        <w:ind w:left="900" w:hanging="518"/>
        <w:spacing w:after="0" w:line="256" w:lineRule="auto"/>
        <w:tabs>
          <w:tab w:leader="none" w:pos="90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Amounts included are the total dollar value of proposed assessments received from MSHA on or before December 31, 2023, regardless of whether the assessment has been challenged or appealed, for citations and orders occurring during the full year 2023. Citations and orders can be contested and appealed, and as part of that process, are sometimes reduced in severity and amount, and sometimes dismissed. The number of citations, orders, and proposed assessments vary by inspector and vary depending on the size and type of the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954405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20"/>
          <w:szCs w:val="20"/>
          <w:color w:val="auto"/>
        </w:rPr>
        <w:t>Exhibit 97</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SCHLUMBERGER LIMITED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POLICY FOR RECOVERY OF PERFORMANCE-BASED INCENTIVE COMPENSATION FROM EXECUTIVE OFFICERS</w:t>
      </w:r>
    </w:p>
    <w:p>
      <w:pPr>
        <w:spacing w:after="0" w:line="204"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The Board of Directors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of Schlumberger Limited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has adopted this Policy for Recovery of Performance-Based Incentive Compensation from Executive Officers (the “</w:t>
      </w:r>
      <w:r>
        <w:rPr>
          <w:rFonts w:ascii="Arial" w:cs="Arial" w:eastAsia="Arial" w:hAnsi="Arial"/>
          <w:sz w:val="20"/>
          <w:szCs w:val="20"/>
          <w:b w:val="1"/>
          <w:bCs w:val="1"/>
          <w:i w:val="1"/>
          <w:iCs w:val="1"/>
          <w:color w:val="auto"/>
        </w:rPr>
        <w:t>Policy</w:t>
      </w:r>
      <w:r>
        <w:rPr>
          <w:rFonts w:ascii="Arial" w:cs="Arial" w:eastAsia="Arial" w:hAnsi="Arial"/>
          <w:sz w:val="20"/>
          <w:szCs w:val="20"/>
          <w:color w:val="auto"/>
        </w:rPr>
        <w:t>”), effective as of December 1, 2023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Capitalized terms used in this Policy but not otherwise defined herein are defined in Section 11.</w:t>
      </w:r>
    </w:p>
    <w:p>
      <w:pPr>
        <w:spacing w:after="0" w:line="155" w:lineRule="exact"/>
        <w:rPr>
          <w:sz w:val="20"/>
          <w:szCs w:val="20"/>
          <w:color w:val="auto"/>
        </w:rPr>
      </w:pPr>
    </w:p>
    <w:p>
      <w:pPr>
        <w:ind w:left="760" w:hanging="752"/>
        <w:spacing w:after="0"/>
        <w:tabs>
          <w:tab w:leader="none" w:pos="760" w:val="left"/>
        </w:tabs>
        <w:numPr>
          <w:ilvl w:val="0"/>
          <w:numId w:val="111"/>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Persons Subject to Policy</w:t>
      </w:r>
    </w:p>
    <w:p>
      <w:pPr>
        <w:spacing w:after="0" w:line="204"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This Policy applies to current Officers of the Company and is an amendment and restatement of the Company’s policy on recoupment of performance-based bonuses and former Officers who have departed the Company within the Three-Year Period. For the avoidance of doubt, this Policy is the “Clawback Policy” as defined in the Company’s performance share unit award agreements.</w:t>
      </w:r>
    </w:p>
    <w:p>
      <w:pPr>
        <w:spacing w:after="0" w:line="170" w:lineRule="exact"/>
        <w:rPr>
          <w:sz w:val="20"/>
          <w:szCs w:val="20"/>
          <w:color w:val="auto"/>
        </w:rPr>
      </w:pPr>
    </w:p>
    <w:p>
      <w:pPr>
        <w:ind w:left="440" w:hanging="432"/>
        <w:spacing w:after="0"/>
        <w:tabs>
          <w:tab w:leader="none" w:pos="440" w:val="left"/>
        </w:tabs>
        <w:numPr>
          <w:ilvl w:val="0"/>
          <w:numId w:val="11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Compensation Subject to Policy</w:t>
      </w:r>
    </w:p>
    <w:p>
      <w:pPr>
        <w:spacing w:after="0" w:line="204"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This Policy applies to Incentive-Based Compensation received on or after the Effective Date. For purposes of this Policy, the date on which Incentive-Based Compensation is “received” shall be determined under the Applicable Rules, which generally provide that Incentive-Based Compensation is “received” when the relevant Financial Reporting Measure applicable thereto is attained or satisfied, without regard to whether the grant, vesting or payment of the Incentive-Based Compensation occurs after such date.</w:t>
      </w:r>
    </w:p>
    <w:p>
      <w:pPr>
        <w:spacing w:after="0" w:line="173" w:lineRule="exact"/>
        <w:rPr>
          <w:sz w:val="20"/>
          <w:szCs w:val="20"/>
          <w:color w:val="auto"/>
        </w:rPr>
      </w:pPr>
    </w:p>
    <w:p>
      <w:pPr>
        <w:ind w:left="440" w:hanging="432"/>
        <w:spacing w:after="0"/>
        <w:tabs>
          <w:tab w:leader="none" w:pos="440" w:val="left"/>
        </w:tabs>
        <w:numPr>
          <w:ilvl w:val="0"/>
          <w:numId w:val="11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Recovery of Compensation</w:t>
      </w:r>
    </w:p>
    <w:p>
      <w:pPr>
        <w:spacing w:after="0" w:line="204"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In the event that the Company is required to prepare a Restatement, the Company shall recover, reasonably promptly, the portion of any Incentive-Based Compensation that is Recoverable Compensation, unless the Committee has determined that recovery would be Impracticable. Recovery will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w:t>
      </w:r>
    </w:p>
    <w:p>
      <w:pPr>
        <w:spacing w:after="0" w:line="173" w:lineRule="exact"/>
        <w:rPr>
          <w:sz w:val="20"/>
          <w:szCs w:val="20"/>
          <w:color w:val="auto"/>
        </w:rPr>
      </w:pPr>
    </w:p>
    <w:p>
      <w:pPr>
        <w:ind w:left="440" w:hanging="432"/>
        <w:spacing w:after="0"/>
        <w:tabs>
          <w:tab w:leader="none" w:pos="440" w:val="left"/>
        </w:tabs>
        <w:numPr>
          <w:ilvl w:val="0"/>
          <w:numId w:val="11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Manner of Recovery; Limitation on Duplicative Recovery</w:t>
      </w:r>
    </w:p>
    <w:p>
      <w:pPr>
        <w:spacing w:after="0" w:line="204" w:lineRule="exact"/>
        <w:rPr>
          <w:sz w:val="20"/>
          <w:szCs w:val="20"/>
          <w:color w:val="auto"/>
        </w:rPr>
      </w:pPr>
    </w:p>
    <w:p>
      <w:pPr>
        <w:jc w:val="both"/>
        <w:ind w:firstLine="749"/>
        <w:spacing w:after="0" w:line="230" w:lineRule="auto"/>
        <w:rPr>
          <w:sz w:val="20"/>
          <w:szCs w:val="20"/>
          <w:color w:val="auto"/>
        </w:rPr>
      </w:pPr>
      <w:r>
        <w:rPr>
          <w:rFonts w:ascii="Arial" w:cs="Arial" w:eastAsia="Arial" w:hAnsi="Arial"/>
          <w:sz w:val="20"/>
          <w:szCs w:val="20"/>
          <w:color w:val="auto"/>
        </w:rPr>
        <w:t>The Committee shall, in its sole discretion, determine the manner of recovery of any Recoverable Compensation, which may include, without limitation, reduction or cancellation by the Company or an affiliate of the Company of Incentive-Based Compensation or Recoverable Compensation, reimbursement or repayment by any person subject to this Policy of the Recoverable Compensation, and, to the extent permitted by law, an offset of the Recoverable Compensation against other compensation payable by the Company or an affiliate of the Company to such person. Notwithstanding the foregoing, unless otherwise prohibited by the Applicable Rules, to the extent this Policy provides for recovery of Recoverable Compensation already recovered by the Company pursuant to Section 304 of the Sarbanes-Oxley Act of 2002 or Other Recovery Arrangements, the amount of Recoverable Compensation already recovered by the Company from the recipient of such Recoverable Compensation may be credited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sz w:val="20"/>
          <w:szCs w:val="20"/>
          <w:color w:val="auto"/>
        </w:rPr>
      </w:pPr>
      <w:r>
        <w:rPr>
          <w:rFonts w:ascii="Arial" w:cs="Arial" w:eastAsia="Arial" w:hAnsi="Arial"/>
          <w:sz w:val="20"/>
          <w:szCs w:val="20"/>
          <w:color w:val="auto"/>
        </w:rPr>
        <w:t>amount of Recoverable Compensation required to be recovered pursuant to this Policy from such person.</w:t>
      </w:r>
    </w:p>
    <w:p>
      <w:pPr>
        <w:spacing w:after="0" w:line="200" w:lineRule="exact"/>
        <w:rPr>
          <w:sz w:val="20"/>
          <w:szCs w:val="20"/>
          <w:color w:val="auto"/>
        </w:rPr>
      </w:pPr>
    </w:p>
    <w:p>
      <w:pPr>
        <w:ind w:left="440" w:hanging="432"/>
        <w:spacing w:after="0"/>
        <w:tabs>
          <w:tab w:leader="none" w:pos="440" w:val="left"/>
        </w:tabs>
        <w:numPr>
          <w:ilvl w:val="0"/>
          <w:numId w:val="11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Administration</w:t>
      </w:r>
    </w:p>
    <w:p>
      <w:pPr>
        <w:spacing w:after="0" w:line="204" w:lineRule="exact"/>
        <w:rPr>
          <w:sz w:val="20"/>
          <w:szCs w:val="20"/>
          <w:color w:val="auto"/>
        </w:rPr>
      </w:pPr>
    </w:p>
    <w:p>
      <w:pPr>
        <w:jc w:val="both"/>
        <w:ind w:firstLine="749"/>
        <w:spacing w:after="0" w:line="230" w:lineRule="auto"/>
        <w:rPr>
          <w:sz w:val="20"/>
          <w:szCs w:val="20"/>
          <w:color w:val="auto"/>
        </w:rPr>
      </w:pPr>
      <w:r>
        <w:rPr>
          <w:rFonts w:ascii="Arial" w:cs="Arial" w:eastAsia="Arial" w:hAnsi="Arial"/>
          <w:sz w:val="20"/>
          <w:szCs w:val="20"/>
          <w:color w:val="auto"/>
        </w:rPr>
        <w:t>The Board has delegated to the Compensation Committee of the Board (the “</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the authority to administer, interpret and construe this Policy, and the Committee is authorized to make all determinations necessary, appropriate or advisable for such purpose. The Committee may delegate administrative duties with respect to this Policy to one or more directors or employees of the Company, as permitted under applicable law, including any Applicable Rules. The Board may re-vest in itself the authority to administer, interpret and construe this Policy in accordance with applicable law, and in such event references herein to the “Committee” will be deemed to be references to the Board. Subject to any permitted review by the NYSE pursuant to the Applicable Rules, all determinations and decisions made by the Committee pursuant to the provisions of this Policy will be final, conclusive and binding on all persons, including the Company and its affiliates, shareholders and employees.</w:t>
      </w:r>
    </w:p>
    <w:p>
      <w:pPr>
        <w:spacing w:after="0" w:line="174" w:lineRule="exact"/>
        <w:rPr>
          <w:sz w:val="20"/>
          <w:szCs w:val="20"/>
          <w:color w:val="auto"/>
        </w:rPr>
      </w:pPr>
    </w:p>
    <w:p>
      <w:pPr>
        <w:ind w:left="440" w:hanging="432"/>
        <w:spacing w:after="0"/>
        <w:tabs>
          <w:tab w:leader="none" w:pos="440" w:val="left"/>
        </w:tabs>
        <w:numPr>
          <w:ilvl w:val="0"/>
          <w:numId w:val="11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Interpretation</w:t>
      </w:r>
    </w:p>
    <w:p>
      <w:pPr>
        <w:spacing w:after="0" w:line="204"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This Policy will be interpreted and applied in a manner that is consistent with the requirements of the Applicable Rules, and to the extent this Policy is inconsistent with such Applicable Rules, it will be deemed amended to the minimum extent necessary to ensure compliance therewith.</w:t>
      </w:r>
    </w:p>
    <w:p>
      <w:pPr>
        <w:spacing w:after="0" w:line="169" w:lineRule="exact"/>
        <w:rPr>
          <w:sz w:val="20"/>
          <w:szCs w:val="20"/>
          <w:color w:val="auto"/>
        </w:rPr>
      </w:pPr>
    </w:p>
    <w:p>
      <w:pPr>
        <w:ind w:left="440" w:hanging="432"/>
        <w:spacing w:after="0"/>
        <w:tabs>
          <w:tab w:leader="none" w:pos="440" w:val="left"/>
        </w:tabs>
        <w:numPr>
          <w:ilvl w:val="0"/>
          <w:numId w:val="11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Indemnification; No Liability</w:t>
      </w:r>
    </w:p>
    <w:p>
      <w:pPr>
        <w:spacing w:after="0" w:line="204"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The Company shall not indemnify or insure any person against the loss of any Recoverable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will have any liability to any person as a result of actions taken under this Policy.</w:t>
      </w:r>
    </w:p>
    <w:p>
      <w:pPr>
        <w:spacing w:after="0" w:line="173" w:lineRule="exact"/>
        <w:rPr>
          <w:sz w:val="20"/>
          <w:szCs w:val="20"/>
          <w:color w:val="auto"/>
        </w:rPr>
      </w:pPr>
    </w:p>
    <w:p>
      <w:pPr>
        <w:ind w:left="440" w:hanging="432"/>
        <w:spacing w:after="0"/>
        <w:tabs>
          <w:tab w:leader="none" w:pos="440" w:val="left"/>
        </w:tabs>
        <w:numPr>
          <w:ilvl w:val="0"/>
          <w:numId w:val="11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Application; Enforceability</w:t>
      </w:r>
    </w:p>
    <w:p>
      <w:pPr>
        <w:spacing w:after="0" w:line="204"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0"/>
          <w:szCs w:val="20"/>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Arial" w:cs="Arial" w:eastAsia="Arial" w:hAnsi="Arial"/>
          <w:sz w:val="20"/>
          <w:szCs w:val="20"/>
          <w:b w:val="1"/>
          <w:bCs w:val="1"/>
          <w:i w:val="1"/>
          <w:iCs w:val="1"/>
          <w:color w:val="auto"/>
        </w:rPr>
        <w:t>Other Recovery Arrangements</w:t>
      </w:r>
      <w:r>
        <w:rPr>
          <w:rFonts w:ascii="Arial" w:cs="Arial" w:eastAsia="Arial" w:hAnsi="Arial"/>
          <w:sz w:val="20"/>
          <w:szCs w:val="20"/>
          <w:color w:val="auto"/>
        </w:rPr>
        <w:t>”).</w:t>
      </w:r>
    </w:p>
    <w:p>
      <w:pPr>
        <w:spacing w:after="0" w:line="163" w:lineRule="exact"/>
        <w:rPr>
          <w:sz w:val="20"/>
          <w:szCs w:val="20"/>
          <w:color w:val="auto"/>
        </w:rPr>
      </w:pPr>
    </w:p>
    <w:p>
      <w:pPr>
        <w:ind w:left="440" w:hanging="432"/>
        <w:spacing w:after="0"/>
        <w:tabs>
          <w:tab w:leader="none" w:pos="440" w:val="left"/>
        </w:tabs>
        <w:numPr>
          <w:ilvl w:val="0"/>
          <w:numId w:val="11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Severability</w:t>
      </w:r>
    </w:p>
    <w:p>
      <w:pPr>
        <w:spacing w:after="0" w:line="204"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will automatically be deemed amended in a manner consistent with its objectives to the extent necessary to conform to any limitations required under applicable law.</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141" w:lineRule="exact"/>
        <w:rPr>
          <w:sz w:val="20"/>
          <w:szCs w:val="20"/>
          <w:color w:val="auto"/>
        </w:rPr>
      </w:pPr>
    </w:p>
    <w:p>
      <w:pPr>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411480</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4" w:name="page105"/>
    <w:bookmarkEnd w:id="104"/>
    <w:p>
      <w:pPr>
        <w:ind w:left="440" w:hanging="432"/>
        <w:spacing w:after="0"/>
        <w:tabs>
          <w:tab w:leader="none" w:pos="440" w:val="left"/>
        </w:tabs>
        <w:numPr>
          <w:ilvl w:val="0"/>
          <w:numId w:val="12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Amendment and Termination</w:t>
      </w:r>
    </w:p>
    <w:p>
      <w:pPr>
        <w:spacing w:after="0" w:line="204"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The Board or the Committee may amend, modify or terminate this Policy in whole or in part at any time and from time to time in its sole discretion. This Policy will terminate automatically when the Company does not have a class of securities listed on the NYSE.</w:t>
      </w:r>
    </w:p>
    <w:p>
      <w:pPr>
        <w:spacing w:after="0" w:line="169" w:lineRule="exact"/>
        <w:rPr>
          <w:sz w:val="20"/>
          <w:szCs w:val="20"/>
          <w:color w:val="auto"/>
        </w:rPr>
      </w:pPr>
    </w:p>
    <w:p>
      <w:pPr>
        <w:ind w:left="440" w:hanging="432"/>
        <w:spacing w:after="0"/>
        <w:tabs>
          <w:tab w:leader="none" w:pos="440" w:val="left"/>
        </w:tabs>
        <w:numPr>
          <w:ilvl w:val="0"/>
          <w:numId w:val="12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Definitions</w:t>
      </w:r>
    </w:p>
    <w:p>
      <w:pPr>
        <w:spacing w:after="0" w:line="137" w:lineRule="exact"/>
        <w:rPr>
          <w:sz w:val="20"/>
          <w:szCs w:val="20"/>
          <w:color w:val="auto"/>
        </w:rPr>
      </w:pPr>
    </w:p>
    <w:p>
      <w:pPr>
        <w:jc w:val="both"/>
        <w:ind w:firstLine="440"/>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Applicable Rules</w:t>
      </w:r>
      <w:r>
        <w:rPr>
          <w:rFonts w:ascii="Arial" w:cs="Arial" w:eastAsia="Arial" w:hAnsi="Arial"/>
          <w:sz w:val="20"/>
          <w:szCs w:val="20"/>
          <w:color w:val="auto"/>
        </w:rPr>
        <w:t>” means Section 10D of the Exchange Act, Rule 10D-1 promulgated thereunder, the listing rules of the NYSE, and any applicable rules, standards or other guidance adopted by the US Securities and Exchange Commission or the NYSE.</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means the Securities Exchange Act of 1934, as amended.</w:t>
      </w:r>
    </w:p>
    <w:p>
      <w:pPr>
        <w:spacing w:after="0" w:line="20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Financial Reporting Measure</w:t>
      </w:r>
      <w:r>
        <w:rPr>
          <w:rFonts w:ascii="Arial" w:cs="Arial" w:eastAsia="Arial" w:hAnsi="Arial"/>
          <w:sz w:val="20"/>
          <w:szCs w:val="20"/>
          <w:color w:val="auto"/>
        </w:rPr>
        <w:t>” means any measure determined and presented in accordance with the accounting principles used in preparing the Company’s financial statements, and any measures derived wholly or in part from such measures, including GAAP and non-GAAP financial measures, as well as stock or share price and total shareholder return.</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GAAP</w:t>
      </w:r>
      <w:r>
        <w:rPr>
          <w:rFonts w:ascii="Arial" w:cs="Arial" w:eastAsia="Arial" w:hAnsi="Arial"/>
          <w:sz w:val="20"/>
          <w:szCs w:val="20"/>
          <w:color w:val="auto"/>
        </w:rPr>
        <w:t>” means United States generally accepted accounting principles.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Impracticable</w:t>
      </w:r>
      <w:r>
        <w:rPr>
          <w:rFonts w:ascii="Arial" w:cs="Arial" w:eastAsia="Arial" w:hAnsi="Arial"/>
          <w:sz w:val="20"/>
          <w:szCs w:val="20"/>
          <w:color w:val="auto"/>
        </w:rPr>
        <w:t>” means:</w:t>
      </w:r>
    </w:p>
    <w:p>
      <w:pPr>
        <w:spacing w:after="0" w:line="202" w:lineRule="exact"/>
        <w:rPr>
          <w:sz w:val="20"/>
          <w:szCs w:val="20"/>
          <w:color w:val="auto"/>
        </w:rPr>
      </w:pPr>
    </w:p>
    <w:p>
      <w:pPr>
        <w:ind w:firstLine="757"/>
        <w:spacing w:after="0" w:line="234" w:lineRule="auto"/>
        <w:tabs>
          <w:tab w:leader="none" w:pos="1063" w:val="left"/>
        </w:tabs>
        <w:numPr>
          <w:ilvl w:val="0"/>
          <w:numId w:val="122"/>
        </w:numPr>
        <w:rPr>
          <w:rFonts w:ascii="Arial" w:cs="Arial" w:eastAsia="Arial" w:hAnsi="Arial"/>
          <w:sz w:val="20"/>
          <w:szCs w:val="20"/>
          <w:color w:val="auto"/>
        </w:rPr>
      </w:pPr>
      <w:r>
        <w:rPr>
          <w:rFonts w:ascii="Arial" w:cs="Arial" w:eastAsia="Arial" w:hAnsi="Arial"/>
          <w:sz w:val="20"/>
          <w:szCs w:val="20"/>
          <w:color w:val="auto"/>
        </w:rPr>
        <w:t xml:space="preserve">the direct costs paid to third parties to assist in enforcing recovery would exceed the Recoverable Compensation,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the Company has:</w:t>
      </w:r>
    </w:p>
    <w:p>
      <w:pPr>
        <w:spacing w:after="0" w:line="1" w:lineRule="exact"/>
        <w:rPr>
          <w:rFonts w:ascii="Arial" w:cs="Arial" w:eastAsia="Arial" w:hAnsi="Arial"/>
          <w:sz w:val="20"/>
          <w:szCs w:val="20"/>
          <w:color w:val="auto"/>
        </w:rPr>
      </w:pPr>
    </w:p>
    <w:p>
      <w:pPr>
        <w:ind w:left="1740" w:hanging="235"/>
        <w:spacing w:after="0" w:line="225" w:lineRule="auto"/>
        <w:tabs>
          <w:tab w:leader="none" w:pos="1740" w:val="left"/>
        </w:tabs>
        <w:numPr>
          <w:ilvl w:val="1"/>
          <w:numId w:val="122"/>
        </w:numPr>
        <w:rPr>
          <w:rFonts w:ascii="Arial" w:cs="Arial" w:eastAsia="Arial" w:hAnsi="Arial"/>
          <w:sz w:val="20"/>
          <w:szCs w:val="20"/>
          <w:color w:val="auto"/>
        </w:rPr>
      </w:pPr>
      <w:r>
        <w:rPr>
          <w:rFonts w:ascii="Arial" w:cs="Arial" w:eastAsia="Arial" w:hAnsi="Arial"/>
          <w:sz w:val="20"/>
          <w:szCs w:val="20"/>
          <w:color w:val="auto"/>
        </w:rPr>
        <w:t>made reasonable attempts to recover the Recoverable Compensation;</w:t>
      </w:r>
    </w:p>
    <w:p>
      <w:pPr>
        <w:ind w:left="1780" w:hanging="275"/>
        <w:spacing w:after="0" w:line="225" w:lineRule="auto"/>
        <w:tabs>
          <w:tab w:leader="none" w:pos="1780" w:val="left"/>
        </w:tabs>
        <w:numPr>
          <w:ilvl w:val="1"/>
          <w:numId w:val="122"/>
        </w:numPr>
        <w:rPr>
          <w:rFonts w:ascii="Arial" w:cs="Arial" w:eastAsia="Arial" w:hAnsi="Arial"/>
          <w:sz w:val="20"/>
          <w:szCs w:val="20"/>
          <w:color w:val="auto"/>
        </w:rPr>
      </w:pPr>
      <w:r>
        <w:rPr>
          <w:rFonts w:ascii="Arial" w:cs="Arial" w:eastAsia="Arial" w:hAnsi="Arial"/>
          <w:sz w:val="20"/>
          <w:szCs w:val="20"/>
          <w:color w:val="auto"/>
        </w:rPr>
        <w:t>documented such attempt(s); and</w:t>
      </w:r>
    </w:p>
    <w:p>
      <w:pPr>
        <w:ind w:left="1820" w:hanging="315"/>
        <w:spacing w:after="0"/>
        <w:tabs>
          <w:tab w:leader="none" w:pos="1820" w:val="left"/>
        </w:tabs>
        <w:numPr>
          <w:ilvl w:val="1"/>
          <w:numId w:val="122"/>
        </w:numPr>
        <w:rPr>
          <w:rFonts w:ascii="Arial" w:cs="Arial" w:eastAsia="Arial" w:hAnsi="Arial"/>
          <w:sz w:val="20"/>
          <w:szCs w:val="20"/>
          <w:color w:val="auto"/>
        </w:rPr>
      </w:pPr>
      <w:r>
        <w:rPr>
          <w:rFonts w:ascii="Arial" w:cs="Arial" w:eastAsia="Arial" w:hAnsi="Arial"/>
          <w:sz w:val="20"/>
          <w:szCs w:val="20"/>
          <w:color w:val="auto"/>
        </w:rPr>
        <w:t>provided such documentation to the NYSE; or</w:t>
      </w:r>
    </w:p>
    <w:p>
      <w:pPr>
        <w:spacing w:after="0" w:line="184" w:lineRule="exact"/>
        <w:rPr>
          <w:rFonts w:ascii="Arial" w:cs="Arial" w:eastAsia="Arial" w:hAnsi="Arial"/>
          <w:sz w:val="20"/>
          <w:szCs w:val="20"/>
          <w:color w:val="auto"/>
        </w:rPr>
      </w:pPr>
    </w:p>
    <w:p>
      <w:pPr>
        <w:jc w:val="both"/>
        <w:ind w:firstLine="757"/>
        <w:spacing w:after="0" w:line="241" w:lineRule="auto"/>
        <w:tabs>
          <w:tab w:leader="none" w:pos="105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recovery would likely cause an otherwise tax-qualified retirement plan, under which benefits are broadly available to employees of the Company, to fail to meet the requirements of 26 U.S.C. 401(a)(13) or 26 U.S.C. 411(a) and the regulations thereunder.</w:t>
      </w:r>
    </w:p>
    <w:p>
      <w:pPr>
        <w:spacing w:after="0" w:line="171"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Incentive-Based Compensation</w:t>
      </w:r>
      <w:r>
        <w:rPr>
          <w:rFonts w:ascii="Arial" w:cs="Arial" w:eastAsia="Arial" w:hAnsi="Arial"/>
          <w:sz w:val="20"/>
          <w:szCs w:val="20"/>
          <w:color w:val="auto"/>
        </w:rPr>
        <w:t>” means, with respect to a Restatement, any compensation that is granted, earned, or vested based wholly or in part upon the attainment of one or more Financial Reporting Measures and received by a person:</w:t>
      </w:r>
    </w:p>
    <w:p>
      <w:pPr>
        <w:spacing w:after="0" w:line="2" w:lineRule="exact"/>
        <w:rPr>
          <w:sz w:val="20"/>
          <w:szCs w:val="20"/>
          <w:color w:val="auto"/>
        </w:rPr>
      </w:pPr>
    </w:p>
    <w:p>
      <w:pPr>
        <w:jc w:val="both"/>
        <w:ind w:firstLine="8"/>
        <w:spacing w:after="0" w:line="234" w:lineRule="auto"/>
        <w:tabs>
          <w:tab w:leader="none" w:pos="333" w:val="left"/>
        </w:tabs>
        <w:numPr>
          <w:ilvl w:val="0"/>
          <w:numId w:val="123"/>
        </w:numPr>
        <w:rPr>
          <w:rFonts w:ascii="Arial" w:cs="Arial" w:eastAsia="Arial" w:hAnsi="Arial"/>
          <w:sz w:val="20"/>
          <w:szCs w:val="20"/>
          <w:color w:val="auto"/>
        </w:rPr>
      </w:pPr>
      <w:r>
        <w:rPr>
          <w:rFonts w:ascii="Arial" w:cs="Arial" w:eastAsia="Arial" w:hAnsi="Arial"/>
          <w:sz w:val="20"/>
          <w:szCs w:val="20"/>
          <w:color w:val="auto"/>
        </w:rPr>
        <w:t>after beginning service as an Officer; (b) who served as an Officer at any time during the performance period for that compensation; (c) while the Company has a class of its securities listed on the NYSE; and (d) during the applicable Three-Year Period.</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NYSE</w:t>
      </w:r>
      <w:r>
        <w:rPr>
          <w:rFonts w:ascii="Arial" w:cs="Arial" w:eastAsia="Arial" w:hAnsi="Arial"/>
          <w:sz w:val="20"/>
          <w:szCs w:val="20"/>
          <w:color w:val="auto"/>
        </w:rPr>
        <w:t>” means the New York Stock Exchange.</w:t>
      </w:r>
    </w:p>
    <w:p>
      <w:pPr>
        <w:spacing w:after="0" w:line="169" w:lineRule="exact"/>
        <w:rPr>
          <w:sz w:val="20"/>
          <w:szCs w:val="20"/>
          <w:color w:val="auto"/>
        </w:rPr>
      </w:pPr>
    </w:p>
    <w:p>
      <w:pPr>
        <w:jc w:val="both"/>
        <w:ind w:firstLine="749"/>
        <w:spacing w:after="0" w:line="262" w:lineRule="exact"/>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Officer</w:t>
      </w:r>
      <w:r>
        <w:rPr>
          <w:rFonts w:ascii="Arial" w:cs="Arial" w:eastAsia="Arial" w:hAnsi="Arial"/>
          <w:sz w:val="20"/>
          <w:szCs w:val="20"/>
          <w:color w:val="auto"/>
        </w:rPr>
        <w:t>” means each person who serves as an executive officer of the Company, as defined in Rule 10D</w:t>
      </w:r>
      <w:r>
        <w:rPr>
          <w:rFonts w:ascii="MS PGothic" w:cs="MS PGothic" w:eastAsia="MS PGothic" w:hAnsi="MS PGothic"/>
          <w:sz w:val="20"/>
          <w:szCs w:val="20"/>
          <w:color w:val="auto"/>
        </w:rPr>
        <w:t>‑</w:t>
      </w:r>
      <w:r>
        <w:rPr>
          <w:rFonts w:ascii="Arial" w:cs="Arial" w:eastAsia="Arial" w:hAnsi="Arial"/>
          <w:sz w:val="20"/>
          <w:szCs w:val="20"/>
          <w:color w:val="auto"/>
        </w:rPr>
        <w:t>1(d) under the Exchange Act.</w:t>
      </w:r>
    </w:p>
    <w:p>
      <w:pPr>
        <w:spacing w:after="0" w:line="171" w:lineRule="exact"/>
        <w:rPr>
          <w:sz w:val="20"/>
          <w:szCs w:val="20"/>
          <w:color w:val="auto"/>
        </w:rPr>
      </w:pPr>
    </w:p>
    <w:p>
      <w:pPr>
        <w:jc w:val="both"/>
        <w:ind w:right="20" w:firstLine="749"/>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Recoverable Compensation</w:t>
      </w:r>
      <w:r>
        <w:rPr>
          <w:rFonts w:ascii="Arial" w:cs="Arial" w:eastAsia="Arial" w:hAnsi="Arial"/>
          <w:sz w:val="20"/>
          <w:szCs w:val="20"/>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127" w:lineRule="exact"/>
        <w:rPr>
          <w:sz w:val="20"/>
          <w:szCs w:val="20"/>
          <w:color w:val="auto"/>
        </w:rPr>
      </w:pPr>
    </w:p>
    <w:p>
      <w:pPr>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411480</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05" w:name="page106"/>
    <w:bookmarkEnd w:id="105"/>
    <w:p>
      <w:pPr>
        <w:jc w:val="both"/>
        <w:ind w:firstLine="749"/>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Restatement</w:t>
      </w:r>
      <w:r>
        <w:rPr>
          <w:rFonts w:ascii="Arial" w:cs="Arial" w:eastAsia="Arial" w:hAnsi="Arial"/>
          <w:sz w:val="20"/>
          <w:szCs w:val="20"/>
          <w:color w:val="auto"/>
        </w:rPr>
        <w: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spacing w:after="0" w:line="172" w:lineRule="exact"/>
        <w:rPr>
          <w:sz w:val="20"/>
          <w:szCs w:val="20"/>
          <w:color w:val="auto"/>
        </w:rPr>
      </w:pPr>
    </w:p>
    <w:p>
      <w:pPr>
        <w:jc w:val="both"/>
        <w:ind w:firstLine="749"/>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Three-Year Period</w:t>
      </w:r>
      <w:r>
        <w:rPr>
          <w:rFonts w:ascii="Arial" w:cs="Arial" w:eastAsia="Arial" w:hAnsi="Arial"/>
          <w:sz w:val="20"/>
          <w:szCs w:val="20"/>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141" w:lineRule="exact"/>
        <w:rPr>
          <w:sz w:val="20"/>
          <w:szCs w:val="20"/>
          <w:color w:val="auto"/>
        </w:rPr>
      </w:pPr>
    </w:p>
    <w:p>
      <w:pPr>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411480</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6" w:name="page107"/>
    <w:bookmarkEnd w:id="10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
      <w:numFmt w:val="bullet"/>
      <w:start w:val="1"/>
    </w:lvl>
  </w:abstractNum>
  <w:abstractNum w:abstractNumId="5">
    <w:nsid w:val="5FF87E05"/>
    <w:multiLevelType w:val="hybridMultilevel"/>
    <w:lvl w:ilvl="0">
      <w:lvlJc w:val="left"/>
      <w:lvlText w:val="•"/>
      <w:numFmt w:val="bullet"/>
      <w:start w:val="1"/>
    </w:lvl>
  </w:abstractNum>
  <w:abstractNum w:abstractNumId="6">
    <w:nsid w:val="2F305DEF"/>
    <w:multiLevelType w:val="hybridMultilevel"/>
    <w:lvl w:ilvl="0">
      <w:lvlJc w:val="left"/>
      <w:lvlText w:val="•"/>
      <w:numFmt w:val="bullet"/>
      <w:start w:val="1"/>
    </w:lvl>
  </w:abstractNum>
  <w:abstractNum w:abstractNumId="7">
    <w:nsid w:val="25A70BF7"/>
    <w:multiLevelType w:val="hybridMultilevel"/>
    <w:lvl w:ilvl="0">
      <w:lvlJc w:val="left"/>
      <w:lvlText w:val="•"/>
      <w:numFmt w:val="bullet"/>
      <w:start w:val="1"/>
    </w:lvl>
  </w:abstractNum>
  <w:abstractNum w:abstractNumId="8">
    <w:nsid w:val="1DBABF00"/>
    <w:multiLevelType w:val="hybridMultilevel"/>
    <w:lvl w:ilvl="0">
      <w:lvlJc w:val="left"/>
      <w:lvlText w:val="•"/>
      <w:numFmt w:val="bullet"/>
      <w:start w:val="1"/>
    </w:lvl>
  </w:abstractNum>
  <w:abstractNum w:abstractNumId="9">
    <w:nsid w:val="4AD084E9"/>
    <w:multiLevelType w:val="hybridMultilevel"/>
    <w:lvl w:ilvl="0">
      <w:lvlJc w:val="left"/>
      <w:lvlText w:val="-"/>
      <w:numFmt w:val="bullet"/>
      <w:start w:val="1"/>
    </w:lvl>
  </w:abstractNum>
  <w:abstractNum w:abstractNumId="10">
    <w:nsid w:val="1F48EAA1"/>
    <w:multiLevelType w:val="hybridMultilevel"/>
    <w:lvl w:ilvl="0">
      <w:lvlJc w:val="left"/>
      <w:lvlText w:val="•"/>
      <w:numFmt w:val="bullet"/>
      <w:start w:val="1"/>
    </w:lvl>
  </w:abstractNum>
  <w:abstractNum w:abstractNumId="11">
    <w:nsid w:val="1381823A"/>
    <w:multiLevelType w:val="hybridMultilevel"/>
    <w:lvl w:ilvl="0">
      <w:lvlJc w:val="left"/>
      <w:lvlText w:val="•"/>
      <w:numFmt w:val="bullet"/>
      <w:start w:val="1"/>
    </w:lvl>
  </w:abstractNum>
  <w:abstractNum w:abstractNumId="12">
    <w:nsid w:val="5DB70AE5"/>
    <w:multiLevelType w:val="hybridMultilevel"/>
    <w:lvl w:ilvl="0">
      <w:lvlJc w:val="left"/>
      <w:lvlText w:val="•"/>
      <w:numFmt w:val="bullet"/>
      <w:start w:val="1"/>
    </w:lvl>
  </w:abstractNum>
  <w:abstractNum w:abstractNumId="13">
    <w:nsid w:val="100F8FCA"/>
    <w:multiLevelType w:val="hybridMultilevel"/>
    <w:lvl w:ilvl="0">
      <w:lvlJc w:val="left"/>
      <w:lvlText w:val="•"/>
      <w:numFmt w:val="bullet"/>
      <w:start w:val="1"/>
    </w:lvl>
  </w:abstractNum>
  <w:abstractNum w:abstractNumId="14">
    <w:nsid w:val="6590700B"/>
    <w:multiLevelType w:val="hybridMultilevel"/>
    <w:lvl w:ilvl="0">
      <w:lvlJc w:val="left"/>
      <w:lvlText w:val="(%1)"/>
      <w:numFmt w:val="decimal"/>
      <w:start w:val="1"/>
    </w:lvl>
  </w:abstractNum>
  <w:abstractNum w:abstractNumId="15">
    <w:nsid w:val="15014ACB"/>
    <w:multiLevelType w:val="hybridMultilevel"/>
    <w:lvl w:ilvl="0">
      <w:lvlJc w:val="left"/>
      <w:lvlText w:val="(%1)"/>
      <w:numFmt w:val="decimal"/>
      <w:start w:val="1"/>
    </w:lvl>
  </w:abstractNum>
  <w:abstractNum w:abstractNumId="16">
    <w:nsid w:val="5F5E7FD0"/>
    <w:multiLevelType w:val="hybridMultilevel"/>
    <w:lvl w:ilvl="0">
      <w:lvlJc w:val="left"/>
      <w:lvlText w:val="$"/>
      <w:numFmt w:val="bullet"/>
      <w:start w:val="1"/>
    </w:lvl>
  </w:abstractNum>
  <w:abstractNum w:abstractNumId="17">
    <w:nsid w:val="98A3148"/>
    <w:multiLevelType w:val="hybridMultilevel"/>
    <w:lvl w:ilvl="0">
      <w:lvlJc w:val="left"/>
      <w:lvlText w:val="$"/>
      <w:numFmt w:val="bullet"/>
      <w:start w:val="1"/>
    </w:lvl>
  </w:abstractNum>
  <w:abstractNum w:abstractNumId="18">
    <w:nsid w:val="799D0247"/>
    <w:multiLevelType w:val="hybridMultilevel"/>
    <w:lvl w:ilvl="0">
      <w:lvlJc w:val="left"/>
      <w:lvlText w:val="$"/>
      <w:numFmt w:val="bullet"/>
      <w:start w:val="1"/>
    </w:lvl>
  </w:abstractNum>
  <w:abstractNum w:abstractNumId="19">
    <w:nsid w:val="6B94764"/>
    <w:multiLevelType w:val="hybridMultilevel"/>
    <w:lvl w:ilvl="0">
      <w:lvlJc w:val="left"/>
      <w:lvlText w:val="$"/>
      <w:numFmt w:val="bullet"/>
      <w:start w:val="1"/>
    </w:lvl>
  </w:abstractNum>
  <w:abstractNum w:abstractNumId="20">
    <w:nsid w:val="42C296BD"/>
    <w:multiLevelType w:val="hybridMultilevel"/>
    <w:lvl w:ilvl="0">
      <w:lvlJc w:val="left"/>
      <w:lvlText w:val="(%1)"/>
      <w:numFmt w:val="decimal"/>
      <w:start w:val="1"/>
    </w:lvl>
  </w:abstractNum>
  <w:abstractNum w:abstractNumId="21">
    <w:nsid w:val="168E121F"/>
    <w:multiLevelType w:val="hybridMultilevel"/>
    <w:lvl w:ilvl="0">
      <w:lvlJc w:val="left"/>
      <w:lvlText w:val="•"/>
      <w:numFmt w:val="bullet"/>
      <w:start w:val="1"/>
    </w:lvl>
  </w:abstractNum>
  <w:abstractNum w:abstractNumId="22">
    <w:nsid w:val="1EBA5D23"/>
    <w:multiLevelType w:val="hybridMultilevel"/>
    <w:lvl w:ilvl="0">
      <w:lvlJc w:val="left"/>
      <w:lvlText w:val="•"/>
      <w:numFmt w:val="bullet"/>
      <w:start w:val="1"/>
    </w:lvl>
  </w:abstractNum>
  <w:abstractNum w:abstractNumId="23">
    <w:nsid w:val="661E3F1E"/>
    <w:multiLevelType w:val="hybridMultilevel"/>
    <w:lvl w:ilvl="0">
      <w:lvlJc w:val="left"/>
      <w:lvlText w:val="•"/>
      <w:numFmt w:val="bullet"/>
      <w:start w:val="1"/>
    </w:lvl>
  </w:abstractNum>
  <w:abstractNum w:abstractNumId="24">
    <w:nsid w:val="5DC79EA8"/>
    <w:multiLevelType w:val="hybridMultilevel"/>
    <w:lvl w:ilvl="0">
      <w:lvlJc w:val="left"/>
      <w:lvlText w:val="(%1)"/>
      <w:numFmt w:val="decimal"/>
      <w:start w:val="1"/>
    </w:lvl>
  </w:abstractNum>
  <w:abstractNum w:abstractNumId="25">
    <w:nsid w:val="540A471C"/>
    <w:multiLevelType w:val="hybridMultilevel"/>
    <w:lvl w:ilvl="0">
      <w:lvlJc w:val="left"/>
      <w:lvlText w:val="%1."/>
      <w:numFmt w:val="decimal"/>
      <w:start w:val="1"/>
    </w:lvl>
  </w:abstractNum>
  <w:abstractNum w:abstractNumId="26">
    <w:nsid w:val="7BD3EE7B"/>
    <w:multiLevelType w:val="hybridMultilevel"/>
    <w:lvl w:ilvl="0">
      <w:lvlJc w:val="left"/>
      <w:lvlText w:val="%1."/>
      <w:numFmt w:val="decimal"/>
      <w:start w:val="2"/>
    </w:lvl>
  </w:abstractNum>
  <w:abstractNum w:abstractNumId="27">
    <w:nsid w:val="51D9C564"/>
    <w:multiLevelType w:val="hybridMultilevel"/>
    <w:lvl w:ilvl="0">
      <w:lvlJc w:val="left"/>
      <w:lvlText w:val="•"/>
      <w:numFmt w:val="bullet"/>
      <w:start w:val="1"/>
    </w:lvl>
  </w:abstractNum>
  <w:abstractNum w:abstractNumId="28">
    <w:nsid w:val="613EFDC5"/>
    <w:multiLevelType w:val="hybridMultilevel"/>
    <w:lvl w:ilvl="0">
      <w:lvlJc w:val="left"/>
      <w:lvlText w:val="•"/>
      <w:numFmt w:val="bullet"/>
      <w:start w:val="1"/>
    </w:lvl>
  </w:abstractNum>
  <w:abstractNum w:abstractNumId="29">
    <w:nsid w:val="BF72B14"/>
    <w:multiLevelType w:val="hybridMultilevel"/>
    <w:lvl w:ilvl="0">
      <w:lvlJc w:val="left"/>
      <w:lvlText w:val="•"/>
      <w:numFmt w:val="bullet"/>
      <w:start w:val="1"/>
    </w:lvl>
  </w:abstractNum>
  <w:abstractNum w:abstractNumId="30">
    <w:nsid w:val="11447B73"/>
    <w:multiLevelType w:val="hybridMultilevel"/>
    <w:lvl w:ilvl="0">
      <w:lvlJc w:val="left"/>
      <w:lvlText w:val="•"/>
      <w:numFmt w:val="bullet"/>
      <w:start w:val="1"/>
    </w:lvl>
  </w:abstractNum>
  <w:abstractNum w:abstractNumId="31">
    <w:nsid w:val="42963E5A"/>
    <w:multiLevelType w:val="hybridMultilevel"/>
    <w:lvl w:ilvl="0">
      <w:lvlJc w:val="left"/>
      <w:lvlText w:val="•"/>
      <w:numFmt w:val="bullet"/>
      <w:start w:val="1"/>
    </w:lvl>
  </w:abstractNum>
  <w:abstractNum w:abstractNumId="32">
    <w:nsid w:val="A0382C5"/>
    <w:multiLevelType w:val="hybridMultilevel"/>
    <w:lvl w:ilvl="0">
      <w:lvlJc w:val="left"/>
      <w:lvlText w:val="%1."/>
      <w:numFmt w:val="decimal"/>
      <w:start w:val="3"/>
    </w:lvl>
    <w:lvl w:ilvl="1">
      <w:lvlJc w:val="left"/>
      <w:lvlText w:val="•"/>
      <w:numFmt w:val="bullet"/>
      <w:start w:val="1"/>
    </w:lvl>
  </w:abstractNum>
  <w:abstractNum w:abstractNumId="33">
    <w:nsid w:val="8F2B15E"/>
    <w:multiLevelType w:val="hybridMultilevel"/>
    <w:lvl w:ilvl="0">
      <w:lvlJc w:val="left"/>
      <w:lvlText w:val="%1."/>
      <w:numFmt w:val="decimal"/>
      <w:start w:val="5"/>
    </w:lvl>
  </w:abstractNum>
  <w:abstractNum w:abstractNumId="34">
    <w:nsid w:val="1A32234B"/>
    <w:multiLevelType w:val="hybridMultilevel"/>
    <w:lvl w:ilvl="0">
      <w:lvlJc w:val="left"/>
      <w:lvlText w:val="%1."/>
      <w:numFmt w:val="decimal"/>
      <w:start w:val="6"/>
    </w:lvl>
  </w:abstractNum>
  <w:abstractNum w:abstractNumId="35">
    <w:nsid w:val="3B0FD379"/>
    <w:multiLevelType w:val="hybridMultilevel"/>
    <w:lvl w:ilvl="0">
      <w:lvlJc w:val="left"/>
      <w:lvlText w:val="(%1)"/>
      <w:numFmt w:val="decimal"/>
      <w:start w:val="1"/>
    </w:lvl>
  </w:abstractNum>
  <w:abstractNum w:abstractNumId="36">
    <w:nsid w:val="68EB2F63"/>
    <w:multiLevelType w:val="hybridMultilevel"/>
    <w:lvl w:ilvl="0">
      <w:lvlJc w:val="left"/>
      <w:lvlText w:val="(%1)"/>
      <w:numFmt w:val="decimal"/>
      <w:start w:val="2"/>
    </w:lvl>
  </w:abstractNum>
  <w:abstractNum w:abstractNumId="37">
    <w:nsid w:val="4962813B"/>
    <w:multiLevelType w:val="hybridMultilevel"/>
    <w:lvl w:ilvl="0">
      <w:lvlJc w:val="left"/>
      <w:lvlText w:val="%1."/>
      <w:numFmt w:val="decimal"/>
      <w:start w:val="7"/>
    </w:lvl>
  </w:abstractNum>
  <w:abstractNum w:abstractNumId="38">
    <w:nsid w:val="60B6DF70"/>
    <w:multiLevelType w:val="hybridMultilevel"/>
    <w:lvl w:ilvl="0">
      <w:lvlJc w:val="left"/>
      <w:lvlText w:val="%1."/>
      <w:numFmt w:val="decimal"/>
      <w:start w:val="9"/>
    </w:lvl>
  </w:abstractNum>
  <w:abstractNum w:abstractNumId="39">
    <w:nsid w:val="6A5EE64"/>
    <w:multiLevelType w:val="hybridMultilevel"/>
    <w:lvl w:ilvl="0">
      <w:lvlJc w:val="left"/>
      <w:lvlText w:val="%1."/>
      <w:numFmt w:val="decimal"/>
      <w:start w:val="10"/>
    </w:lvl>
  </w:abstractNum>
  <w:abstractNum w:abstractNumId="40">
    <w:nsid w:val="14330624"/>
    <w:multiLevelType w:val="hybridMultilevel"/>
    <w:lvl w:ilvl="0">
      <w:lvlJc w:val="left"/>
      <w:lvlText w:val="•"/>
      <w:numFmt w:val="bullet"/>
      <w:start w:val="1"/>
    </w:lvl>
  </w:abstractNum>
  <w:abstractNum w:abstractNumId="41">
    <w:nsid w:val="7FFFCA11"/>
    <w:multiLevelType w:val="hybridMultilevel"/>
    <w:lvl w:ilvl="0">
      <w:lvlJc w:val="left"/>
      <w:lvlText w:val="•"/>
      <w:numFmt w:val="bullet"/>
      <w:start w:val="1"/>
    </w:lvl>
  </w:abstractNum>
  <w:abstractNum w:abstractNumId="42">
    <w:nsid w:val="1A27709E"/>
    <w:multiLevelType w:val="hybridMultilevel"/>
    <w:lvl w:ilvl="0">
      <w:lvlJc w:val="left"/>
      <w:lvlText w:val="%1."/>
      <w:numFmt w:val="decimal"/>
      <w:start w:val="11"/>
    </w:lvl>
  </w:abstractNum>
  <w:abstractNum w:abstractNumId="43">
    <w:nsid w:val="71EA1109"/>
    <w:multiLevelType w:val="hybridMultilevel"/>
    <w:lvl w:ilvl="0">
      <w:lvlJc w:val="left"/>
      <w:lvlText w:val="%1."/>
      <w:numFmt w:val="decimal"/>
      <w:start w:val="12"/>
    </w:lvl>
  </w:abstractNum>
  <w:abstractNum w:abstractNumId="44">
    <w:nsid w:val="100F59DC"/>
    <w:multiLevelType w:val="hybridMultilevel"/>
    <w:lvl w:ilvl="0">
      <w:lvlJc w:val="left"/>
      <w:lvlText w:val="%1."/>
      <w:numFmt w:val="decimal"/>
      <w:start w:val="13"/>
    </w:lvl>
  </w:abstractNum>
  <w:abstractNum w:abstractNumId="45">
    <w:nsid w:val="7FB7E0AA"/>
    <w:multiLevelType w:val="hybridMultilevel"/>
    <w:lvl w:ilvl="0">
      <w:lvlJc w:val="left"/>
      <w:lvlText w:val="%1."/>
      <w:numFmt w:val="decimal"/>
      <w:start w:val="14"/>
    </w:lvl>
  </w:abstractNum>
  <w:abstractNum w:abstractNumId="46">
    <w:nsid w:val="6EB5BD4"/>
    <w:multiLevelType w:val="hybridMultilevel"/>
    <w:lvl w:ilvl="0">
      <w:lvlJc w:val="left"/>
      <w:lvlText w:val="%1."/>
      <w:numFmt w:val="decimal"/>
      <w:start w:val="15"/>
    </w:lvl>
  </w:abstractNum>
  <w:abstractNum w:abstractNumId="47">
    <w:nsid w:val="6F6DD9AC"/>
    <w:multiLevelType w:val="hybridMultilevel"/>
    <w:lvl w:ilvl="0">
      <w:lvlJc w:val="left"/>
      <w:lvlText w:val="%1."/>
      <w:numFmt w:val="decimal"/>
      <w:start w:val="16"/>
    </w:lvl>
  </w:abstractNum>
  <w:abstractNum w:abstractNumId="48">
    <w:nsid w:val="94211F2"/>
    <w:multiLevelType w:val="hybridMultilevel"/>
    <w:lvl w:ilvl="0">
      <w:lvlJc w:val="left"/>
      <w:lvlText w:val="•"/>
      <w:numFmt w:val="bullet"/>
      <w:start w:val="1"/>
    </w:lvl>
  </w:abstractNum>
  <w:abstractNum w:abstractNumId="49">
    <w:nsid w:val="885E1B"/>
    <w:multiLevelType w:val="hybridMultilevel"/>
    <w:lvl w:ilvl="0">
      <w:lvlJc w:val="left"/>
      <w:lvlText w:val="(%1)"/>
      <w:numFmt w:val="decimal"/>
      <w:start w:val="1"/>
    </w:lvl>
  </w:abstractNum>
  <w:abstractNum w:abstractNumId="50">
    <w:nsid w:val="76272110"/>
    <w:multiLevelType w:val="hybridMultilevel"/>
    <w:lvl w:ilvl="0">
      <w:lvlJc w:val="left"/>
      <w:lvlText w:val="%1."/>
      <w:numFmt w:val="decimal"/>
      <w:start w:val="17"/>
    </w:lvl>
  </w:abstractNum>
  <w:abstractNum w:abstractNumId="51">
    <w:nsid w:val="4C04A8AF"/>
    <w:multiLevelType w:val="hybridMultilevel"/>
    <w:lvl w:ilvl="0">
      <w:lvlJc w:val="left"/>
      <w:lvlText w:val="•"/>
      <w:numFmt w:val="bullet"/>
      <w:start w:val="1"/>
    </w:lvl>
  </w:abstractNum>
  <w:abstractNum w:abstractNumId="52">
    <w:nsid w:val="1716703B"/>
    <w:multiLevelType w:val="hybridMultilevel"/>
    <w:lvl w:ilvl="0">
      <w:lvlJc w:val="left"/>
      <w:lvlText w:val="%1"/>
      <w:numFmt w:val="lowerLetter"/>
      <w:start w:val="1"/>
    </w:lvl>
    <w:lvl w:ilvl="1">
      <w:lvlJc w:val="left"/>
      <w:lvlText w:val="(%2)"/>
      <w:numFmt w:val="decimal"/>
      <w:start w:val="2"/>
    </w:lvl>
  </w:abstractNum>
  <w:abstractNum w:abstractNumId="53">
    <w:nsid w:val="14E17E33"/>
    <w:multiLevelType w:val="hybridMultilevel"/>
    <w:lvl w:ilvl="0">
      <w:lvlJc w:val="left"/>
      <w:lvlText w:val="(%1)"/>
      <w:numFmt w:val="lowerLetter"/>
      <w:start w:val="2"/>
    </w:lvl>
    <w:lvl w:ilvl="1">
      <w:lvlJc w:val="left"/>
      <w:lvlText w:val="%2"/>
      <w:numFmt w:val="decimal"/>
      <w:start w:val="1"/>
    </w:lvl>
  </w:abstractNum>
  <w:abstractNum w:abstractNumId="54">
    <w:nsid w:val="3222E7CD"/>
    <w:multiLevelType w:val="hybridMultilevel"/>
    <w:lvl w:ilvl="0">
      <w:lvlJc w:val="left"/>
      <w:lvlText w:val="."/>
      <w:numFmt w:val="bullet"/>
      <w:start w:val="1"/>
    </w:lvl>
  </w:abstractNum>
  <w:abstractNum w:abstractNumId="55">
    <w:nsid w:val="74DE0EE3"/>
    <w:multiLevelType w:val="hybridMultilevel"/>
    <w:lvl w:ilvl="0">
      <w:lvlJc w:val="left"/>
      <w:lvlText w:val="."/>
      <w:numFmt w:val="bullet"/>
      <w:start w:val="1"/>
    </w:lvl>
  </w:abstractNum>
  <w:abstractNum w:abstractNumId="56">
    <w:nsid w:val="68EBC550"/>
    <w:multiLevelType w:val="hybridMultilevel"/>
    <w:lvl w:ilvl="0">
      <w:lvlJc w:val="left"/>
      <w:lvlText w:val="."/>
      <w:numFmt w:val="bullet"/>
      <w:start w:val="1"/>
    </w:lvl>
  </w:abstractNum>
  <w:abstractNum w:abstractNumId="57">
    <w:nsid w:val="2DF6D648"/>
    <w:multiLevelType w:val="hybridMultilevel"/>
    <w:lvl w:ilvl="0">
      <w:lvlJc w:val="left"/>
      <w:lvlText w:val="."/>
      <w:numFmt w:val="bullet"/>
      <w:start w:val="1"/>
    </w:lvl>
  </w:abstractNum>
  <w:abstractNum w:abstractNumId="58">
    <w:nsid w:val="46B7D447"/>
    <w:multiLevelType w:val="hybridMultilevel"/>
    <w:lvl w:ilvl="0">
      <w:lvlJc w:val="left"/>
      <w:lvlText w:val="."/>
      <w:numFmt w:val="bullet"/>
      <w:start w:val="1"/>
    </w:lvl>
  </w:abstractNum>
  <w:abstractNum w:abstractNumId="59">
    <w:nsid w:val="4A2AC315"/>
    <w:multiLevelType w:val="hybridMultilevel"/>
    <w:lvl w:ilvl="0">
      <w:lvlJc w:val="left"/>
      <w:lvlText w:val="."/>
      <w:numFmt w:val="bullet"/>
      <w:start w:val="1"/>
    </w:lvl>
  </w:abstractNum>
  <w:abstractNum w:abstractNumId="60">
    <w:nsid w:val="39EE015C"/>
    <w:multiLevelType w:val="hybridMultilevel"/>
    <w:lvl w:ilvl="0">
      <w:lvlJc w:val="left"/>
      <w:lvlText w:val="."/>
      <w:numFmt w:val="bullet"/>
      <w:start w:val="1"/>
    </w:lvl>
  </w:abstractNum>
  <w:abstractNum w:abstractNumId="61">
    <w:nsid w:val="57FC4FBB"/>
    <w:multiLevelType w:val="hybridMultilevel"/>
    <w:lvl w:ilvl="0">
      <w:lvlJc w:val="left"/>
      <w:lvlText w:val="."/>
      <w:numFmt w:val="bullet"/>
      <w:start w:val="1"/>
    </w:lvl>
  </w:abstractNum>
  <w:abstractNum w:abstractNumId="62">
    <w:nsid w:val="CC1016F"/>
    <w:multiLevelType w:val="hybridMultilevel"/>
    <w:lvl w:ilvl="0">
      <w:lvlJc w:val="left"/>
      <w:lvlText w:val="."/>
      <w:numFmt w:val="bullet"/>
      <w:start w:val="1"/>
    </w:lvl>
  </w:abstractNum>
  <w:abstractNum w:abstractNumId="63">
    <w:nsid w:val="43F18422"/>
    <w:multiLevelType w:val="hybridMultilevel"/>
    <w:lvl w:ilvl="0">
      <w:lvlJc w:val="left"/>
      <w:lvlText w:val="."/>
      <w:numFmt w:val="bullet"/>
      <w:start w:val="1"/>
    </w:lvl>
    <w:lvl w:ilvl="1">
      <w:lvlJc w:val="left"/>
      <w:lvlText w:val="(%2)"/>
      <w:numFmt w:val="lowerLetter"/>
      <w:start w:val="1"/>
    </w:lvl>
  </w:abstractNum>
  <w:abstractNum w:abstractNumId="64">
    <w:nsid w:val="60EF0119"/>
    <w:multiLevelType w:val="hybridMultilevel"/>
    <w:lvl w:ilvl="0">
      <w:lvlJc w:val="left"/>
      <w:lvlText w:val="."/>
      <w:numFmt w:val="bullet"/>
      <w:start w:val="1"/>
    </w:lvl>
  </w:abstractNum>
  <w:abstractNum w:abstractNumId="65">
    <w:nsid w:val="26F324BA"/>
    <w:multiLevelType w:val="hybridMultilevel"/>
    <w:lvl w:ilvl="0">
      <w:lvlJc w:val="left"/>
      <w:lvlText w:val="."/>
      <w:numFmt w:val="bullet"/>
      <w:start w:val="1"/>
    </w:lvl>
  </w:abstractNum>
  <w:abstractNum w:abstractNumId="66">
    <w:nsid w:val="7F01579B"/>
    <w:multiLevelType w:val="hybridMultilevel"/>
    <w:lvl w:ilvl="0">
      <w:lvlJc w:val="left"/>
      <w:lvlText w:val="."/>
      <w:numFmt w:val="bullet"/>
      <w:start w:val="1"/>
    </w:lvl>
  </w:abstractNum>
  <w:abstractNum w:abstractNumId="67">
    <w:nsid w:val="49DA307D"/>
    <w:multiLevelType w:val="hybridMultilevel"/>
    <w:lvl w:ilvl="0">
      <w:lvlJc w:val="left"/>
      <w:lvlText w:val="(%1)"/>
      <w:numFmt w:val="lowerLetter"/>
      <w:start w:val="1"/>
    </w:lvl>
  </w:abstractNum>
  <w:abstractNum w:abstractNumId="68">
    <w:nsid w:val="7055A5F5"/>
    <w:multiLevelType w:val="hybridMultilevel"/>
    <w:lvl w:ilvl="0">
      <w:lvlJc w:val="left"/>
      <w:lvlText w:val="."/>
      <w:numFmt w:val="bullet"/>
      <w:start w:val="1"/>
    </w:lvl>
  </w:abstractNum>
  <w:abstractNum w:abstractNumId="69">
    <w:nsid w:val="5FB8370B"/>
    <w:multiLevelType w:val="hybridMultilevel"/>
    <w:lvl w:ilvl="0">
      <w:lvlJc w:val="left"/>
      <w:lvlText w:val="."/>
      <w:numFmt w:val="bullet"/>
      <w:start w:val="1"/>
    </w:lvl>
    <w:lvl w:ilvl="1">
      <w:lvlJc w:val="left"/>
      <w:lvlText w:val="(%2)"/>
      <w:numFmt w:val="lowerLetter"/>
      <w:start w:val="1"/>
    </w:lvl>
  </w:abstractNum>
  <w:abstractNum w:abstractNumId="70">
    <w:nsid w:val="50801EE1"/>
    <w:multiLevelType w:val="hybridMultilevel"/>
    <w:lvl w:ilvl="0">
      <w:lvlJc w:val="left"/>
      <w:lvlText w:val="(%1)"/>
      <w:numFmt w:val="lowerLetter"/>
      <w:start w:val="3"/>
    </w:lvl>
  </w:abstractNum>
  <w:abstractNum w:abstractNumId="71">
    <w:nsid w:val="488AC1A"/>
    <w:multiLevelType w:val="hybridMultilevel"/>
    <w:lvl w:ilvl="0">
      <w:lvlJc w:val="left"/>
      <w:lvlText w:val="."/>
      <w:numFmt w:val="bullet"/>
      <w:start w:val="1"/>
    </w:lvl>
  </w:abstractNum>
  <w:abstractNum w:abstractNumId="72">
    <w:nsid w:val="5FB8011C"/>
    <w:multiLevelType w:val="hybridMultilevel"/>
    <w:lvl w:ilvl="0">
      <w:lvlJc w:val="left"/>
      <w:lvlText w:val="."/>
      <w:numFmt w:val="bullet"/>
      <w:start w:val="1"/>
    </w:lvl>
  </w:abstractNum>
  <w:abstractNum w:abstractNumId="73">
    <w:nsid w:val="6AA78F7F"/>
    <w:multiLevelType w:val="hybridMultilevel"/>
    <w:lvl w:ilvl="0">
      <w:lvlJc w:val="left"/>
      <w:lvlText w:val="."/>
      <w:numFmt w:val="bullet"/>
      <w:start w:val="1"/>
    </w:lvl>
  </w:abstractNum>
  <w:abstractNum w:abstractNumId="74">
    <w:nsid w:val="7672BD23"/>
    <w:multiLevelType w:val="hybridMultilevel"/>
    <w:lvl w:ilvl="0">
      <w:lvlJc w:val="left"/>
      <w:lvlText w:val="."/>
      <w:numFmt w:val="bullet"/>
      <w:start w:val="1"/>
    </w:lvl>
  </w:abstractNum>
  <w:abstractNum w:abstractNumId="75">
    <w:nsid w:val="6FC75AF8"/>
    <w:multiLevelType w:val="hybridMultilevel"/>
    <w:lvl w:ilvl="0">
      <w:lvlJc w:val="left"/>
      <w:lvlText w:val="."/>
      <w:numFmt w:val="bullet"/>
      <w:start w:val="1"/>
    </w:lvl>
  </w:abstractNum>
  <w:abstractNum w:abstractNumId="76">
    <w:nsid w:val="6A5F7029"/>
    <w:multiLevelType w:val="hybridMultilevel"/>
    <w:lvl w:ilvl="0">
      <w:lvlJc w:val="left"/>
      <w:lvlText w:val="."/>
      <w:numFmt w:val="bullet"/>
      <w:start w:val="1"/>
    </w:lvl>
  </w:abstractNum>
  <w:abstractNum w:abstractNumId="77">
    <w:nsid w:val="7D5E18F8"/>
    <w:multiLevelType w:val="hybridMultilevel"/>
    <w:lvl w:ilvl="0">
      <w:lvlJc w:val="left"/>
      <w:lvlText w:val="."/>
      <w:numFmt w:val="bullet"/>
      <w:start w:val="1"/>
    </w:lvl>
  </w:abstractNum>
  <w:abstractNum w:abstractNumId="78">
    <w:nsid w:val="5F3534A4"/>
    <w:multiLevelType w:val="hybridMultilevel"/>
    <w:lvl w:ilvl="0">
      <w:lvlJc w:val="left"/>
      <w:lvlText w:val="."/>
      <w:numFmt w:val="bullet"/>
      <w:start w:val="1"/>
    </w:lvl>
  </w:abstractNum>
  <w:abstractNum w:abstractNumId="79">
    <w:nsid w:val="73A1821B"/>
    <w:multiLevelType w:val="hybridMultilevel"/>
    <w:lvl w:ilvl="0">
      <w:lvlJc w:val="left"/>
      <w:lvlText w:val="."/>
      <w:numFmt w:val="bullet"/>
      <w:start w:val="1"/>
    </w:lvl>
  </w:abstractNum>
  <w:abstractNum w:abstractNumId="80">
    <w:nsid w:val="7DE67713"/>
    <w:multiLevelType w:val="hybridMultilevel"/>
    <w:lvl w:ilvl="0">
      <w:lvlJc w:val="left"/>
      <w:lvlText w:val="."/>
      <w:numFmt w:val="bullet"/>
      <w:start w:val="1"/>
    </w:lvl>
  </w:abstractNum>
  <w:abstractNum w:abstractNumId="81">
    <w:nsid w:val="555C55B5"/>
    <w:multiLevelType w:val="hybridMultilevel"/>
    <w:lvl w:ilvl="0">
      <w:lvlJc w:val="left"/>
      <w:lvlText w:val="."/>
      <w:numFmt w:val="bullet"/>
      <w:start w:val="1"/>
    </w:lvl>
  </w:abstractNum>
  <w:abstractNum w:abstractNumId="82">
    <w:nsid w:val="3FA62ACA"/>
    <w:multiLevelType w:val="hybridMultilevel"/>
    <w:lvl w:ilvl="0">
      <w:lvlJc w:val="left"/>
      <w:lvlText w:val="(%1)"/>
      <w:numFmt w:val="lowerLetter"/>
      <w:start w:val="1"/>
    </w:lvl>
  </w:abstractNum>
  <w:abstractNum w:abstractNumId="83">
    <w:nsid w:val="14FCE74E"/>
    <w:multiLevelType w:val="hybridMultilevel"/>
    <w:lvl w:ilvl="0">
      <w:lvlJc w:val="left"/>
      <w:lvlText w:val="(%1)"/>
      <w:numFmt w:val="lowerLetter"/>
      <w:start w:val="2"/>
    </w:lvl>
    <w:lvl w:ilvl="1">
      <w:lvlJc w:val="left"/>
      <w:lvlText w:val="%2."/>
      <w:numFmt w:val="lowerRoman"/>
      <w:start w:val="1"/>
    </w:lvl>
  </w:abstractNum>
  <w:abstractNum w:abstractNumId="84">
    <w:nsid w:val="6A3DD3E8"/>
    <w:multiLevelType w:val="hybridMultilevel"/>
    <w:lvl w:ilvl="0">
      <w:lvlJc w:val="left"/>
      <w:lvlText w:val="%1"/>
      <w:numFmt w:val="lowerLetter"/>
      <w:start w:val="1"/>
    </w:lvl>
    <w:lvl w:ilvl="1">
      <w:lvlJc w:val="left"/>
      <w:lvlText w:val="%2."/>
      <w:numFmt w:val="lowerRoman"/>
      <w:start w:val="2"/>
    </w:lvl>
  </w:abstractNum>
  <w:abstractNum w:abstractNumId="85">
    <w:nsid w:val="71C91298"/>
    <w:multiLevelType w:val="hybridMultilevel"/>
    <w:lvl w:ilvl="0">
      <w:lvlJc w:val="left"/>
      <w:lvlText w:val="(%1)"/>
      <w:numFmt w:val="lowerLetter"/>
      <w:start w:val="24"/>
    </w:lvl>
    <w:lvl w:ilvl="1">
      <w:lvlJc w:val="left"/>
      <w:lvlText w:val="%2"/>
      <w:numFmt w:val="lowerRoman"/>
      <w:start w:val="1"/>
    </w:lvl>
  </w:abstractNum>
  <w:abstractNum w:abstractNumId="86">
    <w:nsid w:val="9DAF632"/>
    <w:multiLevelType w:val="hybridMultilevel"/>
    <w:lvl w:ilvl="0">
      <w:lvlJc w:val="left"/>
      <w:lvlText w:val="%1."/>
      <w:numFmt w:val="lowerRoman"/>
      <w:start w:val="3"/>
    </w:lvl>
  </w:abstractNum>
  <w:abstractNum w:abstractNumId="87">
    <w:nsid w:val="53299938"/>
    <w:multiLevelType w:val="hybridMultilevel"/>
    <w:lvl w:ilvl="0">
      <w:lvlJc w:val="left"/>
      <w:lvlText w:val="(%1)"/>
      <w:numFmt w:val="lowerLetter"/>
      <w:start w:val="1"/>
    </w:lvl>
  </w:abstractNum>
  <w:abstractNum w:abstractNumId="88">
    <w:nsid w:val="1FBFE8E0"/>
    <w:multiLevelType w:val="hybridMultilevel"/>
    <w:lvl w:ilvl="0">
      <w:lvlJc w:val="left"/>
      <w:lvlText w:val="(%1)"/>
      <w:numFmt w:val="lowerLetter"/>
      <w:start w:val="2"/>
    </w:lvl>
  </w:abstractNum>
  <w:abstractNum w:abstractNumId="89">
    <w:nsid w:val="5092CA79"/>
    <w:multiLevelType w:val="hybridMultilevel"/>
    <w:lvl w:ilvl="0">
      <w:lvlJc w:val="left"/>
      <w:lvlText w:val="%1."/>
      <w:numFmt w:val="lowerRoman"/>
      <w:start w:val="1"/>
    </w:lvl>
  </w:abstractNum>
  <w:abstractNum w:abstractNumId="90">
    <w:nsid w:val="1D545C4D"/>
    <w:multiLevelType w:val="hybridMultilevel"/>
    <w:lvl w:ilvl="0">
      <w:lvlJc w:val="left"/>
      <w:lvlText w:val="(%1)"/>
      <w:numFmt w:val="lowerLetter"/>
      <w:start w:val="3"/>
    </w:lvl>
  </w:abstractNum>
  <w:abstractNum w:abstractNumId="91">
    <w:nsid w:val="59ADEA3D"/>
    <w:multiLevelType w:val="hybridMultilevel"/>
    <w:lvl w:ilvl="0">
      <w:lvlJc w:val="left"/>
      <w:lvlText w:val="(%1)"/>
      <w:numFmt w:val="lowerLetter"/>
      <w:start w:val="1"/>
    </w:lvl>
  </w:abstractNum>
  <w:abstractNum w:abstractNumId="92">
    <w:nsid w:val="288F1A34"/>
    <w:multiLevelType w:val="hybridMultilevel"/>
    <w:lvl w:ilvl="0">
      <w:lvlJc w:val="left"/>
      <w:lvlText w:val="(%1)"/>
      <w:numFmt w:val="lowerRoman"/>
      <w:start w:val="1"/>
    </w:lvl>
  </w:abstractNum>
  <w:abstractNum w:abstractNumId="93">
    <w:nsid w:val="2A155DBC"/>
    <w:multiLevelType w:val="hybridMultilevel"/>
    <w:lvl w:ilvl="0">
      <w:lvlJc w:val="left"/>
      <w:lvlText w:val="(%1)"/>
      <w:numFmt w:val="lowerLetter"/>
      <w:start w:val="2"/>
    </w:lvl>
  </w:abstractNum>
  <w:abstractNum w:abstractNumId="94">
    <w:nsid w:val="1D9F6E5F"/>
    <w:multiLevelType w:val="hybridMultilevel"/>
    <w:lvl w:ilvl="0">
      <w:lvlJc w:val="left"/>
      <w:lvlText w:val="(%1)"/>
      <w:numFmt w:val="lowerRoman"/>
      <w:start w:val="1"/>
    </w:lvl>
  </w:abstractNum>
  <w:abstractNum w:abstractNumId="95">
    <w:nsid w:val="97E1B4E"/>
    <w:multiLevelType w:val="hybridMultilevel"/>
    <w:lvl w:ilvl="0">
      <w:lvlJc w:val="left"/>
      <w:lvlText w:val="(%1)"/>
      <w:numFmt w:val="lowerLetter"/>
      <w:start w:val="1"/>
    </w:lvl>
  </w:abstractNum>
  <w:abstractNum w:abstractNumId="96">
    <w:nsid w:val="51088277"/>
    <w:multiLevelType w:val="hybridMultilevel"/>
    <w:lvl w:ilvl="0">
      <w:lvlJc w:val="left"/>
      <w:lvlText w:val="%1."/>
      <w:numFmt w:val="lowerRoman"/>
      <w:start w:val="1"/>
    </w:lvl>
  </w:abstractNum>
  <w:abstractNum w:abstractNumId="97">
    <w:nsid w:val="1CA0C5FA"/>
    <w:multiLevelType w:val="hybridMultilevel"/>
    <w:lvl w:ilvl="0">
      <w:lvlJc w:val="left"/>
      <w:lvlText w:val="%1."/>
      <w:numFmt w:val="lowerRoman"/>
      <w:start w:val="2"/>
    </w:lvl>
  </w:abstractNum>
  <w:abstractNum w:abstractNumId="98">
    <w:nsid w:val="53584BCB"/>
    <w:multiLevelType w:val="hybridMultilevel"/>
    <w:lvl w:ilvl="0">
      <w:lvlJc w:val="left"/>
      <w:lvlText w:val="(%1)"/>
      <w:numFmt w:val="lowerLetter"/>
      <w:start w:val="2"/>
    </w:lvl>
  </w:abstractNum>
  <w:abstractNum w:abstractNumId="99">
    <w:nsid w:val="415E286C"/>
    <w:multiLevelType w:val="hybridMultilevel"/>
    <w:lvl w:ilvl="0">
      <w:lvlJc w:val="left"/>
      <w:lvlText w:val="(%1)"/>
      <w:numFmt w:val="lowerLetter"/>
      <w:start w:val="1"/>
    </w:lvl>
  </w:abstractNum>
  <w:abstractNum w:abstractNumId="100">
    <w:nsid w:val="7C58FD05"/>
    <w:multiLevelType w:val="hybridMultilevel"/>
    <w:lvl w:ilvl="0">
      <w:lvlJc w:val="left"/>
      <w:lvlText w:val="(%1)"/>
      <w:numFmt w:val="lowerRoman"/>
      <w:start w:val="1"/>
    </w:lvl>
  </w:abstractNum>
  <w:abstractNum w:abstractNumId="101">
    <w:nsid w:val="23D86AAC"/>
    <w:multiLevelType w:val="hybridMultilevel"/>
    <w:lvl w:ilvl="0">
      <w:lvlJc w:val="left"/>
      <w:lvlText w:val="(%1)"/>
      <w:numFmt w:val="lowerLetter"/>
      <w:start w:val="3"/>
    </w:lvl>
  </w:abstractNum>
  <w:abstractNum w:abstractNumId="102">
    <w:nsid w:val="45E6D486"/>
    <w:multiLevelType w:val="hybridMultilevel"/>
    <w:lvl w:ilvl="0">
      <w:lvlJc w:val="left"/>
      <w:lvlText w:val="(%1)"/>
      <w:numFmt w:val="lowerRoman"/>
      <w:start w:val="1"/>
    </w:lvl>
  </w:abstractNum>
  <w:abstractNum w:abstractNumId="103">
    <w:nsid w:val="5C10FE21"/>
    <w:multiLevelType w:val="hybridMultilevel"/>
    <w:lvl w:ilvl="0">
      <w:lvlJc w:val="left"/>
      <w:lvlText w:val="(%1)"/>
      <w:numFmt w:val="lowerLetter"/>
      <w:start w:val="7"/>
    </w:lvl>
  </w:abstractNum>
  <w:abstractNum w:abstractNumId="104">
    <w:nsid w:val="E7FFA2B"/>
    <w:multiLevelType w:val="hybridMultilevel"/>
    <w:lvl w:ilvl="0">
      <w:lvlJc w:val="left"/>
      <w:lvlText w:val="(%1)"/>
      <w:numFmt w:val="lowerLetter"/>
      <w:start w:val="8"/>
    </w:lvl>
  </w:abstractNum>
  <w:abstractNum w:abstractNumId="105">
    <w:nsid w:val="3C5991AA"/>
    <w:multiLevelType w:val="hybridMultilevel"/>
    <w:lvl w:ilvl="0">
      <w:lvlJc w:val="left"/>
      <w:lvlText w:val="%1."/>
      <w:numFmt w:val="decimal"/>
      <w:start w:val="1"/>
    </w:lvl>
    <w:lvl w:ilvl="1">
      <w:lvlJc w:val="left"/>
      <w:lvlText w:val="%2)"/>
      <w:numFmt w:val="lowerLetter"/>
      <w:start w:val="1"/>
    </w:lvl>
  </w:abstractNum>
  <w:abstractNum w:abstractNumId="106">
    <w:nsid w:val="4BD8591A"/>
    <w:multiLevelType w:val="hybridMultilevel"/>
    <w:lvl w:ilvl="0">
      <w:lvlJc w:val="left"/>
      <w:lvlText w:val="%1."/>
      <w:numFmt w:val="decimal"/>
      <w:start w:val="1"/>
    </w:lvl>
    <w:lvl w:ilvl="1">
      <w:lvlJc w:val="left"/>
      <w:lvlText w:val="%2)"/>
      <w:numFmt w:val="lowerLetter"/>
      <w:start w:val="1"/>
    </w:lvl>
  </w:abstractNum>
  <w:abstractNum w:abstractNumId="107">
    <w:nsid w:val="78DF6A55"/>
    <w:multiLevelType w:val="hybridMultilevel"/>
    <w:lvl w:ilvl="0">
      <w:lvlJc w:val="left"/>
      <w:lvlText w:val="(%1)"/>
      <w:numFmt w:val="decimal"/>
      <w:start w:val="1"/>
    </w:lvl>
  </w:abstractNum>
  <w:abstractNum w:abstractNumId="108">
    <w:nsid w:val="39B7AAA2"/>
    <w:multiLevelType w:val="hybridMultilevel"/>
    <w:lvl w:ilvl="0">
      <w:lvlJc w:val="left"/>
      <w:lvlText w:val="(%1)"/>
      <w:numFmt w:val="decimal"/>
      <w:start w:val="1"/>
    </w:lvl>
  </w:abstractNum>
  <w:abstractNum w:abstractNumId="109">
    <w:nsid w:val="2B0D8DBE"/>
    <w:multiLevelType w:val="hybridMultilevel"/>
    <w:lvl w:ilvl="0">
      <w:lvlJc w:val="left"/>
      <w:lvlText w:val="(%1)"/>
      <w:numFmt w:val="decimal"/>
      <w:start w:val="1"/>
    </w:lvl>
  </w:abstractNum>
  <w:abstractNum w:abstractNumId="110">
    <w:nsid w:val="6C80EC70"/>
    <w:multiLevelType w:val="hybridMultilevel"/>
    <w:lvl w:ilvl="0">
      <w:lvlJc w:val="left"/>
      <w:lvlText w:val="%1."/>
      <w:numFmt w:val="decimal"/>
      <w:start w:val="1"/>
    </w:lvl>
  </w:abstractNum>
  <w:abstractNum w:abstractNumId="111">
    <w:nsid w:val="379E21B5"/>
    <w:multiLevelType w:val="hybridMultilevel"/>
    <w:lvl w:ilvl="0">
      <w:lvlJc w:val="left"/>
      <w:lvlText w:val="%1."/>
      <w:numFmt w:val="decimal"/>
      <w:start w:val="2"/>
    </w:lvl>
  </w:abstractNum>
  <w:abstractNum w:abstractNumId="112">
    <w:nsid w:val="69E373"/>
    <w:multiLevelType w:val="hybridMultilevel"/>
    <w:lvl w:ilvl="0">
      <w:lvlJc w:val="left"/>
      <w:lvlText w:val="%1."/>
      <w:numFmt w:val="decimal"/>
      <w:start w:val="3"/>
    </w:lvl>
  </w:abstractNum>
  <w:abstractNum w:abstractNumId="113">
    <w:nsid w:val="2C27173B"/>
    <w:multiLevelType w:val="hybridMultilevel"/>
    <w:lvl w:ilvl="0">
      <w:lvlJc w:val="left"/>
      <w:lvlText w:val="%1."/>
      <w:numFmt w:val="decimal"/>
      <w:start w:val="4"/>
    </w:lvl>
  </w:abstractNum>
  <w:abstractNum w:abstractNumId="114">
    <w:nsid w:val="4C9B0904"/>
    <w:multiLevelType w:val="hybridMultilevel"/>
    <w:lvl w:ilvl="0">
      <w:lvlJc w:val="left"/>
      <w:lvlText w:val="%1."/>
      <w:numFmt w:val="decimal"/>
      <w:start w:val="5"/>
    </w:lvl>
  </w:abstractNum>
  <w:abstractNum w:abstractNumId="115">
    <w:nsid w:val="6AA7B75C"/>
    <w:multiLevelType w:val="hybridMultilevel"/>
    <w:lvl w:ilvl="0">
      <w:lvlJc w:val="left"/>
      <w:lvlText w:val="%1."/>
      <w:numFmt w:val="decimal"/>
      <w:start w:val="6"/>
    </w:lvl>
  </w:abstractNum>
  <w:abstractNum w:abstractNumId="116">
    <w:nsid w:val="1DF029D3"/>
    <w:multiLevelType w:val="hybridMultilevel"/>
    <w:lvl w:ilvl="0">
      <w:lvlJc w:val="left"/>
      <w:lvlText w:val="%1."/>
      <w:numFmt w:val="decimal"/>
      <w:start w:val="7"/>
    </w:lvl>
  </w:abstractNum>
  <w:abstractNum w:abstractNumId="117">
    <w:nsid w:val="5675FF36"/>
    <w:multiLevelType w:val="hybridMultilevel"/>
    <w:lvl w:ilvl="0">
      <w:lvlJc w:val="left"/>
      <w:lvlText w:val="%1."/>
      <w:numFmt w:val="decimal"/>
      <w:start w:val="8"/>
    </w:lvl>
  </w:abstractNum>
  <w:abstractNum w:abstractNumId="118">
    <w:nsid w:val="3DD15094"/>
    <w:multiLevelType w:val="hybridMultilevel"/>
    <w:lvl w:ilvl="0">
      <w:lvlJc w:val="left"/>
      <w:lvlText w:val="%1."/>
      <w:numFmt w:val="decimal"/>
      <w:start w:val="9"/>
    </w:lvl>
  </w:abstractNum>
  <w:abstractNum w:abstractNumId="119">
    <w:nsid w:val="3DB012B3"/>
    <w:multiLevelType w:val="hybridMultilevel"/>
    <w:lvl w:ilvl="0">
      <w:lvlJc w:val="left"/>
      <w:lvlText w:val="%1."/>
      <w:numFmt w:val="decimal"/>
      <w:start w:val="10"/>
    </w:lvl>
  </w:abstractNum>
  <w:abstractNum w:abstractNumId="120">
    <w:nsid w:val="2708C9AF"/>
    <w:multiLevelType w:val="hybridMultilevel"/>
    <w:lvl w:ilvl="0">
      <w:lvlJc w:val="left"/>
      <w:lvlText w:val="%1."/>
      <w:numFmt w:val="decimal"/>
      <w:start w:val="11"/>
    </w:lvl>
  </w:abstractNum>
  <w:abstractNum w:abstractNumId="121">
    <w:nsid w:val="5B25ACE2"/>
    <w:multiLevelType w:val="hybridMultilevel"/>
    <w:lvl w:ilvl="0">
      <w:lvlJc w:val="left"/>
      <w:lvlText w:val="(%1)"/>
      <w:numFmt w:val="lowerLetter"/>
      <w:start w:val="1"/>
    </w:lvl>
    <w:lvl w:ilvl="1">
      <w:lvlJc w:val="left"/>
      <w:lvlText w:val="(%2)"/>
      <w:numFmt w:val="lowerRoman"/>
      <w:start w:val="1"/>
    </w:lvl>
  </w:abstractNum>
  <w:abstractNum w:abstractNumId="122">
    <w:nsid w:val="175DFCF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2" Type="http://schemas.openxmlformats.org/officeDocument/2006/relationships/image" Target="media/image494.png"/><Relationship Id="rId503" Type="http://schemas.openxmlformats.org/officeDocument/2006/relationships/image" Target="media/image495.png"/><Relationship Id="rId505" Type="http://schemas.openxmlformats.org/officeDocument/2006/relationships/image" Target="media/image496.png"/><Relationship Id="rId506" Type="http://schemas.openxmlformats.org/officeDocument/2006/relationships/image" Target="media/image497.png"/><Relationship Id="rId508" Type="http://schemas.openxmlformats.org/officeDocument/2006/relationships/image" Target="media/image498.png"/><Relationship Id="rId509" Type="http://schemas.openxmlformats.org/officeDocument/2006/relationships/image" Target="media/image499.png"/><Relationship Id="rId511" Type="http://schemas.openxmlformats.org/officeDocument/2006/relationships/image" Target="media/image500.png"/><Relationship Id="rId512" Type="http://schemas.openxmlformats.org/officeDocument/2006/relationships/image" Target="media/image501.png"/><Relationship Id="rId513" Type="http://schemas.openxmlformats.org/officeDocument/2006/relationships/image" Target="media/image502.png"/><Relationship Id="rId515" Type="http://schemas.openxmlformats.org/officeDocument/2006/relationships/image" Target="media/image503.png"/><Relationship Id="rId516" Type="http://schemas.openxmlformats.org/officeDocument/2006/relationships/image" Target="media/image504.png"/><Relationship Id="rId517" Type="http://schemas.openxmlformats.org/officeDocument/2006/relationships/image" Target="media/image505.png"/><Relationship Id="rId519" Type="http://schemas.openxmlformats.org/officeDocument/2006/relationships/image" Target="media/image506.png"/><Relationship Id="rId520" Type="http://schemas.openxmlformats.org/officeDocument/2006/relationships/image" Target="media/image507.png"/><Relationship Id="rId521" Type="http://schemas.openxmlformats.org/officeDocument/2006/relationships/image" Target="media/image508.png"/><Relationship Id="rId522" Type="http://schemas.openxmlformats.org/officeDocument/2006/relationships/image" Target="media/image509.png"/><Relationship Id="rId524" Type="http://schemas.openxmlformats.org/officeDocument/2006/relationships/image" Target="media/image510.png"/><Relationship Id="rId525" Type="http://schemas.openxmlformats.org/officeDocument/2006/relationships/image" Target="media/image511.png"/><Relationship Id="rId526" Type="http://schemas.openxmlformats.org/officeDocument/2006/relationships/image" Target="media/image512.png"/><Relationship Id="rId528" Type="http://schemas.openxmlformats.org/officeDocument/2006/relationships/image" Target="media/image513.png"/><Relationship Id="rId529" Type="http://schemas.openxmlformats.org/officeDocument/2006/relationships/image" Target="media/image514.png"/><Relationship Id="rId530" Type="http://schemas.openxmlformats.org/officeDocument/2006/relationships/image" Target="media/image515.png"/><Relationship Id="rId532" Type="http://schemas.openxmlformats.org/officeDocument/2006/relationships/image" Target="media/image516.png"/><Relationship Id="rId533" Type="http://schemas.openxmlformats.org/officeDocument/2006/relationships/image" Target="media/image517.png"/><Relationship Id="rId534" Type="http://schemas.openxmlformats.org/officeDocument/2006/relationships/image" Target="media/image518.png"/><Relationship Id="rId536" Type="http://schemas.openxmlformats.org/officeDocument/2006/relationships/image" Target="media/image519.png"/><Relationship Id="rId537" Type="http://schemas.openxmlformats.org/officeDocument/2006/relationships/image" Target="media/image520.png"/><Relationship Id="rId538" Type="http://schemas.openxmlformats.org/officeDocument/2006/relationships/image" Target="media/image521.png"/><Relationship Id="rId540" Type="http://schemas.openxmlformats.org/officeDocument/2006/relationships/image" Target="media/image522.png"/><Relationship Id="rId541" Type="http://schemas.openxmlformats.org/officeDocument/2006/relationships/image" Target="media/image523.png"/><Relationship Id="rId542" Type="http://schemas.openxmlformats.org/officeDocument/2006/relationships/image" Target="media/image524.png"/><Relationship Id="rId543" Type="http://schemas.openxmlformats.org/officeDocument/2006/relationships/image" Target="media/image525.png"/><Relationship Id="rId545" Type="http://schemas.openxmlformats.org/officeDocument/2006/relationships/image" Target="media/image526.png"/><Relationship Id="rId546" Type="http://schemas.openxmlformats.org/officeDocument/2006/relationships/image" Target="media/image527.png"/><Relationship Id="rId548" Type="http://schemas.openxmlformats.org/officeDocument/2006/relationships/image" Target="media/image528.png"/><Relationship Id="rId549" Type="http://schemas.openxmlformats.org/officeDocument/2006/relationships/image" Target="media/image529.png"/><Relationship Id="rId551" Type="http://schemas.openxmlformats.org/officeDocument/2006/relationships/image" Target="media/image530.png"/><Relationship Id="rId552" Type="http://schemas.openxmlformats.org/officeDocument/2006/relationships/image" Target="media/image531.png"/><Relationship Id="rId553" Type="http://schemas.openxmlformats.org/officeDocument/2006/relationships/image" Target="media/image532.png"/><Relationship Id="rId555" Type="http://schemas.openxmlformats.org/officeDocument/2006/relationships/image" Target="media/image533.png"/><Relationship Id="rId556" Type="http://schemas.openxmlformats.org/officeDocument/2006/relationships/image" Target="media/image534.png"/><Relationship Id="rId558" Type="http://schemas.openxmlformats.org/officeDocument/2006/relationships/image" Target="media/image535.png"/><Relationship Id="rId559" Type="http://schemas.openxmlformats.org/officeDocument/2006/relationships/image" Target="media/image536.png"/><Relationship Id="rId561" Type="http://schemas.openxmlformats.org/officeDocument/2006/relationships/image" Target="media/image537.png"/><Relationship Id="rId562" Type="http://schemas.openxmlformats.org/officeDocument/2006/relationships/image" Target="media/image538.png"/><Relationship Id="rId564" Type="http://schemas.openxmlformats.org/officeDocument/2006/relationships/image" Target="media/image539.png"/><Relationship Id="rId565" Type="http://schemas.openxmlformats.org/officeDocument/2006/relationships/image" Target="media/image540.png"/><Relationship Id="rId567" Type="http://schemas.openxmlformats.org/officeDocument/2006/relationships/image" Target="media/image541.png"/><Relationship Id="rId568" Type="http://schemas.openxmlformats.org/officeDocument/2006/relationships/image" Target="media/image542.png"/><Relationship Id="rId570" Type="http://schemas.openxmlformats.org/officeDocument/2006/relationships/image" Target="media/image543.png"/><Relationship Id="rId571" Type="http://schemas.openxmlformats.org/officeDocument/2006/relationships/image" Target="media/image544.png"/><Relationship Id="rId572" Type="http://schemas.openxmlformats.org/officeDocument/2006/relationships/image" Target="media/image545.png"/><Relationship Id="rId574" Type="http://schemas.openxmlformats.org/officeDocument/2006/relationships/image" Target="media/image546.png"/><Relationship Id="rId575" Type="http://schemas.openxmlformats.org/officeDocument/2006/relationships/image" Target="media/image547.png"/><Relationship Id="rId576" Type="http://schemas.openxmlformats.org/officeDocument/2006/relationships/image" Target="media/image548.png"/><Relationship Id="rId578" Type="http://schemas.openxmlformats.org/officeDocument/2006/relationships/image" Target="media/image549.png"/><Relationship Id="rId579" Type="http://schemas.openxmlformats.org/officeDocument/2006/relationships/image" Target="media/image550.png"/><Relationship Id="rId580" Type="http://schemas.openxmlformats.org/officeDocument/2006/relationships/image" Target="media/image551.png"/><Relationship Id="rId582" Type="http://schemas.openxmlformats.org/officeDocument/2006/relationships/image" Target="media/image552.png"/><Relationship Id="rId583" Type="http://schemas.openxmlformats.org/officeDocument/2006/relationships/image" Target="media/image553.png"/><Relationship Id="rId585" Type="http://schemas.openxmlformats.org/officeDocument/2006/relationships/image" Target="media/image554.png"/><Relationship Id="rId586" Type="http://schemas.openxmlformats.org/officeDocument/2006/relationships/image" Target="media/image555.png"/><Relationship Id="rId588" Type="http://schemas.openxmlformats.org/officeDocument/2006/relationships/image" Target="media/image556.png"/><Relationship Id="rId589" Type="http://schemas.openxmlformats.org/officeDocument/2006/relationships/image" Target="media/image557.png"/><Relationship Id="rId591" Type="http://schemas.openxmlformats.org/officeDocument/2006/relationships/image" Target="media/image558.png"/><Relationship Id="rId592" Type="http://schemas.openxmlformats.org/officeDocument/2006/relationships/image" Target="media/image559.png"/><Relationship Id="rId593" Type="http://schemas.openxmlformats.org/officeDocument/2006/relationships/image" Target="media/image560.png"/><Relationship Id="rId595" Type="http://schemas.openxmlformats.org/officeDocument/2006/relationships/image" Target="media/image561.png"/><Relationship Id="rId596" Type="http://schemas.openxmlformats.org/officeDocument/2006/relationships/image" Target="media/image562.png"/><Relationship Id="rId597" Type="http://schemas.openxmlformats.org/officeDocument/2006/relationships/image" Target="media/image563.png"/><Relationship Id="rId598" Type="http://schemas.openxmlformats.org/officeDocument/2006/relationships/image" Target="media/image564.png"/><Relationship Id="rId599" Type="http://schemas.openxmlformats.org/officeDocument/2006/relationships/image" Target="media/image565.png"/><Relationship Id="rId600" Type="http://schemas.openxmlformats.org/officeDocument/2006/relationships/image" Target="media/image566.png"/><Relationship Id="rId601" Type="http://schemas.openxmlformats.org/officeDocument/2006/relationships/image" Target="media/image567.png"/><Relationship Id="rId602" Type="http://schemas.openxmlformats.org/officeDocument/2006/relationships/image" Target="media/image568.png"/><Relationship Id="rId603" Type="http://schemas.openxmlformats.org/officeDocument/2006/relationships/image" Target="media/image569.png"/><Relationship Id="rId604" Type="http://schemas.openxmlformats.org/officeDocument/2006/relationships/image" Target="media/image570.png"/><Relationship Id="rId605" Type="http://schemas.openxmlformats.org/officeDocument/2006/relationships/image" Target="media/image571.png"/><Relationship Id="rId606" Type="http://schemas.openxmlformats.org/officeDocument/2006/relationships/image" Target="media/image572.png"/><Relationship Id="rId607" Type="http://schemas.openxmlformats.org/officeDocument/2006/relationships/image" Target="media/image573.png"/><Relationship Id="rId608" Type="http://schemas.openxmlformats.org/officeDocument/2006/relationships/image" Target="media/image574.png"/><Relationship Id="rId609" Type="http://schemas.openxmlformats.org/officeDocument/2006/relationships/image" Target="media/image575.png"/><Relationship Id="rId610" Type="http://schemas.openxmlformats.org/officeDocument/2006/relationships/image" Target="media/image576.png"/><Relationship Id="rId611" Type="http://schemas.openxmlformats.org/officeDocument/2006/relationships/image" Target="media/image577.png"/><Relationship Id="rId612" Type="http://schemas.openxmlformats.org/officeDocument/2006/relationships/image" Target="media/image578.png"/><Relationship Id="rId613" Type="http://schemas.openxmlformats.org/officeDocument/2006/relationships/image" Target="media/image579.png"/><Relationship Id="rId614" Type="http://schemas.openxmlformats.org/officeDocument/2006/relationships/image" Target="media/image580.png"/><Relationship Id="rId615" Type="http://schemas.openxmlformats.org/officeDocument/2006/relationships/image" Target="media/image581.png"/><Relationship Id="rId616" Type="http://schemas.openxmlformats.org/officeDocument/2006/relationships/image" Target="media/image582.png"/><Relationship Id="rId617" Type="http://schemas.openxmlformats.org/officeDocument/2006/relationships/image" Target="media/image583.png"/><Relationship Id="rId618" Type="http://schemas.openxmlformats.org/officeDocument/2006/relationships/image" Target="media/image584.png"/><Relationship Id="rId619" Type="http://schemas.openxmlformats.org/officeDocument/2006/relationships/image" Target="media/image585.png"/><Relationship Id="rId620" Type="http://schemas.openxmlformats.org/officeDocument/2006/relationships/image" Target="media/image586.png"/><Relationship Id="rId621" Type="http://schemas.openxmlformats.org/officeDocument/2006/relationships/image" Target="media/image587.png"/><Relationship Id="rId622" Type="http://schemas.openxmlformats.org/officeDocument/2006/relationships/image" Target="media/image588.png"/><Relationship Id="rId623" Type="http://schemas.openxmlformats.org/officeDocument/2006/relationships/image" Target="media/image589.png"/><Relationship Id="rId624" Type="http://schemas.openxmlformats.org/officeDocument/2006/relationships/image" Target="media/image590.png"/><Relationship Id="rId625" Type="http://schemas.openxmlformats.org/officeDocument/2006/relationships/image" Target="media/image591.png"/><Relationship Id="rId626" Type="http://schemas.openxmlformats.org/officeDocument/2006/relationships/image" Target="media/image592.png"/><Relationship Id="rId627" Type="http://schemas.openxmlformats.org/officeDocument/2006/relationships/image" Target="media/image593.png"/><Relationship Id="rId628" Type="http://schemas.openxmlformats.org/officeDocument/2006/relationships/image" Target="media/image594.png"/><Relationship Id="rId629" Type="http://schemas.openxmlformats.org/officeDocument/2006/relationships/image" Target="media/image595.png"/><Relationship Id="rId630" Type="http://schemas.openxmlformats.org/officeDocument/2006/relationships/image" Target="media/image596.png"/><Relationship Id="rId631" Type="http://schemas.openxmlformats.org/officeDocument/2006/relationships/image" Target="media/image597.png"/><Relationship Id="rId632" Type="http://schemas.openxmlformats.org/officeDocument/2006/relationships/image" Target="media/image598.png"/><Relationship Id="rId633" Type="http://schemas.openxmlformats.org/officeDocument/2006/relationships/image" Target="media/image599.png"/><Relationship Id="rId634" Type="http://schemas.openxmlformats.org/officeDocument/2006/relationships/image" Target="media/image600.png"/><Relationship Id="rId635" Type="http://schemas.openxmlformats.org/officeDocument/2006/relationships/image" Target="media/image601.png"/><Relationship Id="rId636" Type="http://schemas.openxmlformats.org/officeDocument/2006/relationships/image" Target="media/image602.png"/><Relationship Id="rId637" Type="http://schemas.openxmlformats.org/officeDocument/2006/relationships/image" Target="media/image603.png"/><Relationship Id="rId638" Type="http://schemas.openxmlformats.org/officeDocument/2006/relationships/image" Target="media/image604.png"/><Relationship Id="rId639" Type="http://schemas.openxmlformats.org/officeDocument/2006/relationships/image" Target="media/image605.png"/><Relationship Id="rId640" Type="http://schemas.openxmlformats.org/officeDocument/2006/relationships/image" Target="media/image606.png"/><Relationship Id="rId641" Type="http://schemas.openxmlformats.org/officeDocument/2006/relationships/image" Target="media/image607.png"/><Relationship Id="rId642" Type="http://schemas.openxmlformats.org/officeDocument/2006/relationships/image" Target="media/image608.png"/><Relationship Id="rId643" Type="http://schemas.openxmlformats.org/officeDocument/2006/relationships/image" Target="media/image609.png"/><Relationship Id="rId644" Type="http://schemas.openxmlformats.org/officeDocument/2006/relationships/image" Target="media/image610.png"/><Relationship Id="rId645" Type="http://schemas.openxmlformats.org/officeDocument/2006/relationships/image" Target="media/image611.png"/><Relationship Id="rId646" Type="http://schemas.openxmlformats.org/officeDocument/2006/relationships/image" Target="media/image612.png"/><Relationship Id="rId647" Type="http://schemas.openxmlformats.org/officeDocument/2006/relationships/image" Target="media/image613.png"/><Relationship Id="rId648" Type="http://schemas.openxmlformats.org/officeDocument/2006/relationships/image" Target="media/image614.png"/><Relationship Id="rId649" Type="http://schemas.openxmlformats.org/officeDocument/2006/relationships/image" Target="media/image615.png"/><Relationship Id="rId650" Type="http://schemas.openxmlformats.org/officeDocument/2006/relationships/image" Target="media/image616.png"/><Relationship Id="rId651" Type="http://schemas.openxmlformats.org/officeDocument/2006/relationships/image" Target="media/image617.png"/><Relationship Id="rId652" Type="http://schemas.openxmlformats.org/officeDocument/2006/relationships/image" Target="media/image618.png"/><Relationship Id="rId653" Type="http://schemas.openxmlformats.org/officeDocument/2006/relationships/image" Target="media/image619.png"/><Relationship Id="rId654" Type="http://schemas.openxmlformats.org/officeDocument/2006/relationships/image" Target="media/image620.png"/><Relationship Id="rId655" Type="http://schemas.openxmlformats.org/officeDocument/2006/relationships/image" Target="media/image621.png"/><Relationship Id="rId656" Type="http://schemas.openxmlformats.org/officeDocument/2006/relationships/image" Target="media/image622.png"/><Relationship Id="rId657" Type="http://schemas.openxmlformats.org/officeDocument/2006/relationships/image" Target="media/image623.png"/><Relationship Id="rId658" Type="http://schemas.openxmlformats.org/officeDocument/2006/relationships/image" Target="media/image624.png"/><Relationship Id="rId659" Type="http://schemas.openxmlformats.org/officeDocument/2006/relationships/image" Target="media/image625.png"/><Relationship Id="rId660" Type="http://schemas.openxmlformats.org/officeDocument/2006/relationships/image" Target="media/image626.png"/><Relationship Id="rId661" Type="http://schemas.openxmlformats.org/officeDocument/2006/relationships/image" Target="media/image627.png"/><Relationship Id="rId662" Type="http://schemas.openxmlformats.org/officeDocument/2006/relationships/image" Target="media/image628.png"/><Relationship Id="rId663" Type="http://schemas.openxmlformats.org/officeDocument/2006/relationships/image" Target="media/image629.png"/><Relationship Id="rId664" Type="http://schemas.openxmlformats.org/officeDocument/2006/relationships/image" Target="media/image630.png"/><Relationship Id="rId665" Type="http://schemas.openxmlformats.org/officeDocument/2006/relationships/image" Target="media/image631.png"/><Relationship Id="rId666" Type="http://schemas.openxmlformats.org/officeDocument/2006/relationships/image" Target="media/image632.png"/><Relationship Id="rId667" Type="http://schemas.openxmlformats.org/officeDocument/2006/relationships/image" Target="media/image633.png"/><Relationship Id="rId668" Type="http://schemas.openxmlformats.org/officeDocument/2006/relationships/image" Target="media/image634.png"/><Relationship Id="rId501" Type="http://schemas.openxmlformats.org/officeDocument/2006/relationships/hyperlink" Target="https://www.sec.gov/Archives/edgar/data/87347/000119312516532046/d176097dex31.htm" TargetMode="External"/><Relationship Id="rId504" Type="http://schemas.openxmlformats.org/officeDocument/2006/relationships/hyperlink" Target="https://www.sec.gov/Archives/edgar/data/87347/000119312523110532/d470769dex3.htm" TargetMode="External"/><Relationship Id="rId507" Type="http://schemas.openxmlformats.org/officeDocument/2006/relationships/hyperlink" Target="https://www.sec.gov/Archives/edgar/data/87347/000156459021002477/slb-ex41_56.htm" TargetMode="External"/><Relationship Id="rId510" Type="http://schemas.openxmlformats.org/officeDocument/2006/relationships/hyperlink" Target="https://www.sec.gov/Archives/edgar/data/87347/000119312513460494/d637672dex41.htm" TargetMode="External"/><Relationship Id="rId514" Type="http://schemas.openxmlformats.org/officeDocument/2006/relationships/hyperlink" Target="https://www.sec.gov/Archives/edgar/data/87347/000119312520180957/d925505dex41.htm" TargetMode="External"/><Relationship Id="rId518" Type="http://schemas.openxmlformats.org/officeDocument/2006/relationships/hyperlink" Target="https://www.sec.gov/Archives/edgar/data/87347/000119312523145038/d289147dex41.htm" TargetMode="External"/><Relationship Id="rId523" Type="http://schemas.openxmlformats.org/officeDocument/2006/relationships/hyperlink" Target="https://www.sec.gov/Archives/edgar/data/87347/000119312520216304/d926535dex41.htm" TargetMode="External"/><Relationship Id="rId527" Type="http://schemas.openxmlformats.org/officeDocument/2006/relationships/hyperlink" Target="https://www.sec.gov/Archives/edgar/data/87347/000119312520248823/d75000dex41.htm" TargetMode="External"/><Relationship Id="rId531" Type="http://schemas.openxmlformats.org/officeDocument/2006/relationships/hyperlink" Target="https://www.sec.gov/Archives/edgar/data/87347/000119312520248823/d75000dex42.htm" TargetMode="External"/><Relationship Id="rId535" Type="http://schemas.openxmlformats.org/officeDocument/2006/relationships/hyperlink" Target="https://www.sec.gov/Archives/edgar/data/87347/000095017023055042/slb-ex10_1.htm" TargetMode="External"/><Relationship Id="rId539" Type="http://schemas.openxmlformats.org/officeDocument/2006/relationships/hyperlink" Target="https://www.sec.gov/Archives/edgar/data/87347/000095017023055042/slb-ex10_2.htm" TargetMode="External"/><Relationship Id="rId544" Type="http://schemas.openxmlformats.org/officeDocument/2006/relationships/hyperlink" Target="https://www.sec.gov/Archives/edgar/data/87347/000156459019000928/slb-ex108_547.htm" TargetMode="External"/><Relationship Id="rId547" Type="http://schemas.openxmlformats.org/officeDocument/2006/relationships/hyperlink" Target="https://www.sec.gov/Archives/edgar/data/87347/000119312513299983/d550034dex1010.htm" TargetMode="External"/><Relationship Id="rId550" Type="http://schemas.openxmlformats.org/officeDocument/2006/relationships/hyperlink" Target="https://www.sec.gov/Archives/edgar/data/87347/000119312513299983/d550034dex1011.htm" TargetMode="External"/><Relationship Id="rId554" Type="http://schemas.openxmlformats.org/officeDocument/2006/relationships/hyperlink" Target="https://www.sec.gov/Archives/edgar/data/87347/000130817918000016/lslb2018_def14a.htm" TargetMode="External"/><Relationship Id="rId557" Type="http://schemas.openxmlformats.org/officeDocument/2006/relationships/hyperlink" Target="https://www.sec.gov/Archives/edgar/data/87347/000156459019000928/slb-ex1015_548.htm" TargetMode="External"/><Relationship Id="rId560" Type="http://schemas.openxmlformats.org/officeDocument/2006/relationships/hyperlink" Target="https://www.sec.gov/Archives/edgar/data/87347/000156459015005555/slb-ex101_758.htm" TargetMode="External"/><Relationship Id="rId563" Type="http://schemas.openxmlformats.org/officeDocument/2006/relationships/hyperlink" Target="https://www.sec.gov/Archives/edgar/data/87347/000156459021002477/slb-ex1015_106.htm" TargetMode="External"/><Relationship Id="rId566" Type="http://schemas.openxmlformats.org/officeDocument/2006/relationships/hyperlink" Target="https://www.sec.gov/Archives/edgar/data/87347/000156459017007214/slb-ex104_112.htm" TargetMode="External"/><Relationship Id="rId569" Type="http://schemas.openxmlformats.org/officeDocument/2006/relationships/hyperlink" Target="https://www.sec.gov/Archives/edgar/data/87347/000156459019000928/slb-ex1027_1834.htm" TargetMode="External"/><Relationship Id="rId573" Type="http://schemas.openxmlformats.org/officeDocument/2006/relationships/hyperlink" Target="https://www.sec.gov/Archives/edgar/data/87347/000156459022015889/slb-ex103_142.htm" TargetMode="External"/><Relationship Id="rId577" Type="http://schemas.openxmlformats.org/officeDocument/2006/relationships/hyperlink" Target="https://www.sec.gov/Archives/edgar/data/87347/000156459022015889/slb-ex104_143.htm" TargetMode="External"/><Relationship Id="rId581" Type="http://schemas.openxmlformats.org/officeDocument/2006/relationships/hyperlink" Target="https://www.sec.gov/Archives/edgar/data/87347/000156459022015889/slb-ex105_144.htm" TargetMode="External"/><Relationship Id="rId584" Type="http://schemas.openxmlformats.org/officeDocument/2006/relationships/hyperlink" Target="https://www.sec.gov/Archives/edgar/data/87347/000119312521109039/d128317dex101.htm" TargetMode="External"/><Relationship Id="rId587" Type="http://schemas.openxmlformats.org/officeDocument/2006/relationships/hyperlink" Target="https://www.sec.gov/Archives/edgar/data/87347/000156459022026594/slb-ex101_61.htm" TargetMode="External"/><Relationship Id="rId590" Type="http://schemas.openxmlformats.org/officeDocument/2006/relationships/hyperlink" Target="https://www.sec.gov/Archives/edgar/data/87347/000119312521109039/d128317dex103.htm" TargetMode="External"/><Relationship Id="rId594" Type="http://schemas.openxmlformats.org/officeDocument/2006/relationships/hyperlink" Target="https://www.sec.gov/Archives/edgar/data/87347/000156459022015889/slb-ex101_14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2024-01-24T11:27:40Z</dcterms:created>
  <dcterms:modified xsi:type="dcterms:W3CDTF">2024-01-24T11:27:40Z</dcterms:modified>
</cp:coreProperties>
</file>