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NAUTICUS ROBOTICS,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63911H108</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Dianne Ralston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5599 San Felipe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April 4, 2024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63911H108</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1"/>
              </w:rPr>
              <w:t>  1.  </w:t>
            </w:r>
          </w:p>
        </w:tc>
        <w:tc>
          <w:tcPr>
            <w:tcW w:w="10440" w:type="dxa"/>
            <w:vAlign w:val="bottom"/>
            <w:tcBorders>
              <w:top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Schlumberger N.V. (Schlumberger Limited)</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4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w w:val="95"/>
              </w:rPr>
              <w:t xml:space="preserve">  (a)  </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9440" w:type="dxa"/>
            <w:vAlign w:val="bottom"/>
            <w:tcBorders>
              <w:right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44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Source of Funds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AF</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96"/>
              </w:rPr>
              <w:t>  CURAÇAO</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1"/>
              </w:rPr>
              <w:t>  7.  </w:t>
            </w:r>
          </w:p>
        </w:tc>
        <w:tc>
          <w:tcPr>
            <w:tcW w:w="60" w:type="dxa"/>
            <w:vAlign w:val="bottom"/>
          </w:tcPr>
          <w:p>
            <w:pPr>
              <w:spacing w:after="0"/>
              <w:rPr>
                <w:sz w:val="20"/>
                <w:szCs w:val="20"/>
                <w:color w:val="auto"/>
              </w:rPr>
            </w:pPr>
          </w:p>
        </w:tc>
        <w:tc>
          <w:tcPr>
            <w:tcW w:w="9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60" w:type="dxa"/>
            <w:vAlign w:val="bottom"/>
            <w:tcBorders>
              <w:left w:val="single" w:sz="8" w:color="auto"/>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60" w:type="dxa"/>
            <w:vAlign w:val="bottom"/>
          </w:tcPr>
          <w:p>
            <w:pPr>
              <w:spacing w:after="0"/>
              <w:rPr>
                <w:sz w:val="10"/>
                <w:szCs w:val="10"/>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120"/>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spacing w:after="0"/>
              <w:rPr>
                <w:sz w:val="6"/>
                <w:szCs w:val="6"/>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6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right w:val="single" w:sz="8" w:color="auto"/>
            </w:tcBorders>
            <w:gridSpan w:val="2"/>
          </w:tcPr>
          <w:p>
            <w:pPr>
              <w:jc w:val="center"/>
              <w:ind w:left="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3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4"/>
              </w:rPr>
              <w:t>11.  </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Aggregate</w:t>
            </w:r>
          </w:p>
        </w:tc>
        <w:tc>
          <w:tcPr>
            <w:tcW w:w="9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w w:val="95"/>
              </w:rPr>
              <w:t>  8,682,920*</w:t>
            </w: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17.4%+</w:t>
            </w: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CO</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76" w:lineRule="auto"/>
        <w:tabs>
          <w:tab w:leader="none" w:pos="42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1,981,164 additional shares of Common Stock that Schlumberger Technology Corporation (“STC”) has the right to receive if, on or before December 16, 2026, the Common Stock meets or exceeds certain target prices as set forth in the Merger Agreement (as defined in Item 3).</w:t>
      </w:r>
    </w:p>
    <w:p>
      <w:pPr>
        <w:spacing w:after="0" w:line="1" w:lineRule="exact"/>
        <w:rPr>
          <w:sz w:val="20"/>
          <w:szCs w:val="20"/>
          <w:color w:val="auto"/>
        </w:rPr>
      </w:pPr>
    </w:p>
    <w:p>
      <w:pPr>
        <w:ind w:left="424" w:right="56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50,035,824 shares of Common Stock outstanding as of November 14, 2023, as reported in the Issuer’s Form 10-Q filed with the Securities and Exchange Commission (the “SEC”) on November 14, 2023.</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63911H108</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1"/>
              </w:rPr>
              <w:t>  1.  </w:t>
            </w:r>
          </w:p>
        </w:tc>
        <w:tc>
          <w:tcPr>
            <w:tcW w:w="10440" w:type="dxa"/>
            <w:vAlign w:val="bottom"/>
            <w:tcBorders>
              <w:top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Schlumberger B.V.</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40" w:type="dxa"/>
            <w:vAlign w:val="bottom"/>
            <w:tcBorders>
              <w:right w:val="single" w:sz="8" w:color="auto"/>
            </w:tcBorders>
            <w:gridSpan w:val="5"/>
          </w:tcPr>
          <w:p>
            <w:pPr>
              <w:ind w:left="6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w w:val="95"/>
              </w:rPr>
              <w:t xml:space="preserve">  (a)  </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9440" w:type="dxa"/>
            <w:vAlign w:val="bottom"/>
            <w:tcBorders>
              <w:right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44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Source of Funds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AF</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w w:val="97"/>
              </w:rPr>
              <w:t>  Netherlands</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1"/>
              </w:rPr>
              <w:t>  7.  </w:t>
            </w:r>
          </w:p>
        </w:tc>
        <w:tc>
          <w:tcPr>
            <w:tcW w:w="60" w:type="dxa"/>
            <w:vAlign w:val="bottom"/>
          </w:tcPr>
          <w:p>
            <w:pPr>
              <w:spacing w:after="0"/>
              <w:rPr>
                <w:sz w:val="20"/>
                <w:szCs w:val="20"/>
                <w:color w:val="auto"/>
              </w:rPr>
            </w:pPr>
          </w:p>
        </w:tc>
        <w:tc>
          <w:tcPr>
            <w:tcW w:w="9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60" w:type="dxa"/>
            <w:vAlign w:val="bottom"/>
            <w:tcBorders>
              <w:left w:val="single" w:sz="8" w:color="auto"/>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60" w:type="dxa"/>
            <w:vAlign w:val="bottom"/>
          </w:tcPr>
          <w:p>
            <w:pPr>
              <w:spacing w:after="0"/>
              <w:rPr>
                <w:sz w:val="10"/>
                <w:szCs w:val="10"/>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120"/>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spacing w:after="0"/>
              <w:rPr>
                <w:sz w:val="6"/>
                <w:szCs w:val="6"/>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9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6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9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38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right w:val="single" w:sz="8" w:color="auto"/>
            </w:tcBorders>
            <w:gridSpan w:val="2"/>
          </w:tcPr>
          <w:p>
            <w:pPr>
              <w:jc w:val="center"/>
              <w:ind w:left="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3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4"/>
              </w:rPr>
              <w:t>11.  </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Aggregate</w:t>
            </w:r>
          </w:p>
        </w:tc>
        <w:tc>
          <w:tcPr>
            <w:tcW w:w="9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w w:val="95"/>
              </w:rPr>
              <w:t>  8,682,920*</w:t>
            </w: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17.4%+</w:t>
            </w: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4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CO</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 meets or exceeds certain target prices as set forth in the Merger Agreement (as defined in Item 3).</w:t>
      </w:r>
    </w:p>
    <w:p>
      <w:pPr>
        <w:ind w:left="424"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50,035,824 shares of Common Stock outstanding as of November 14, 2023, as reported in the Issuer’s Form 10-Q filed with the SEC on November 14, 2023.</w:t>
      </w:r>
    </w:p>
    <w:p>
      <w:pPr>
        <w:sectPr>
          <w:pgSz w:w="11900" w:h="16838" w:orient="portrait"/>
          <w:cols w:equalWidth="0" w:num="1">
            <w:col w:w="10944"/>
          </w:cols>
          <w:pgMar w:left="436" w:top="270" w:right="51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63911H108</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1"/>
              </w:rPr>
              <w:t>  1.  </w:t>
            </w:r>
          </w:p>
        </w:tc>
        <w:tc>
          <w:tcPr>
            <w:tcW w:w="1044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Schlumberger Holdings Corporation</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40" w:type="dxa"/>
            <w:vAlign w:val="bottom"/>
            <w:tcBorders>
              <w:right w:val="single" w:sz="8" w:color="auto"/>
            </w:tcBorders>
            <w:gridSpan w:val="4"/>
          </w:tcPr>
          <w:p>
            <w:pPr>
              <w:ind w:left="6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w w:val="95"/>
              </w:rPr>
              <w:t xml:space="preserve">  (a)  </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9440" w:type="dxa"/>
            <w:vAlign w:val="bottom"/>
            <w:tcBorders>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Source of Funds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AF</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Delaware, United States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1"/>
              </w:rPr>
              <w:t>  7.  </w:t>
            </w: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06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60" w:type="dxa"/>
            <w:vAlign w:val="bottom"/>
            <w:tcBorders>
              <w:left w:val="single" w:sz="8" w:color="auto"/>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9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9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120"/>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6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right w:val="single" w:sz="8" w:color="auto"/>
            </w:tcBorders>
            <w:gridSpan w:val="2"/>
          </w:tcPr>
          <w:p>
            <w:pPr>
              <w:jc w:val="center"/>
              <w:ind w:left="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4"/>
              </w:rPr>
              <w:t>11.  </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Aggregate</w:t>
            </w: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w w:val="95"/>
              </w:rPr>
              <w:t>  8,682,920*</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17.4%+</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CO</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 meets or exceeds certain target prices as set forth in the Merger Agreement (as defined in Item 3).</w:t>
      </w:r>
    </w:p>
    <w:p>
      <w:pPr>
        <w:ind w:left="424" w:hanging="424"/>
        <w:spacing w:after="0" w:line="26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50,035,824 shares of Common Stock outstanding as of November 14, 2023, as reported in the Issuer’s Form 10-Q filed with the SEC on November 14, 2023.</w:t>
      </w:r>
    </w:p>
    <w:p>
      <w:pPr>
        <w:sectPr>
          <w:pgSz w:w="11900" w:h="16838" w:orient="portrait"/>
          <w:cols w:equalWidth="0" w:num="1">
            <w:col w:w="10944"/>
          </w:cols>
          <w:pgMar w:left="436" w:top="270" w:right="51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63911H108</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8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1"/>
              </w:rPr>
              <w:t>  1.  </w:t>
            </w:r>
          </w:p>
        </w:tc>
        <w:tc>
          <w:tcPr>
            <w:tcW w:w="10440" w:type="dxa"/>
            <w:vAlign w:val="bottom"/>
            <w:tcBorders>
              <w:top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Names of Reporting Persons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Schlumberger Technology Corporation</w:t>
            </w:r>
          </w:p>
        </w:tc>
        <w:tc>
          <w:tcPr>
            <w:tcW w:w="0" w:type="dxa"/>
            <w:vAlign w:val="bottom"/>
          </w:tcPr>
          <w:p>
            <w:pPr>
              <w:spacing w:after="0"/>
              <w:rPr>
                <w:sz w:val="1"/>
                <w:szCs w:val="1"/>
                <w:color w:val="auto"/>
              </w:rPr>
            </w:pPr>
          </w:p>
        </w:tc>
      </w:tr>
      <w:tr>
        <w:trPr>
          <w:trHeight w:val="162"/>
        </w:trPr>
        <w:tc>
          <w:tcPr>
            <w:tcW w:w="480" w:type="dxa"/>
            <w:vAlign w:val="bottom"/>
            <w:tcBorders>
              <w:left w:val="single" w:sz="8" w:color="auto"/>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8"/>
                <w:szCs w:val="18"/>
                <w:color w:val="auto"/>
              </w:rPr>
              <w:t>  2.</w:t>
            </w:r>
          </w:p>
        </w:tc>
        <w:tc>
          <w:tcPr>
            <w:tcW w:w="10440" w:type="dxa"/>
            <w:vAlign w:val="bottom"/>
            <w:tcBorders>
              <w:right w:val="single" w:sz="8" w:color="auto"/>
            </w:tcBorders>
            <w:gridSpan w:val="4"/>
          </w:tcPr>
          <w:p>
            <w:pPr>
              <w:ind w:left="60"/>
              <w:spacing w:after="0" w:line="162" w:lineRule="exact"/>
              <w:rPr>
                <w:sz w:val="20"/>
                <w:szCs w:val="20"/>
                <w:color w:val="auto"/>
              </w:rPr>
            </w:pPr>
            <w:r>
              <w:rPr>
                <w:rFonts w:ascii="Times New Roman" w:cs="Times New Roman" w:eastAsia="Times New Roman" w:hAnsi="Times New Roman"/>
                <w:sz w:val="18"/>
                <w:szCs w:val="18"/>
                <w:color w:val="auto"/>
              </w:rPr>
              <w:t>  Check the Appropriate Box if a Member of a Group</w:t>
            </w:r>
          </w:p>
        </w:tc>
        <w:tc>
          <w:tcPr>
            <w:tcW w:w="0" w:type="dxa"/>
            <w:vAlign w:val="bottom"/>
          </w:tcPr>
          <w:p>
            <w:pPr>
              <w:spacing w:after="0"/>
              <w:rPr>
                <w:sz w:val="1"/>
                <w:szCs w:val="1"/>
                <w:color w:val="auto"/>
              </w:rPr>
            </w:pPr>
          </w:p>
        </w:tc>
      </w:tr>
      <w:tr>
        <w:trPr>
          <w:trHeight w:val="303"/>
        </w:trPr>
        <w:tc>
          <w:tcPr>
            <w:tcW w:w="480" w:type="dxa"/>
            <w:vAlign w:val="bottom"/>
            <w:tcBorders>
              <w:left w:val="single" w:sz="8" w:color="auto"/>
              <w:right w:val="single" w:sz="8" w:color="auto"/>
            </w:tcBorders>
          </w:tcPr>
          <w:p>
            <w:pPr>
              <w:spacing w:after="0"/>
              <w:rPr>
                <w:sz w:val="24"/>
                <w:szCs w:val="24"/>
                <w:color w:val="auto"/>
              </w:rPr>
            </w:pPr>
          </w:p>
        </w:tc>
        <w:tc>
          <w:tcPr>
            <w:tcW w:w="6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w w:val="95"/>
              </w:rPr>
              <w:t xml:space="preserve">  (a)  </w:t>
            </w:r>
            <w:r>
              <w:rPr>
                <w:rFonts w:ascii="MS PGothic" w:cs="MS PGothic" w:eastAsia="MS PGothic" w:hAnsi="MS PGothic"/>
                <w:sz w:val="18"/>
                <w:szCs w:val="18"/>
                <w:color w:val="auto"/>
                <w:w w:val="95"/>
              </w:rPr>
              <w:t>☐</w:t>
            </w:r>
            <w:r>
              <w:rPr>
                <w:rFonts w:ascii="Times New Roman" w:cs="Times New Roman" w:eastAsia="Times New Roman" w:hAnsi="Times New Roman"/>
                <w:sz w:val="18"/>
                <w:szCs w:val="18"/>
                <w:color w:val="auto"/>
                <w:w w:val="95"/>
              </w:rPr>
              <w:t xml:space="preserve">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9440" w:type="dxa"/>
            <w:vAlign w:val="bottom"/>
            <w:tcBorders>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3.</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SEC Use Only</w:t>
            </w:r>
          </w:p>
        </w:tc>
        <w:tc>
          <w:tcPr>
            <w:tcW w:w="0" w:type="dxa"/>
            <w:vAlign w:val="bottom"/>
          </w:tcPr>
          <w:p>
            <w:pPr>
              <w:spacing w:after="0"/>
              <w:rPr>
                <w:sz w:val="1"/>
                <w:szCs w:val="1"/>
                <w:color w:val="auto"/>
              </w:rPr>
            </w:pPr>
          </w:p>
        </w:tc>
      </w:tr>
      <w:tr>
        <w:trPr>
          <w:trHeight w:val="238"/>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4.</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Source of Funds</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WC</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5.</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6.</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Citizenship or Place of Organization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Texas, United States</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1"/>
              </w:rPr>
              <w:t>  7.  </w:t>
            </w: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387"/>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060" w:type="dxa"/>
            <w:vAlign w:val="bottom"/>
            <w:tcBorders>
              <w:left w:val="single" w:sz="8" w:color="auto"/>
              <w:right w:val="single" w:sz="8" w:color="auto"/>
            </w:tcBorders>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Shares  </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060" w:type="dxa"/>
            <w:vAlign w:val="bottom"/>
            <w:tcBorders>
              <w:left w:val="single" w:sz="8" w:color="auto"/>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8.</w:t>
            </w: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4"/>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340" w:type="dxa"/>
            <w:vAlign w:val="bottom"/>
            <w:tcBorders>
              <w:right w:val="single" w:sz="8" w:color="auto"/>
            </w:tcBorders>
            <w:vMerge w:val="continue"/>
          </w:tcPr>
          <w:p>
            <w:pPr>
              <w:spacing w:after="0"/>
              <w:rPr>
                <w:sz w:val="9"/>
                <w:szCs w:val="9"/>
                <w:color w:val="auto"/>
              </w:rPr>
            </w:pPr>
          </w:p>
        </w:tc>
        <w:tc>
          <w:tcPr>
            <w:tcW w:w="9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tcBorders>
              <w:left w:val="single" w:sz="8" w:color="auto"/>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9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120"/>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9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auto"/>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58"/>
        </w:trPr>
        <w:tc>
          <w:tcPr>
            <w:tcW w:w="106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94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060" w:type="dxa"/>
            <w:vAlign w:val="bottom"/>
            <w:tcBorders>
              <w:left w:val="single" w:sz="8" w:color="auto"/>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right w:val="single" w:sz="8" w:color="auto"/>
            </w:tcBorders>
            <w:gridSpan w:val="2"/>
          </w:tcPr>
          <w:p>
            <w:pPr>
              <w:jc w:val="center"/>
              <w:ind w:left="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94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tcBorders>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8,682,920*</w:t>
            </w: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4"/>
              </w:rPr>
              <w:t>11.  </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Aggregate</w:t>
            </w:r>
          </w:p>
        </w:tc>
        <w:tc>
          <w:tcPr>
            <w:tcW w:w="9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w w:val="95"/>
              </w:rPr>
              <w:t>  8,682,920*</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Check if the Aggregate Amount in Row (11) Excludes Certain Shares</w:t>
            </w:r>
          </w:p>
        </w:tc>
        <w:tc>
          <w:tcPr>
            <w:tcW w:w="0" w:type="dxa"/>
            <w:vAlign w:val="bottom"/>
          </w:tcPr>
          <w:p>
            <w:pPr>
              <w:spacing w:after="0"/>
              <w:rPr>
                <w:sz w:val="1"/>
                <w:szCs w:val="1"/>
                <w:color w:val="auto"/>
              </w:rPr>
            </w:pPr>
          </w:p>
        </w:tc>
      </w:tr>
      <w:tr>
        <w:trPr>
          <w:trHeight w:val="454"/>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Percent of Class Represented by Amount in Row (11)</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  17.4%+</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1044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  Type of Reporting Person</w:t>
            </w:r>
          </w:p>
        </w:tc>
        <w:tc>
          <w:tcPr>
            <w:tcW w:w="0" w:type="dxa"/>
            <w:vAlign w:val="bottom"/>
          </w:tcPr>
          <w:p>
            <w:pPr>
              <w:spacing w:after="0"/>
              <w:rPr>
                <w:sz w:val="1"/>
                <w:szCs w:val="1"/>
                <w:color w:val="auto"/>
              </w:rPr>
            </w:pPr>
          </w:p>
        </w:tc>
      </w:tr>
      <w:tr>
        <w:trPr>
          <w:trHeight w:val="44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CO</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1,981,164 additional shares of Common Stock that STC has the right to receive if, on or before December 16, 2026, the Common Stock meets or exceeds certain target prices as set forth in the Merger Agreement (as defined in Item 3).</w:t>
      </w:r>
    </w:p>
    <w:p>
      <w:pPr>
        <w:ind w:left="424" w:hanging="424"/>
        <w:spacing w:after="0" w:line="26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50,035,824 shares of Common Stock outstanding as of November 14, 2023, as reported in the Issuer’s Form 10-Q filed with the SEC on November 14, 2023.</w:t>
      </w:r>
    </w:p>
    <w:p>
      <w:pPr>
        <w:sectPr>
          <w:pgSz w:w="11900" w:h="16838" w:orient="portrait"/>
          <w:cols w:equalWidth="0" w:num="1">
            <w:col w:w="10944"/>
          </w:cols>
          <w:pgMar w:left="436" w:top="270" w:right="51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NO. 1 TO SCHEDULE 13D</w:t>
      </w:r>
    </w:p>
    <w:p>
      <w:pPr>
        <w:spacing w:after="0" w:line="229"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following constitutes Amendment No. 1 (“Amendment No. 1”) to the Schedule 13D filed with the Securities and Exchange Commission (“SEC”) by Schlumberger N.V. (Schlumberger Limited) (“SLB”), Schlumberger B.V. (“SBV”), Schlumberger Holdings Corporation (“SHC”) and Schlumberger Technology Corporation (“STC”) on November 2, 2023. This Amendment No. 1 amends and supplements the Schedule 13D as specifically set forth herein.</w:t>
      </w:r>
    </w:p>
    <w:p>
      <w:pPr>
        <w:spacing w:after="0" w:line="18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Information given in response to each item shall be deemed incorporated by reference in all other items, as applicable.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4 of this Schedule 13D is supplemented and superseded, as the case may be, as follows:</w:t>
      </w:r>
    </w:p>
    <w:p>
      <w:pPr>
        <w:spacing w:after="0" w:line="117"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On April 4, 2024, the parties to the Agreement and Plan of Merger (the “3D Merger Agreement”), dated as of October 2, 2023, by and among the Issuer, Merger Sub, and 3D mutually agreed to terminate the 3D Merger Agreement (the “Termination”). As a result of the Termination, the previously disclosed Director Designation Letter Agreement and Company Stockholder Support Agreement were terminated.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131" w:lineRule="exact"/>
        <w:rPr>
          <w:sz w:val="20"/>
          <w:szCs w:val="20"/>
          <w:color w:val="auto"/>
        </w:rPr>
      </w:pPr>
    </w:p>
    <w:p>
      <w:pPr>
        <w:ind w:left="424"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STC directly holds 8,682,920 shares of Common Stock, constituting approximately 17.4% of the outstanding shares of Common Stock, based on 50,035,824 shares of Common Stock outstanding as of November 14, 2023, as reported in the Issuer’s Form 10-Q filed with the SEC on November 14, 2023. Since SHC controls STC, it is deemed to beneficially own the shares of Common Stock held directly by STC. Since SBV controls SHC, it is deemed to beneficially own the shares of Common Stock held directly by STC. Since SLB controls SBV, it is deemed to beneficially own the Common Stock held directly by STC. Such beneficial ownership excludes 1,981,164 additional shares of Common Stock that STC has the right to receive if, on or before December 16, 2026, the Common Stock meets or exceeds certain target prices as set forth in the Merger Agreement.</w:t>
      </w:r>
    </w:p>
    <w:p>
      <w:pPr>
        <w:spacing w:after="0" w:line="9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SBV, SHC and STC have shared voting power and shared dispositive power over the shares of Common Stock held directly by STC.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transactions in the shares of Common Stock effected by the Reporting Persons in the past 60 days.</w:t>
      </w:r>
    </w:p>
    <w:p>
      <w:pPr>
        <w:spacing w:after="0" w:line="130" w:lineRule="exact"/>
        <w:rPr>
          <w:rFonts w:ascii="Times New Roman" w:cs="Times New Roman" w:eastAsia="Times New Roman" w:hAnsi="Times New Roman"/>
          <w:sz w:val="18"/>
          <w:szCs w:val="18"/>
          <w:color w:val="auto"/>
        </w:rPr>
      </w:pPr>
    </w:p>
    <w:p>
      <w:pPr>
        <w:jc w:val="both"/>
        <w:ind w:left="424" w:right="40" w:hanging="424"/>
        <w:spacing w:after="0" w:line="266"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right to receive distributions from, or proceeds from the sale of, the Common Stock reported herein. Except as set forth in the preceding sentence, no other person is known by the Reporting Persons to have the right to receive or the power to direct the receipt of distributions from, or the proceeds from the sale of, Common Stock beneficially owned by the Reporting Persons.</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this Schedule 13D is supplemented and superseded, as the case may be, as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in Item 4 is incorporated herein by reference.</w:t>
      </w:r>
    </w:p>
    <w:p>
      <w:pPr>
        <w:sectPr>
          <w:pgSz w:w="11900" w:h="16838" w:orient="portrait"/>
          <w:cols w:equalWidth="0" w:num="1">
            <w:col w:w="11024"/>
          </w:cols>
          <w:pgMar w:left="436" w:top="266"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each of the undersigned certifies that the information set forth in this Schedule 13D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Eileen Hardell</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Eileen Hardell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Jeanne Morrissette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Jeanne Morrissette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Arindam Bhattacharya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Arindam Bhattacharya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2024-04-08T15:34:17Z</dcterms:created>
  <dcterms:modified xsi:type="dcterms:W3CDTF">2024-04-08T15:34:17Z</dcterms:modified>
</cp:coreProperties>
</file>