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Biguet Stephane</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20" w:type="dxa"/>
            <w:vAlign w:val="bottom"/>
            <w:tcBorders>
              <w:top w:val="single" w:sz="8" w:color="0000EE"/>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01/18/2019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Finance</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jc w:val="center"/>
              <w:ind w:left="4"/>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10,927</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18,035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12,000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30,035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49"/>
              <w:spacing w:after="0"/>
              <w:rPr>
                <w:sz w:val="20"/>
                <w:szCs w:val="20"/>
                <w:color w:val="auto"/>
              </w:rPr>
            </w:pPr>
            <w:r>
              <w:rPr>
                <w:rFonts w:ascii="Arial" w:cs="Arial" w:eastAsia="Arial" w:hAnsi="Arial"/>
                <w:sz w:val="18"/>
                <w:szCs w:val="18"/>
                <w:color w:val="0000FF"/>
                <w:w w:val="84"/>
              </w:rPr>
              <w:t>9,117</w:t>
            </w:r>
          </w:p>
        </w:tc>
        <w:tc>
          <w:tcPr>
            <w:tcW w:w="34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43.97</w:t>
            </w: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20,918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8"/>
              </w:rPr>
              <w:t>6,000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18, 2019 upon achievement of the performance criteria and vesting of performance share units granted on January 21,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18, 2019 upon achievement of the performance criteria and vesting of performance share units granted on January 19, 2017.</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2019-12-23T21:22:48Z</dcterms:created>
  <dcterms:modified xsi:type="dcterms:W3CDTF">2019-12-23T21:22:48Z</dcterms:modified>
</cp:coreProperties>
</file>