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b/>
          <w:sz w:val="22"/>
        </w:rPr>
      </w:pPr>
      <w:bookmarkStart w:id="0" w:name="d937974d425.htm"/>
      <w:bookmarkStart w:id="1" w:name="ksd937974d425"/>
      <w:bookmarkEnd w:id="0"/>
      <w:bookmarkEnd w:id="1"/>
      <w:r>
        <w:rPr>
          <w:rFonts w:ascii="ARIAL" w:hAnsi="ARIAL"/>
          <w:b/>
          <w:sz w:val="22"/>
        </w:rPr>
        <w:t xml:space="preserve">Filed by Schlumberger N.V. </w:t>
      </w:r>
    </w:p>
    <w:p>
      <w:pPr>
        <w:pStyle w:val="TextBody"/>
        <w:bidi w:val="0"/>
        <w:spacing w:before="0" w:after="0"/>
        <w:jc w:val="right"/>
        <w:rPr>
          <w:rFonts w:ascii="ARIAL" w:hAnsi="ARIAL"/>
          <w:b/>
          <w:sz w:val="22"/>
        </w:rPr>
      </w:pPr>
      <w:r>
        <w:rPr>
          <w:rFonts w:ascii="ARIAL" w:hAnsi="ARIAL"/>
          <w:b/>
          <w:sz w:val="22"/>
        </w:rPr>
        <w:t xml:space="preserve">pursuant to Rule 425 under the Securities Act of 1933 </w:t>
      </w:r>
    </w:p>
    <w:p>
      <w:pPr>
        <w:pStyle w:val="TextBody"/>
        <w:bidi w:val="0"/>
        <w:spacing w:before="0" w:after="0"/>
        <w:jc w:val="right"/>
        <w:rPr>
          <w:rFonts w:ascii="ARIAL" w:hAnsi="ARIAL"/>
          <w:b/>
          <w:sz w:val="22"/>
        </w:rPr>
      </w:pPr>
      <w:r>
        <w:rPr>
          <w:rFonts w:ascii="ARIAL" w:hAnsi="ARIAL"/>
          <w:b/>
          <w:sz w:val="22"/>
        </w:rPr>
        <w:t xml:space="preserve">and deemed filed pursuant to Rule 14a-12 </w:t>
      </w:r>
    </w:p>
    <w:p>
      <w:pPr>
        <w:pStyle w:val="TextBody"/>
        <w:bidi w:val="0"/>
        <w:spacing w:before="0" w:after="0"/>
        <w:jc w:val="right"/>
        <w:rPr>
          <w:rFonts w:ascii="ARIAL" w:hAnsi="ARIAL"/>
          <w:b/>
          <w:sz w:val="22"/>
        </w:rPr>
      </w:pPr>
      <w:r>
        <w:rPr>
          <w:rFonts w:ascii="ARIAL" w:hAnsi="ARIAL"/>
          <w:b/>
          <w:sz w:val="22"/>
        </w:rPr>
        <w:t xml:space="preserve">under the Securities Exchange Act of 1934 </w:t>
      </w:r>
    </w:p>
    <w:p>
      <w:pPr>
        <w:pStyle w:val="TextBody"/>
        <w:bidi w:val="0"/>
        <w:spacing w:before="0" w:after="0"/>
        <w:jc w:val="right"/>
        <w:rPr>
          <w:rFonts w:ascii="ARIAL" w:hAnsi="ARIAL"/>
          <w:b/>
          <w:sz w:val="22"/>
        </w:rPr>
      </w:pPr>
      <w:r>
        <w:rPr>
          <w:rFonts w:ascii="ARIAL" w:hAnsi="ARIAL"/>
          <w:b/>
          <w:sz w:val="22"/>
        </w:rPr>
        <w:t xml:space="preserve">Subject Company: ChampionX Corporation </w:t>
      </w:r>
    </w:p>
    <w:p>
      <w:pPr>
        <w:pStyle w:val="TextBody"/>
        <w:bidi w:val="0"/>
        <w:spacing w:before="0" w:after="0"/>
        <w:jc w:val="right"/>
        <w:rPr>
          <w:rFonts w:ascii="ARIAL" w:hAnsi="ARIAL"/>
          <w:b/>
          <w:sz w:val="22"/>
        </w:rPr>
      </w:pPr>
      <w:r>
        <w:rPr>
          <w:rFonts w:ascii="ARIAL" w:hAnsi="ARIAL"/>
          <w:b/>
          <w:sz w:val="22"/>
        </w:rPr>
        <w:t>Filers SEC File No.: </w:t>
      </w:r>
      <w:r>
        <w:rPr>
          <w:rFonts w:ascii="ARIAL" w:hAnsi="ARIAL"/>
          <w:b/>
          <w:sz w:val="22"/>
          <w:u w:val="single"/>
        </w:rPr>
        <w:t>001-38441</w:t>
      </w:r>
      <w:r>
        <w:rPr>
          <w:rFonts w:ascii="ARIAL" w:hAnsi="ARIAL"/>
          <w:b/>
          <w:sz w:val="22"/>
        </w:rPr>
        <w:t xml:space="preserve"> </w:t>
      </w:r>
    </w:p>
    <w:p>
      <w:pPr>
        <w:pStyle w:val="TextBody"/>
        <w:bidi w:val="0"/>
        <w:spacing w:before="0" w:after="0"/>
        <w:jc w:val="right"/>
        <w:rPr>
          <w:rFonts w:ascii="ARIAL" w:hAnsi="ARIAL"/>
          <w:b/>
          <w:sz w:val="22"/>
        </w:rPr>
      </w:pPr>
      <w:r>
        <w:rPr>
          <w:rFonts w:ascii="ARIAL" w:hAnsi="ARIAL"/>
          <w:b/>
          <w:sz w:val="22"/>
        </w:rPr>
        <w:t xml:space="preserve">Date: April 10, 2025 </w:t>
      </w:r>
    </w:p>
    <w:p>
      <w:pPr>
        <w:pStyle w:val="TextBody"/>
        <w:bidi w:val="0"/>
        <w:spacing w:before="360" w:after="0"/>
        <w:jc w:val="left"/>
        <w:rPr>
          <w:rFonts w:ascii="ARIAL" w:hAnsi="ARIAL"/>
          <w:sz w:val="22"/>
        </w:rPr>
      </w:pPr>
      <w:r>
        <w:rPr>
          <w:rFonts w:ascii="ARIAL" w:hAnsi="ARIAL"/>
          <w:sz w:val="22"/>
        </w:rPr>
        <w:t xml:space="preserve">Update on the planned acquisition of ChampionX </w:t>
      </w:r>
    </w:p>
    <w:p>
      <w:pPr>
        <w:pStyle w:val="TextBody"/>
        <w:bidi w:val="0"/>
        <w:spacing w:before="240" w:after="0"/>
        <w:jc w:val="left"/>
        <w:rPr>
          <w:rFonts w:ascii="ARIAL" w:hAnsi="ARIAL"/>
          <w:sz w:val="22"/>
        </w:rPr>
      </w:pPr>
      <w:r>
        <w:rPr>
          <w:rFonts w:ascii="ARIAL" w:hAnsi="ARIAL"/>
          <w:sz w:val="22"/>
        </w:rPr>
        <w:t xml:space="preserve">Published: 04/10/2025 </w:t>
      </w:r>
    </w:p>
    <w:p>
      <w:pPr>
        <w:pStyle w:val="TextBody"/>
        <w:bidi w:val="0"/>
        <w:spacing w:before="240" w:after="0"/>
        <w:jc w:val="left"/>
        <w:rPr>
          <w:rFonts w:ascii="ARIAL" w:hAnsi="ARIAL"/>
          <w:sz w:val="22"/>
        </w:rPr>
      </w:pPr>
      <w:r>
        <w:rPr>
          <w:rFonts w:ascii="ARIAL" w:hAnsi="ARIAL"/>
          <w:sz w:val="22"/>
        </w:rPr>
        <w:t xml:space="preserve">SLB today announced that the United Kingdom Competition and Markets Authority (CMA) has agreed to consider SLBs proposed actions to address concerns around the ChampionX acquisition as part of the CMAs Phase 1 review. </w:t>
      </w:r>
    </w:p>
    <w:p>
      <w:pPr>
        <w:pStyle w:val="TextBody"/>
        <w:bidi w:val="0"/>
        <w:spacing w:before="240" w:after="0"/>
        <w:jc w:val="left"/>
        <w:rPr>
          <w:rFonts w:ascii="ARIAL" w:hAnsi="ARIAL"/>
          <w:sz w:val="22"/>
        </w:rPr>
      </w:pPr>
      <w:r>
        <w:rPr>
          <w:rFonts w:ascii="ARIAL" w:hAnsi="ARIAL"/>
          <w:sz w:val="22"/>
        </w:rPr>
        <w:t xml:space="preserve">The proposal includes the following potential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306"/>
        <w:gridCol w:w="102"/>
        <w:gridCol w:w="9186"/>
      </w:tblGrid>
      <w:tr>
        <w:trPr/>
        <w:tc>
          <w:tcPr>
            <w:tcW w:w="61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ARIAL" w:hAnsi="ARIAL"/>
                <w:sz w:val="22"/>
              </w:rPr>
            </w:pPr>
            <w:r>
              <w:rPr>
                <w:rFonts w:ascii="ARIAL" w:hAnsi="ARIAL"/>
                <w:sz w:val="22"/>
              </w:rPr>
              <w:t xml:space="preserve">Divestiture of the ChampionX U.S. Synthetic business, previously approved by U.S.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306"/>
        <w:gridCol w:w="102"/>
        <w:gridCol w:w="9186"/>
      </w:tblGrid>
      <w:tr>
        <w:trPr/>
        <w:tc>
          <w:tcPr>
            <w:tcW w:w="61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ARIAL" w:hAnsi="ARIAL"/>
                <w:sz w:val="22"/>
              </w:rPr>
            </w:pPr>
            <w:r>
              <w:rPr>
                <w:rFonts w:ascii="ARIAL" w:hAnsi="ARIAL"/>
                <w:sz w:val="22"/>
              </w:rPr>
              <w:t xml:space="preserve">Divestiture of all of SLBs production chemicals business in the United Kingdom, which represents less than 1% of the value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305"/>
        <w:gridCol w:w="101"/>
        <w:gridCol w:w="9188"/>
      </w:tblGrid>
      <w:tr>
        <w:trPr/>
        <w:tc>
          <w:tcPr>
            <w:tcW w:w="61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ARIAL" w:hAnsi="ARIAL"/>
                <w:sz w:val="22"/>
              </w:rPr>
            </w:pPr>
            <w:r>
              <w:rPr>
                <w:rFonts w:ascii="ARIAL" w:hAnsi="ARIAL"/>
                <w:sz w:val="22"/>
              </w:rPr>
              <w:t xml:space="preserve">Commercial remedies for the Quartzdyne business that include long-term supply agreements to customers and licensing of intellectual property. </w:t>
            </w:r>
          </w:p>
        </w:tc>
      </w:tr>
    </w:tbl>
    <w:p>
      <w:pPr>
        <w:pStyle w:val="TextBody"/>
        <w:bidi w:val="0"/>
        <w:spacing w:before="240" w:after="0"/>
        <w:jc w:val="left"/>
        <w:rPr>
          <w:rFonts w:ascii="ARIAL" w:hAnsi="ARIAL"/>
          <w:sz w:val="22"/>
        </w:rPr>
      </w:pPr>
      <w:r>
        <w:rPr>
          <w:rFonts w:ascii="ARIAL" w:hAnsi="ARIAL"/>
          <w:sz w:val="22"/>
        </w:rPr>
        <w:t xml:space="preserve">SLB is pleased with this further progress and will continue its collaboration with the CMA and other regulators toward an anticipated closing in Q2 or early Q3. </w:t>
      </w:r>
    </w:p>
    <w:p>
      <w:pPr>
        <w:pStyle w:val="TextBody"/>
        <w:bidi w:val="0"/>
        <w:spacing w:before="240" w:after="0"/>
        <w:jc w:val="left"/>
        <w:rPr>
          <w:rFonts w:ascii="ARIAL" w:hAnsi="ARIAL"/>
          <w:sz w:val="22"/>
        </w:rPr>
      </w:pPr>
      <w:r>
        <w:rPr>
          <w:rFonts w:ascii="ARIAL" w:hAnsi="ARIAL"/>
          <w:sz w:val="22"/>
        </w:rPr>
        <w:t xml:space="preserve">Announced in April 2024, SLB and ChampionX entered into a definitive agreement for SLB to purchase ChampionX. The combined portfolios will drive customer value through deep industry expertise and digital integration, as well as enhanced equipment life and production optimization. </w:t>
      </w:r>
    </w:p>
    <w:p>
      <w:pPr>
        <w:pStyle w:val="TextBody"/>
        <w:bidi w:val="0"/>
        <w:spacing w:before="360" w:after="0"/>
        <w:jc w:val="left"/>
        <w:rPr>
          <w:rFonts w:ascii="ARIAL" w:hAnsi="ARIAL"/>
          <w:b/>
          <w:sz w:val="18"/>
        </w:rPr>
      </w:pPr>
      <w:r>
        <w:rPr>
          <w:rFonts w:ascii="ARIAL" w:hAnsi="ARIAL"/>
          <w:b/>
          <w:sz w:val="18"/>
        </w:rPr>
        <w:t xml:space="preserve">Forward-Looking Statements </w:t>
      </w:r>
    </w:p>
    <w:p>
      <w:pPr>
        <w:pStyle w:val="TextBody"/>
        <w:bidi w:val="0"/>
        <w:spacing w:before="80" w:after="0"/>
        <w:jc w:val="left"/>
        <w:rPr>
          <w:rFonts w:ascii="ARIAL" w:hAnsi="ARIAL"/>
          <w:sz w:val="18"/>
        </w:rPr>
      </w:pPr>
      <w:r>
        <w:rPr>
          <w:rFonts w:ascii="ARIAL" w:hAnsi="ARIAL"/>
          <w:sz w:val="18"/>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0" w:after="0"/>
        <w:jc w:val="left"/>
        <w:rPr>
          <w:rFonts w:ascii="ARIAL" w:hAnsi="ARIAL"/>
          <w:sz w:val="18"/>
        </w:rPr>
      </w:pPr>
      <w:r>
        <w:rPr>
          <w:rFonts w:ascii="ARIAL" w:hAnsi="ARIAL"/>
          <w:sz w:val="18"/>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2024, as filed with the SEC on January 22, 2025, and Part 1, Item 1A. Risk Factors in ChampionXs Annual Report on Form 10-K for the year ended December 31, 2024 filed with the SEC on February 5, 2025, and each of their respective, subsequent Quarterly Reports on Form 10-Q and Current Reports on Form 8-K. </w:t>
      </w:r>
    </w:p>
    <w:p>
      <w:pPr>
        <w:pStyle w:val="TextBody"/>
        <w:bidi w:val="0"/>
        <w:spacing w:before="0" w:after="0"/>
        <w:jc w:val="left"/>
        <w:rPr>
          <w:rFonts w:ascii="ARIAL" w:hAnsi="ARIAL"/>
          <w:sz w:val="18"/>
        </w:rPr>
      </w:pPr>
      <w:r>
        <w:rPr>
          <w:rFonts w:ascii="ARIAL" w:hAnsi="ARIAL"/>
          <w:sz w:val="18"/>
        </w:rPr>
        <w:t xml:space="preserve">These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0" w:after="0"/>
        <w:jc w:val="left"/>
        <w:rPr>
          <w:rFonts w:ascii="ARIAL" w:hAnsi="ARIAL"/>
          <w:sz w:val="18"/>
        </w:rPr>
      </w:pPr>
      <w:r>
        <w:rPr>
          <w:rFonts w:ascii="ARIAL" w:hAnsi="ARIAL"/>
          <w:sz w:val="18"/>
        </w:rPr>
        <w:t xml:space="preserve">These risks, as well as other risks related to the proposed transaction, are included in the Form S-4 and proxy statement/prospectus that have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0" w:after="0"/>
        <w:jc w:val="left"/>
        <w:rPr>
          <w:rFonts w:ascii="ARIAL" w:hAnsi="ARIAL"/>
          <w:sz w:val="18"/>
        </w:rPr>
      </w:pPr>
      <w:r>
        <w:rPr>
          <w:rFonts w:ascii="ARIAL" w:hAnsi="ARIAL"/>
          <w:b/>
          <w:sz w:val="18"/>
        </w:rPr>
        <w:t>Additional Information about the Transaction with ChampionX and Where to Find It</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18"/>
        </w:rPr>
      </w:pPr>
      <w:r>
        <w:rPr>
          <w:rFonts w:ascii="ARIAL" w:hAnsi="ARIAL"/>
          <w:sz w:val="18"/>
        </w:rPr>
        <w:t xml:space="preserve">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and other documents (if and when available)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1676</Words>
  <Characters>8989</Characters>
  <CharactersWithSpaces>10543</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