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Al Mogharbel Khaled</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3820" w:type="dxa"/>
            <w:vAlign w:val="bottom"/>
            <w:gridSpan w:val="2"/>
          </w:tcPr>
          <w:p>
            <w:pPr>
              <w:ind w:left="80"/>
              <w:spacing w:after="0" w:line="208" w:lineRule="exact"/>
              <w:rPr>
                <w:rFonts w:ascii="Arial" w:cs="Arial" w:eastAsia="Arial" w:hAnsi="Arial"/>
                <w:sz w:val="21"/>
                <w:szCs w:val="21"/>
                <w:color w:val="0000EE"/>
              </w:rPr>
            </w:pPr>
            <w:hyperlink r:id="rId14">
              <w:r>
                <w:rPr>
                  <w:rFonts w:ascii="Arial" w:cs="Arial" w:eastAsia="Arial" w:hAnsi="Arial"/>
                  <w:sz w:val="21"/>
                  <w:szCs w:val="21"/>
                  <w:u w:val="single" w:color="auto"/>
                  <w:color w:val="0000EE"/>
                </w:rPr>
                <w:t>SCHLUMBERGER LIMITED/NV</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1"/>
        </w:trPr>
        <w:tc>
          <w:tcPr>
            <w:tcW w:w="20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0" w:type="dxa"/>
            <w:vAlign w:val="bottom"/>
            <w:tcBorders>
              <w:bottom w:val="single" w:sz="8" w:color="2C2C2C"/>
            </w:tcBorders>
          </w:tcPr>
          <w:p>
            <w:pPr>
              <w:spacing w:after="0"/>
              <w:rPr>
                <w:sz w:val="12"/>
                <w:szCs w:val="12"/>
                <w:color w:val="auto"/>
              </w:rPr>
            </w:pPr>
          </w:p>
        </w:tc>
        <w:tc>
          <w:tcPr>
            <w:tcW w:w="362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line="139"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39"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2"/>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9"/>
        </w:trPr>
        <w:tc>
          <w:tcPr>
            <w:tcW w:w="200" w:type="dxa"/>
            <w:vAlign w:val="bottom"/>
            <w:vMerge w:val="continue"/>
          </w:tcPr>
          <w:p>
            <w:pPr>
              <w:spacing w:after="0"/>
              <w:rPr>
                <w:sz w:val="5"/>
                <w:szCs w:val="5"/>
                <w:color w:val="auto"/>
              </w:rPr>
            </w:pPr>
          </w:p>
        </w:tc>
        <w:tc>
          <w:tcPr>
            <w:tcW w:w="3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04/03/2020</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0" w:type="dxa"/>
            <w:vAlign w:val="bottom"/>
            <w:gridSpan w:val="2"/>
          </w:tcPr>
          <w:p>
            <w:pPr>
              <w:ind w:left="580"/>
              <w:spacing w:after="0"/>
              <w:rPr>
                <w:sz w:val="20"/>
                <w:szCs w:val="20"/>
                <w:color w:val="auto"/>
              </w:rPr>
            </w:pPr>
            <w:r>
              <w:rPr>
                <w:rFonts w:ascii="Arial" w:cs="Arial" w:eastAsia="Arial" w:hAnsi="Arial"/>
                <w:sz w:val="17"/>
                <w:szCs w:val="17"/>
                <w:color w:val="0000FF"/>
              </w:rPr>
              <w:t>EVP, Operations</w:t>
            </w:r>
          </w:p>
        </w:tc>
        <w:tc>
          <w:tcPr>
            <w:tcW w:w="0" w:type="dxa"/>
            <w:vAlign w:val="bottom"/>
          </w:tcPr>
          <w:p>
            <w:pPr>
              <w:spacing w:after="0"/>
              <w:rPr>
                <w:sz w:val="1"/>
                <w:szCs w:val="1"/>
                <w:color w:val="auto"/>
              </w:rPr>
            </w:pPr>
          </w:p>
        </w:tc>
      </w:tr>
      <w:tr>
        <w:trPr>
          <w:trHeight w:val="234"/>
        </w:trPr>
        <w:tc>
          <w:tcPr>
            <w:tcW w:w="200" w:type="dxa"/>
            <w:vAlign w:val="bottom"/>
            <w:tcBorders>
              <w:bottom w:val="single" w:sz="8" w:color="2C2C2C"/>
            </w:tcBorders>
          </w:tcPr>
          <w:p>
            <w:pPr>
              <w:spacing w:after="0"/>
              <w:rPr>
                <w:sz w:val="20"/>
                <w:szCs w:val="20"/>
                <w:color w:val="auto"/>
              </w:rPr>
            </w:pPr>
          </w:p>
        </w:tc>
        <w:tc>
          <w:tcPr>
            <w:tcW w:w="36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310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159385</wp:posOffset>
            </wp:positionV>
            <wp:extent cx="6964045" cy="1345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345565"/>
                    </a:xfrm>
                    <a:prstGeom prst="rect">
                      <a:avLst/>
                    </a:prstGeom>
                    <a:noFill/>
                  </pic:spPr>
                </pic:pic>
              </a:graphicData>
            </a:graphic>
          </wp:anchor>
        </w:drawing>
      </w:r>
    </w:p>
    <w:p>
      <w:pPr>
        <w:spacing w:after="0" w:line="312"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1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 $0.01 Par Value Per Share</w:t>
            </w:r>
          </w:p>
        </w:tc>
        <w:tc>
          <w:tcPr>
            <w:tcW w:w="1120" w:type="dxa"/>
            <w:vAlign w:val="bottom"/>
            <w:tcBorders>
              <w:bottom w:val="single" w:sz="8" w:color="2C2C2C"/>
            </w:tcBorders>
            <w:gridSpan w:val="2"/>
          </w:tcPr>
          <w:p>
            <w:pPr>
              <w:jc w:val="right"/>
              <w:ind w:right="80"/>
              <w:spacing w:after="0"/>
              <w:rPr>
                <w:sz w:val="20"/>
                <w:szCs w:val="20"/>
                <w:color w:val="auto"/>
              </w:rPr>
            </w:pPr>
            <w:r>
              <w:rPr>
                <w:rFonts w:ascii="Arial" w:cs="Arial" w:eastAsia="Arial" w:hAnsi="Arial"/>
                <w:sz w:val="17"/>
                <w:szCs w:val="17"/>
                <w:color w:val="0000FF"/>
              </w:rPr>
              <w:t>04/03/2020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2,764</w:t>
            </w:r>
            <w:r>
              <w:rPr>
                <w:rFonts w:ascii="Arial" w:cs="Arial" w:eastAsia="Arial" w:hAnsi="Arial"/>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121,159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3100" w:type="dxa"/>
            <w:vAlign w:val="bottom"/>
            <w:gridSpan w:val="4"/>
          </w:tcPr>
          <w:p>
            <w:pPr>
              <w:ind w:left="60"/>
              <w:spacing w:after="0"/>
              <w:rPr>
                <w:sz w:val="20"/>
                <w:szCs w:val="20"/>
                <w:color w:val="auto"/>
              </w:rPr>
            </w:pPr>
            <w:r>
              <w:rPr>
                <w:rFonts w:ascii="Arial" w:cs="Arial" w:eastAsia="Arial" w:hAnsi="Arial"/>
                <w:sz w:val="17"/>
                <w:szCs w:val="17"/>
                <w:color w:val="0000FF"/>
                <w:w w:val="91"/>
              </w:rPr>
              <w:t>Common Stock, $0.01 Par Value Per Share</w:t>
            </w: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0000FF"/>
              </w:rPr>
              <w:t>04/03/2020</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Pr>
          <w:p>
            <w:pPr>
              <w:jc w:val="right"/>
              <w:ind w:right="53"/>
              <w:spacing w:after="0"/>
              <w:rPr>
                <w:sz w:val="20"/>
                <w:szCs w:val="20"/>
                <w:color w:val="auto"/>
              </w:rPr>
            </w:pPr>
            <w:r>
              <w:rPr>
                <w:rFonts w:ascii="Arial" w:cs="Arial" w:eastAsia="Arial" w:hAnsi="Arial"/>
                <w:sz w:val="17"/>
                <w:szCs w:val="17"/>
                <w:color w:val="0000FF"/>
              </w:rPr>
              <w:t>1,088</w:t>
            </w:r>
          </w:p>
        </w:tc>
        <w:tc>
          <w:tcPr>
            <w:tcW w:w="420" w:type="dxa"/>
            <w:vAlign w:val="bottom"/>
          </w:tcPr>
          <w:p>
            <w:pPr>
              <w:ind w:left="280"/>
              <w:spacing w:after="0"/>
              <w:rPr>
                <w:sz w:val="20"/>
                <w:szCs w:val="20"/>
                <w:color w:val="auto"/>
              </w:rPr>
            </w:pPr>
            <w:r>
              <w:rPr>
                <w:rFonts w:ascii="Arial" w:cs="Arial" w:eastAsia="Arial" w:hAnsi="Arial"/>
                <w:sz w:val="17"/>
                <w:szCs w:val="17"/>
                <w:color w:val="0000FF"/>
                <w:w w:val="97"/>
              </w:rPr>
              <w:t>D</w:t>
            </w:r>
          </w:p>
        </w:tc>
        <w:tc>
          <w:tcPr>
            <w:tcW w:w="220" w:type="dxa"/>
            <w:vAlign w:val="bottom"/>
          </w:tcPr>
          <w:p>
            <w:pPr>
              <w:spacing w:after="0"/>
              <w:rPr>
                <w:sz w:val="23"/>
                <w:szCs w:val="23"/>
                <w:color w:val="auto"/>
              </w:rPr>
            </w:pP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14.19</w:t>
            </w:r>
          </w:p>
        </w:tc>
        <w:tc>
          <w:tcPr>
            <w:tcW w:w="1200" w:type="dxa"/>
            <w:vAlign w:val="bottom"/>
            <w:gridSpan w:val="2"/>
          </w:tcPr>
          <w:p>
            <w:pPr>
              <w:ind w:left="280"/>
              <w:spacing w:after="0"/>
              <w:rPr>
                <w:sz w:val="20"/>
                <w:szCs w:val="20"/>
                <w:color w:val="auto"/>
              </w:rPr>
            </w:pPr>
            <w:r>
              <w:rPr>
                <w:rFonts w:ascii="Arial" w:cs="Arial" w:eastAsia="Arial" w:hAnsi="Arial"/>
                <w:sz w:val="17"/>
                <w:szCs w:val="17"/>
                <w:color w:val="0000FF"/>
              </w:rPr>
              <w:t>120,071</w:t>
            </w:r>
          </w:p>
        </w:tc>
        <w:tc>
          <w:tcPr>
            <w:tcW w:w="920" w:type="dxa"/>
            <w:vAlign w:val="bottom"/>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1"/>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43"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Company granted performance share units ("PSUs") to the reporting person on January 19, 2017. Vesting of the PSUs was based on three-year Company performance relative to select key competitors. Most of these competitors had not reported their 2019 audited financial results when the Company's compensation committee met in January 2020 to certify performance under the PSUs. As a result, the Company's compensation committee approved the issuance of 90% of the shares that the committee determined had been earned according to the information available to the committee at the time. As of April 3, 2020, all such competitors had reported their 2019 audited financial results. Shares of common stock reported hereunder represent shares finally determined to have been earned under the PSUs.</w:t>
      </w:r>
    </w:p>
    <w:p>
      <w:pPr>
        <w:ind w:left="6580"/>
        <w:spacing w:after="0" w:line="184" w:lineRule="auto"/>
        <w:rPr>
          <w:sz w:val="20"/>
          <w:szCs w:val="20"/>
          <w:color w:val="auto"/>
        </w:rPr>
      </w:pPr>
      <w:r>
        <w:rPr>
          <w:rFonts w:ascii="Arial" w:cs="Arial" w:eastAsia="Arial" w:hAnsi="Arial"/>
          <w:sz w:val="17"/>
          <w:szCs w:val="17"/>
          <w:color w:val="0000FF"/>
        </w:rPr>
        <w:t xml:space="preserve">/s/ Saul R. Laureles, Attorney- </w:t>
      </w:r>
      <w:r>
        <w:rPr>
          <w:rFonts w:ascii="Arial" w:cs="Arial" w:eastAsia="Arial" w:hAnsi="Arial"/>
          <w:sz w:val="32"/>
          <w:szCs w:val="32"/>
          <w:color w:val="0000FF"/>
          <w:vertAlign w:val="subscript"/>
        </w:rPr>
        <w:t>04/07/2020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42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580649" TargetMode="External"/><Relationship Id="rId14"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2020-04-07T15:02:42Z</dcterms:created>
  <dcterms:modified xsi:type="dcterms:W3CDTF">2020-04-07T15:02:42Z</dcterms:modified>
</cp:coreProperties>
</file>