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181610</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61595</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-95885</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ind w:left="520" w:hanging="51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65405</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Schlumberger N.V.</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(Schlumberger Limited)</w:t>
      </w: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96520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49" w:lineRule="exact"/>
        <w:rPr>
          <w:sz w:val="24"/>
          <w:szCs w:val="24"/>
          <w:color w:val="auto"/>
        </w:rPr>
      </w:pPr>
    </w:p>
    <w:tbl>
      <w:tblPr>
        <w:tblLayout w:type="fixed"/>
        <w:tblInd w:w="132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3560" w:type="dxa"/>
            <w:vAlign w:val="bottom"/>
            <w:gridSpan w:val="2"/>
          </w:tcPr>
          <w:p>
            <w:pPr>
              <w:jc w:val="center"/>
              <w:ind w:right="2429"/>
              <w:spacing w:after="0"/>
              <w:rPr>
                <w:sz w:val="20"/>
                <w:szCs w:val="20"/>
                <w:color w:val="auto"/>
              </w:rPr>
            </w:pPr>
            <w:r>
              <w:rPr>
                <w:rFonts w:ascii="Times New Roman" w:cs="Times New Roman" w:eastAsia="Times New Roman" w:hAnsi="Times New Roman"/>
                <w:sz w:val="16"/>
                <w:szCs w:val="16"/>
                <w:b w:val="1"/>
                <w:bCs w:val="1"/>
                <w:color w:val="auto"/>
                <w:w w:val="98"/>
              </w:rPr>
              <w:t>Curaçao</w:t>
            </w:r>
          </w:p>
        </w:tc>
        <w:tc>
          <w:tcPr>
            <w:tcW w:w="3640" w:type="dxa"/>
            <w:vAlign w:val="bottom"/>
            <w:gridSpan w:val="2"/>
          </w:tcPr>
          <w:p>
            <w:pPr>
              <w:jc w:val="center"/>
              <w:ind w:left="1870"/>
              <w:spacing w:after="0"/>
              <w:rPr>
                <w:sz w:val="20"/>
                <w:szCs w:val="20"/>
                <w:color w:val="auto"/>
              </w:rPr>
            </w:pPr>
            <w:r>
              <w:rPr>
                <w:rFonts w:ascii="Times New Roman" w:cs="Times New Roman" w:eastAsia="Times New Roman" w:hAnsi="Times New Roman"/>
                <w:sz w:val="16"/>
                <w:szCs w:val="16"/>
                <w:b w:val="1"/>
                <w:bCs w:val="1"/>
                <w:color w:val="auto"/>
              </w:rPr>
              <w:t>52-0684746</w:t>
            </w:r>
          </w:p>
        </w:tc>
        <w:tc>
          <w:tcPr>
            <w:tcW w:w="0" w:type="dxa"/>
            <w:vAlign w:val="bottom"/>
          </w:tcPr>
          <w:p>
            <w:pPr>
              <w:spacing w:after="0"/>
              <w:rPr>
                <w:sz w:val="1"/>
                <w:szCs w:val="1"/>
                <w:color w:val="auto"/>
              </w:rPr>
            </w:pPr>
          </w:p>
        </w:tc>
      </w:tr>
      <w:tr>
        <w:trPr>
          <w:trHeight w:val="161"/>
        </w:trPr>
        <w:tc>
          <w:tcPr>
            <w:tcW w:w="4520" w:type="dxa"/>
            <w:vAlign w:val="bottom"/>
            <w:gridSpan w:val="3"/>
          </w:tcPr>
          <w:p>
            <w:pPr>
              <w:jc w:val="center"/>
              <w:ind w:right="1489"/>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3640" w:type="dxa"/>
            <w:vAlign w:val="bottom"/>
            <w:gridSpan w:val="2"/>
          </w:tcPr>
          <w:p>
            <w:pPr>
              <w:jc w:val="center"/>
              <w:ind w:left="1870"/>
              <w:spacing w:after="0"/>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179"/>
        </w:trPr>
        <w:tc>
          <w:tcPr>
            <w:tcW w:w="4520" w:type="dxa"/>
            <w:vAlign w:val="bottom"/>
            <w:gridSpan w:val="3"/>
          </w:tcPr>
          <w:p>
            <w:pPr>
              <w:jc w:val="center"/>
              <w:ind w:right="1489"/>
              <w:spacing w:after="0"/>
              <w:rPr>
                <w:sz w:val="20"/>
                <w:szCs w:val="20"/>
                <w:color w:val="auto"/>
              </w:rPr>
            </w:pPr>
            <w:r>
              <w:rPr>
                <w:rFonts w:ascii="Times New Roman" w:cs="Times New Roman" w:eastAsia="Times New Roman" w:hAnsi="Times New Roman"/>
                <w:sz w:val="14"/>
                <w:szCs w:val="14"/>
                <w:b w:val="1"/>
                <w:bCs w:val="1"/>
                <w:color w:val="auto"/>
              </w:rPr>
              <w:t>42, rue Saint-Dominique</w:t>
            </w:r>
          </w:p>
        </w:tc>
        <w:tc>
          <w:tcPr>
            <w:tcW w:w="3640" w:type="dxa"/>
            <w:vAlign w:val="bottom"/>
            <w:gridSpan w:val="2"/>
            <w:vMerge w:val="restart"/>
          </w:tcPr>
          <w:p>
            <w:pPr>
              <w:jc w:val="center"/>
              <w:ind w:left="1870"/>
              <w:spacing w:after="0"/>
              <w:rPr>
                <w:sz w:val="20"/>
                <w:szCs w:val="20"/>
                <w:color w:val="auto"/>
              </w:rPr>
            </w:pPr>
            <w:r>
              <w:rPr>
                <w:rFonts w:ascii="Times New Roman" w:cs="Times New Roman" w:eastAsia="Times New Roman" w:hAnsi="Times New Roman"/>
                <w:sz w:val="14"/>
                <w:szCs w:val="14"/>
                <w:b w:val="1"/>
                <w:bCs w:val="1"/>
                <w:color w:val="auto"/>
                <w:w w:val="97"/>
              </w:rPr>
              <w:t>75007</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3560" w:type="dxa"/>
            <w:vAlign w:val="bottom"/>
            <w:gridSpan w:val="2"/>
          </w:tcPr>
          <w:p>
            <w:pPr>
              <w:jc w:val="center"/>
              <w:ind w:right="2429"/>
              <w:spacing w:after="0"/>
              <w:rPr>
                <w:sz w:val="20"/>
                <w:szCs w:val="20"/>
                <w:color w:val="auto"/>
              </w:rPr>
            </w:pPr>
            <w:r>
              <w:rPr>
                <w:rFonts w:ascii="Times New Roman" w:cs="Times New Roman" w:eastAsia="Times New Roman" w:hAnsi="Times New Roman"/>
                <w:sz w:val="14"/>
                <w:szCs w:val="14"/>
                <w:b w:val="1"/>
                <w:bCs w:val="1"/>
                <w:color w:val="auto"/>
              </w:rPr>
              <w:t>Paris, France</w:t>
            </w:r>
          </w:p>
        </w:tc>
        <w:tc>
          <w:tcPr>
            <w:tcW w:w="3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20" w:type="dxa"/>
            <w:vAlign w:val="bottom"/>
            <w:gridSpan w:val="3"/>
          </w:tcPr>
          <w:p>
            <w:pPr>
              <w:jc w:val="center"/>
              <w:ind w:right="1489"/>
              <w:spacing w:after="0"/>
              <w:rPr>
                <w:sz w:val="20"/>
                <w:szCs w:val="20"/>
                <w:color w:val="auto"/>
              </w:rPr>
            </w:pPr>
            <w:r>
              <w:rPr>
                <w:rFonts w:ascii="Times New Roman" w:cs="Times New Roman" w:eastAsia="Times New Roman" w:hAnsi="Times New Roman"/>
                <w:sz w:val="14"/>
                <w:szCs w:val="14"/>
                <w:b w:val="1"/>
                <w:bCs w:val="1"/>
                <w:color w:val="auto"/>
              </w:rPr>
              <w:t>5599 San Felipe, 17</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tc>
        <w:tc>
          <w:tcPr>
            <w:tcW w:w="3640" w:type="dxa"/>
            <w:vAlign w:val="bottom"/>
            <w:gridSpan w:val="2"/>
            <w:vMerge w:val="restart"/>
          </w:tcPr>
          <w:p>
            <w:pPr>
              <w:jc w:val="center"/>
              <w:ind w:left="1870"/>
              <w:spacing w:after="0"/>
              <w:rPr>
                <w:sz w:val="20"/>
                <w:szCs w:val="20"/>
                <w:color w:val="auto"/>
              </w:rPr>
            </w:pPr>
            <w:r>
              <w:rPr>
                <w:rFonts w:ascii="Times New Roman" w:cs="Times New Roman" w:eastAsia="Times New Roman" w:hAnsi="Times New Roman"/>
                <w:sz w:val="14"/>
                <w:szCs w:val="14"/>
                <w:b w:val="1"/>
                <w:bCs w:val="1"/>
                <w:color w:val="auto"/>
                <w:w w:val="97"/>
              </w:rPr>
              <w:t>77056</w:t>
            </w:r>
          </w:p>
        </w:tc>
        <w:tc>
          <w:tcPr>
            <w:tcW w:w="0" w:type="dxa"/>
            <w:vAlign w:val="bottom"/>
          </w:tcPr>
          <w:p>
            <w:pPr>
              <w:spacing w:after="0"/>
              <w:rPr>
                <w:sz w:val="1"/>
                <w:szCs w:val="1"/>
                <w:color w:val="auto"/>
              </w:rPr>
            </w:pPr>
          </w:p>
        </w:tc>
      </w:tr>
      <w:tr>
        <w:trPr>
          <w:trHeight w:val="186"/>
        </w:trPr>
        <w:tc>
          <w:tcPr>
            <w:tcW w:w="4520" w:type="dxa"/>
            <w:vAlign w:val="bottom"/>
            <w:gridSpan w:val="3"/>
          </w:tcPr>
          <w:p>
            <w:pPr>
              <w:jc w:val="center"/>
              <w:ind w:right="1469"/>
              <w:spacing w:after="0"/>
              <w:rPr>
                <w:sz w:val="20"/>
                <w:szCs w:val="20"/>
                <w:color w:val="auto"/>
              </w:rPr>
            </w:pPr>
            <w:r>
              <w:rPr>
                <w:rFonts w:ascii="Times New Roman" w:cs="Times New Roman" w:eastAsia="Times New Roman" w:hAnsi="Times New Roman"/>
                <w:sz w:val="14"/>
                <w:szCs w:val="14"/>
                <w:b w:val="1"/>
                <w:bCs w:val="1"/>
                <w:color w:val="auto"/>
              </w:rPr>
              <w:t>Houston, Texas, United States of America</w:t>
            </w:r>
          </w:p>
        </w:tc>
        <w:tc>
          <w:tcPr>
            <w:tcW w:w="3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20" w:type="dxa"/>
            <w:vAlign w:val="bottom"/>
            <w:gridSpan w:val="3"/>
          </w:tcPr>
          <w:p>
            <w:pPr>
              <w:jc w:val="center"/>
              <w:ind w:right="1469"/>
              <w:spacing w:after="0"/>
              <w:rPr>
                <w:sz w:val="20"/>
                <w:szCs w:val="20"/>
                <w:color w:val="auto"/>
              </w:rPr>
            </w:pPr>
            <w:r>
              <w:rPr>
                <w:rFonts w:ascii="Times New Roman" w:cs="Times New Roman" w:eastAsia="Times New Roman" w:hAnsi="Times New Roman"/>
                <w:sz w:val="14"/>
                <w:szCs w:val="14"/>
                <w:b w:val="1"/>
                <w:bCs w:val="1"/>
                <w:color w:val="auto"/>
              </w:rPr>
              <w:t>62 Buckingham Gate,</w:t>
            </w:r>
          </w:p>
        </w:tc>
        <w:tc>
          <w:tcPr>
            <w:tcW w:w="3640" w:type="dxa"/>
            <w:vAlign w:val="bottom"/>
            <w:gridSpan w:val="2"/>
            <w:vMerge w:val="restart"/>
          </w:tcPr>
          <w:p>
            <w:pPr>
              <w:jc w:val="center"/>
              <w:ind w:left="1870"/>
              <w:spacing w:after="0"/>
              <w:rPr>
                <w:sz w:val="20"/>
                <w:szCs w:val="20"/>
                <w:color w:val="auto"/>
              </w:rPr>
            </w:pPr>
            <w:r>
              <w:rPr>
                <w:rFonts w:ascii="Times New Roman" w:cs="Times New Roman" w:eastAsia="Times New Roman" w:hAnsi="Times New Roman"/>
                <w:sz w:val="14"/>
                <w:szCs w:val="14"/>
                <w:b w:val="1"/>
                <w:bCs w:val="1"/>
                <w:color w:val="auto"/>
              </w:rPr>
              <w:t>SW1E 6AJ</w:t>
            </w:r>
          </w:p>
        </w:tc>
        <w:tc>
          <w:tcPr>
            <w:tcW w:w="0" w:type="dxa"/>
            <w:vAlign w:val="bottom"/>
          </w:tcPr>
          <w:p>
            <w:pPr>
              <w:spacing w:after="0"/>
              <w:rPr>
                <w:sz w:val="1"/>
                <w:szCs w:val="1"/>
                <w:color w:val="auto"/>
              </w:rPr>
            </w:pPr>
          </w:p>
        </w:tc>
      </w:tr>
      <w:tr>
        <w:trPr>
          <w:trHeight w:val="186"/>
        </w:trPr>
        <w:tc>
          <w:tcPr>
            <w:tcW w:w="4520" w:type="dxa"/>
            <w:vAlign w:val="bottom"/>
            <w:gridSpan w:val="3"/>
          </w:tcPr>
          <w:p>
            <w:pPr>
              <w:jc w:val="center"/>
              <w:ind w:right="1489"/>
              <w:spacing w:after="0"/>
              <w:rPr>
                <w:sz w:val="20"/>
                <w:szCs w:val="20"/>
                <w:color w:val="auto"/>
              </w:rPr>
            </w:pPr>
            <w:r>
              <w:rPr>
                <w:rFonts w:ascii="Times New Roman" w:cs="Times New Roman" w:eastAsia="Times New Roman" w:hAnsi="Times New Roman"/>
                <w:sz w:val="14"/>
                <w:szCs w:val="14"/>
                <w:b w:val="1"/>
                <w:bCs w:val="1"/>
                <w:color w:val="auto"/>
              </w:rPr>
              <w:t>London, United Kingdom</w:t>
            </w:r>
          </w:p>
        </w:tc>
        <w:tc>
          <w:tcPr>
            <w:tcW w:w="3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20" w:type="dxa"/>
            <w:vAlign w:val="bottom"/>
            <w:gridSpan w:val="3"/>
          </w:tcPr>
          <w:p>
            <w:pPr>
              <w:jc w:val="center"/>
              <w:ind w:right="1489"/>
              <w:spacing w:after="0"/>
              <w:rPr>
                <w:sz w:val="20"/>
                <w:szCs w:val="20"/>
                <w:color w:val="auto"/>
              </w:rPr>
            </w:pPr>
            <w:r>
              <w:rPr>
                <w:rFonts w:ascii="Times New Roman" w:cs="Times New Roman" w:eastAsia="Times New Roman" w:hAnsi="Times New Roman"/>
                <w:sz w:val="14"/>
                <w:szCs w:val="14"/>
                <w:b w:val="1"/>
                <w:bCs w:val="1"/>
                <w:color w:val="auto"/>
              </w:rPr>
              <w:t>Parkstraat 83, The Hague,</w:t>
            </w:r>
          </w:p>
        </w:tc>
        <w:tc>
          <w:tcPr>
            <w:tcW w:w="3640" w:type="dxa"/>
            <w:vAlign w:val="bottom"/>
            <w:gridSpan w:val="2"/>
            <w:vMerge w:val="restart"/>
          </w:tcPr>
          <w:p>
            <w:pPr>
              <w:jc w:val="center"/>
              <w:ind w:left="1870"/>
              <w:spacing w:after="0"/>
              <w:rPr>
                <w:sz w:val="20"/>
                <w:szCs w:val="20"/>
                <w:color w:val="auto"/>
              </w:rPr>
            </w:pPr>
            <w:r>
              <w:rPr>
                <w:rFonts w:ascii="Times New Roman" w:cs="Times New Roman" w:eastAsia="Times New Roman" w:hAnsi="Times New Roman"/>
                <w:sz w:val="14"/>
                <w:szCs w:val="14"/>
                <w:b w:val="1"/>
                <w:bCs w:val="1"/>
                <w:color w:val="auto"/>
              </w:rPr>
              <w:t>2514 JG</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3560" w:type="dxa"/>
            <w:vAlign w:val="bottom"/>
            <w:gridSpan w:val="2"/>
          </w:tcPr>
          <w:p>
            <w:pPr>
              <w:jc w:val="center"/>
              <w:ind w:right="2429"/>
              <w:spacing w:after="0" w:line="153" w:lineRule="exact"/>
              <w:rPr>
                <w:sz w:val="20"/>
                <w:szCs w:val="20"/>
                <w:color w:val="auto"/>
              </w:rPr>
            </w:pPr>
            <w:r>
              <w:rPr>
                <w:rFonts w:ascii="Times New Roman" w:cs="Times New Roman" w:eastAsia="Times New Roman" w:hAnsi="Times New Roman"/>
                <w:sz w:val="14"/>
                <w:szCs w:val="14"/>
                <w:b w:val="1"/>
                <w:bCs w:val="1"/>
                <w:color w:val="auto"/>
              </w:rPr>
              <w:t>The Netherlands</w:t>
            </w:r>
          </w:p>
        </w:tc>
        <w:tc>
          <w:tcPr>
            <w:tcW w:w="3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20" w:type="dxa"/>
            <w:vAlign w:val="bottom"/>
            <w:gridSpan w:val="3"/>
          </w:tcPr>
          <w:p>
            <w:pPr>
              <w:jc w:val="center"/>
              <w:ind w:right="1469"/>
              <w:spacing w:after="0"/>
              <w:rPr>
                <w:sz w:val="20"/>
                <w:szCs w:val="20"/>
                <w:color w:val="auto"/>
              </w:rPr>
            </w:pPr>
            <w:r>
              <w:rPr>
                <w:rFonts w:ascii="Times New Roman" w:cs="Times New Roman" w:eastAsia="Times New Roman" w:hAnsi="Times New Roman"/>
                <w:sz w:val="12"/>
                <w:szCs w:val="12"/>
                <w:color w:val="auto"/>
              </w:rPr>
              <w:t>(Addresses of principal executive offices)</w:t>
            </w:r>
          </w:p>
        </w:tc>
        <w:tc>
          <w:tcPr>
            <w:tcW w:w="3640" w:type="dxa"/>
            <w:vAlign w:val="bottom"/>
            <w:gridSpan w:val="2"/>
          </w:tcPr>
          <w:p>
            <w:pPr>
              <w:jc w:val="center"/>
              <w:ind w:left="1850"/>
              <w:spacing w:after="0"/>
              <w:rPr>
                <w:sz w:val="20"/>
                <w:szCs w:val="20"/>
                <w:color w:val="auto"/>
              </w:rPr>
            </w:pPr>
            <w:r>
              <w:rPr>
                <w:rFonts w:ascii="Times New Roman" w:cs="Times New Roman" w:eastAsia="Times New Roman" w:hAnsi="Times New Roman"/>
                <w:sz w:val="12"/>
                <w:szCs w:val="12"/>
                <w:color w:val="auto"/>
              </w:rPr>
              <w:t>(Zip Codes)</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72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 the United States, including area code, is: (713) 513-2000</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14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0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520" w:type="dxa"/>
            <w:vAlign w:val="bottom"/>
            <w:gridSpan w:val="3"/>
          </w:tcPr>
          <w:p>
            <w:pPr>
              <w:jc w:val="center"/>
              <w:ind w:right="1469"/>
              <w:spacing w:after="0" w:line="117" w:lineRule="exact"/>
              <w:rPr>
                <w:sz w:val="20"/>
                <w:szCs w:val="20"/>
                <w:color w:val="auto"/>
              </w:rPr>
            </w:pPr>
            <w:r>
              <w:rPr>
                <w:rFonts w:ascii="Times New Roman" w:cs="Times New Roman" w:eastAsia="Times New Roman" w:hAnsi="Times New Roman"/>
                <w:sz w:val="13"/>
                <w:szCs w:val="13"/>
                <w:color w:val="auto"/>
              </w:rPr>
              <w:t>Common Stock, par value $0.01 per share</w:t>
            </w:r>
          </w:p>
        </w:tc>
        <w:tc>
          <w:tcPr>
            <w:tcW w:w="36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New York Stock Exchange</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6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Euronext Paris</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6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The London Stock Exchange</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 Swiss Exchange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65405</wp:posOffset>
            </wp:positionV>
            <wp:extent cx="145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19" w:lineRule="exact"/>
        <w:rPr>
          <w:sz w:val="24"/>
          <w:szCs w:val="24"/>
          <w:color w:val="auto"/>
        </w:rPr>
      </w:pPr>
    </w:p>
    <w:p>
      <w:pPr>
        <w:ind w:right="3760"/>
        <w:spacing w:after="0" w:line="22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3"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5" w:lineRule="exact"/>
        <w:rPr>
          <w:sz w:val="24"/>
          <w:szCs w:val="24"/>
          <w:color w:val="auto"/>
        </w:rPr>
      </w:pPr>
    </w:p>
    <w:p>
      <w:pPr>
        <w:ind w:right="200"/>
        <w:spacing w:after="0" w:line="224"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June 30, 2014, the aggregate market value of the common stock of the registrant held by non-affiliates of the registrant was approximately $152.9 billion.</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2014, the number of shares of common stock outstanding was 1,275,312,404.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1"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Certain information required to be furnished pursuant to Part III of this Form 10-K is set forth in, and is hereby incorporated by reference herein from, Schlumberger’s definitive proxy statement for its 2015 Annual General Meeting of Stockholders, to be filed by Schlumberger with the Securities and Exchange Commission pursuant to Regulation 14A within 120 days after December 31, 2014 (the “2015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724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74930</wp:posOffset>
            </wp:positionV>
            <wp:extent cx="7248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0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SCHLUMBERGER LIMITED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0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color w:val="auto"/>
                <w:w w:val="99"/>
              </w:rPr>
              <w:t>Form 10-K</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580" w:type="dxa"/>
            <w:vAlign w:val="bottom"/>
            <w:vMerge w:val="restart"/>
          </w:tcPr>
          <w:p>
            <w:pPr>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48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1"/>
        </w:trPr>
        <w:tc>
          <w:tcPr>
            <w:tcW w:w="580" w:type="dxa"/>
            <w:vAlign w:val="bottom"/>
            <w:tcBorders>
              <w:bottom w:val="single" w:sz="8" w:color="0000EE"/>
            </w:tcBorders>
            <w:vMerge w:val="continue"/>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Risk Factors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Unresolved Staff Comments</w:t>
              </w:r>
            </w:hyperlink>
          </w:p>
        </w:tc>
        <w:tc>
          <w:tcPr>
            <w:tcW w:w="796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9">
              <w:r>
                <w:rPr>
                  <w:rFonts w:ascii="Times New Roman" w:cs="Times New Roman" w:eastAsia="Times New Roman" w:hAnsi="Times New Roman"/>
                  <w:sz w:val="18"/>
                  <w:szCs w:val="18"/>
                  <w:color w:val="0000EE"/>
                  <w:w w:val="95"/>
                </w:rPr>
                <w:t>Properties</w:t>
              </w:r>
            </w:hyperlink>
          </w:p>
        </w:tc>
        <w:tc>
          <w:tcPr>
            <w:tcW w:w="92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Legal Proceedings</w:t>
              </w:r>
            </w:hyperlink>
          </w:p>
        </w:tc>
        <w:tc>
          <w:tcPr>
            <w:tcW w:w="866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Mine Safety Disclosures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rFonts w:ascii="Times New Roman" w:cs="Times New Roman" w:eastAsia="Times New Roman" w:hAnsi="Times New Roman"/>
                <w:sz w:val="18"/>
                <w:szCs w:val="18"/>
                <w:b w:val="1"/>
                <w:bCs w:val="1"/>
                <w:color w:val="0000EE"/>
              </w:rPr>
            </w:pPr>
            <w:hyperlink w:anchor="page11">
              <w:r>
                <w:rPr>
                  <w:rFonts w:ascii="Times New Roman" w:cs="Times New Roman" w:eastAsia="Times New Roman" w:hAnsi="Times New Roman"/>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20" w:type="dxa"/>
            <w:vAlign w:val="bottom"/>
            <w:gridSpan w:val="3"/>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Market for Schlumberger’s Common Stock, Related Stockholder Matters and Issuer Purchases of Equity Securities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Selected Financial Data</w:t>
              </w:r>
            </w:hyperlink>
          </w:p>
        </w:tc>
        <w:tc>
          <w:tcPr>
            <w:tcW w:w="1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Quantitative and Qualitative Disclosures About Market Risk</w:t>
              </w:r>
            </w:hyperlink>
          </w:p>
        </w:tc>
        <w:tc>
          <w:tcPr>
            <w:tcW w:w="2060" w:type="dxa"/>
            <w:vAlign w:val="bottom"/>
            <w:tcBorders>
              <w:top w:val="single" w:sz="8" w:color="0000EE"/>
            </w:tcBorders>
            <w:gridSpan w:val="3"/>
          </w:tcPr>
          <w:p>
            <w:pPr>
              <w:spacing w:after="0"/>
              <w:rPr>
                <w:sz w:val="24"/>
                <w:szCs w:val="24"/>
                <w:color w:val="auto"/>
              </w:rPr>
            </w:pPr>
          </w:p>
        </w:tc>
        <w:tc>
          <w:tcPr>
            <w:tcW w:w="36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2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Financial Statements and Supplementary Data</w:t>
              </w:r>
            </w:hyperlink>
          </w:p>
        </w:tc>
        <w:tc>
          <w:tcPr>
            <w:tcW w:w="67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6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w:anchor="page64">
              <w:r>
                <w:rPr>
                  <w:rFonts w:ascii="Times New Roman" w:cs="Times New Roman" w:eastAsia="Times New Roman" w:hAnsi="Times New Roman"/>
                  <w:sz w:val="18"/>
                  <w:szCs w:val="18"/>
                  <w:color w:val="0000EE"/>
                  <w:w w:val="98"/>
                </w:rPr>
                <w:t>Changes in and Disagreements with Accountants on Accounting and Financial Disclosure</w:t>
              </w:r>
            </w:hyperlink>
          </w:p>
        </w:tc>
        <w:tc>
          <w:tcPr>
            <w:tcW w:w="36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Controls and Procedures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7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Other Information</w:t>
              </w:r>
            </w:hyperlink>
          </w:p>
        </w:tc>
        <w:tc>
          <w:tcPr>
            <w:tcW w:w="82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13"/>
        </w:trPr>
        <w:tc>
          <w:tcPr>
            <w:tcW w:w="7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3"/>
              </w:rPr>
            </w:pPr>
            <w:hyperlink w:anchor="page65">
              <w:r>
                <w:rPr>
                  <w:rFonts w:ascii="Times New Roman" w:cs="Times New Roman" w:eastAsia="Times New Roman" w:hAnsi="Times New Roman"/>
                  <w:sz w:val="18"/>
                  <w:szCs w:val="18"/>
                  <w:b w:val="1"/>
                  <w:bCs w:val="1"/>
                  <w:color w:val="0000EE"/>
                  <w:w w:val="93"/>
                </w:rPr>
                <w:t>PART III</w:t>
              </w:r>
            </w:hyperlink>
          </w:p>
        </w:tc>
        <w:tc>
          <w:tcPr>
            <w:tcW w:w="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52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Directors, Executive Officers and Corporate Governance of Schlumberger</w:t>
              </w:r>
            </w:hyperlink>
          </w:p>
        </w:tc>
        <w:tc>
          <w:tcPr>
            <w:tcW w:w="47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7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Executive Compensation</w:t>
              </w:r>
            </w:hyperlink>
          </w:p>
        </w:tc>
        <w:tc>
          <w:tcPr>
            <w:tcW w:w="820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18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Certain Relationships and Related Transactions, and Director Independence</w:t>
              </w:r>
            </w:hyperlink>
          </w:p>
        </w:tc>
        <w:tc>
          <w:tcPr>
            <w:tcW w:w="280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36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Principal Accounting Fees and Services</w:t>
              </w:r>
            </w:hyperlink>
          </w:p>
        </w:tc>
        <w:tc>
          <w:tcPr>
            <w:tcW w:w="462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13"/>
        </w:trPr>
        <w:tc>
          <w:tcPr>
            <w:tcW w:w="1060" w:type="dxa"/>
            <w:vAlign w:val="bottom"/>
            <w:gridSpan w:val="5"/>
          </w:tcPr>
          <w:p>
            <w:pPr>
              <w:spacing w:after="0"/>
              <w:rPr>
                <w:rFonts w:ascii="Times New Roman" w:cs="Times New Roman" w:eastAsia="Times New Roman" w:hAnsi="Times New Roman"/>
                <w:sz w:val="18"/>
                <w:szCs w:val="18"/>
                <w:b w:val="1"/>
                <w:bCs w:val="1"/>
                <w:color w:val="0000EE"/>
              </w:rPr>
            </w:pPr>
            <w:hyperlink w:anchor="page66">
              <w:r>
                <w:rPr>
                  <w:rFonts w:ascii="Times New Roman" w:cs="Times New Roman" w:eastAsia="Times New Roman" w:hAnsi="Times New Roman"/>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60" w:type="dxa"/>
            <w:vAlign w:val="bottom"/>
            <w:gridSpan w:val="2"/>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1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Signatures</w:t>
              </w:r>
            </w:hyperlink>
          </w:p>
        </w:tc>
        <w:tc>
          <w:tcPr>
            <w:tcW w:w="68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40" w:type="dxa"/>
            <w:vAlign w:val="bottom"/>
            <w:gridSpan w:val="1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9"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All references in this report to “Registrant,” “Company,” “Schlumberger,” “we” or “our” are to Schlumberger Limited (Schlumberger N.V., incorporated in Curaçao) and its consolidated subsidiaries.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2014, the Company employed approximately 120,000 people of over 140 nationalities operating in approximately 85 countries. Schlumberger has principal executive offices in Paris, Houston, London and The Hague.</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Schlumberger operates in each of the major oilfield service markets, managing its business through three Groups: Reservoir Characterization, Drilling and Production. Each Group consists of a number of technology-based service and product lines, or Technologies. These Technologies cover the entire life cycle of the reservoir and correspond to a number of markets in which Schlumberger holds leading positions. The business is also reported through four geographic Areas: North America, Latin America, Europe/CIS/Africa and Middle East &amp; Asia. Within these Areas, a network of GeoMarket* regions provides logistical, technical and commercial coordination.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role of the Groups and Technologies is to ensure that Schlumberger provides the best possible service to customers and that it remains at the forefront of technology development. The Groups and Technologies are collectively responsible for driving excellence in execution throughout their businesses, overseeing operational processes, resource allocation, personnel and delivering superior financial results. The GeoMarket structure offers customers a single point of contact at the local level for field operations and brings together geographically focused teams to meet local needs and deliver customized solutions. The Areas and GeoMarkets are responsible for providing the most efficient and cost effective support possible to the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are as follows:</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Reservoir Characterization Group </w:t>
      </w:r>
      <w:r>
        <w:rPr>
          <w:rFonts w:ascii="Times New Roman" w:cs="Times New Roman" w:eastAsia="Times New Roman" w:hAnsi="Times New Roman"/>
          <w:sz w:val="18"/>
          <w:szCs w:val="18"/>
          <w:color w:val="auto"/>
        </w:rPr>
        <w:t>– Consists of the principal Technologies involved in finding and defining hydrocarbon resources. These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WesternGeco, Wireline, Testing Services, Schlumberger Information Solutions (SIS) and PetroTechnical Services. WesternGeco seismic acquisition services and PetroTechnical Services interpretation solutions combine to provide the industry’s most extensive multiclient library.</w:t>
      </w:r>
    </w:p>
    <w:p>
      <w:pPr>
        <w:spacing w:after="0" w:line="173" w:lineRule="exact"/>
        <w:rPr>
          <w:sz w:val="20"/>
          <w:szCs w:val="20"/>
          <w:color w:val="auto"/>
        </w:rPr>
      </w:pPr>
    </w:p>
    <w:p>
      <w:pPr>
        <w:jc w:val="both"/>
        <w:ind w:left="760" w:hanging="374"/>
        <w:spacing w:after="0" w:line="25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WesternGeco </w:t>
      </w:r>
      <w:r>
        <w:rPr>
          <w:rFonts w:ascii="Times New Roman" w:cs="Times New Roman" w:eastAsia="Times New Roman" w:hAnsi="Times New Roman"/>
          <w:sz w:val="18"/>
          <w:szCs w:val="18"/>
          <w:color w:val="auto"/>
        </w:rPr>
        <w:t>is a leading geophysical services supplier, providing comprehensive worldwide reservoir imaging, monitoring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WesternGeco provides increasingly accurate measurements and images of subsurface geology and rock properties for both customer proprietary and multiclient surveys.</w:t>
      </w:r>
    </w:p>
    <w:p>
      <w:pPr>
        <w:spacing w:after="0" w:line="2" w:lineRule="exact"/>
        <w:rPr>
          <w:rFonts w:ascii="Times New Roman" w:cs="Times New Roman" w:eastAsia="Times New Roman" w:hAnsi="Times New Roman"/>
          <w:sz w:val="18"/>
          <w:szCs w:val="18"/>
          <w:color w:val="auto"/>
        </w:rPr>
      </w:pPr>
    </w:p>
    <w:p>
      <w:pPr>
        <w:ind w:left="760" w:hanging="374"/>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Wireline </w:t>
      </w:r>
      <w:r>
        <w:rPr>
          <w:rFonts w:ascii="Times New Roman" w:cs="Times New Roman" w:eastAsia="Times New Roman" w:hAnsi="Times New Roman"/>
          <w:sz w:val="18"/>
          <w:szCs w:val="18"/>
          <w:color w:val="auto"/>
        </w:rPr>
        <w:t>provides the information necessary to evaluate subsurface formation rocks and fluids to plan and monitor well construction, and to monitor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evaluate well production. Wireline offers both openhole and cased-hole services including wireline perforating.</w:t>
      </w:r>
    </w:p>
    <w:p>
      <w:pPr>
        <w:spacing w:after="0" w:line="1" w:lineRule="exact"/>
        <w:rPr>
          <w:rFonts w:ascii="Times New Roman" w:cs="Times New Roman" w:eastAsia="Times New Roman" w:hAnsi="Times New Roman"/>
          <w:sz w:val="18"/>
          <w:szCs w:val="18"/>
          <w:color w:val="auto"/>
        </w:rPr>
      </w:pPr>
    </w:p>
    <w:p>
      <w:pPr>
        <w:ind w:left="760" w:right="20" w:hanging="374"/>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 Services </w:t>
      </w:r>
      <w:r>
        <w:rPr>
          <w:rFonts w:ascii="Times New Roman" w:cs="Times New Roman" w:eastAsia="Times New Roman" w:hAnsi="Times New Roman"/>
          <w:sz w:val="18"/>
          <w:szCs w:val="18"/>
          <w:color w:val="auto"/>
        </w:rPr>
        <w:t>provides exploration and production pressure and flow-rate measurement services both at the surface and downhole.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also provides tubing-conveyed perforating services.</w:t>
      </w:r>
    </w:p>
    <w:p>
      <w:pPr>
        <w:spacing w:after="0" w:line="1" w:lineRule="exact"/>
        <w:rPr>
          <w:rFonts w:ascii="Times New Roman" w:cs="Times New Roman" w:eastAsia="Times New Roman" w:hAnsi="Times New Roman"/>
          <w:sz w:val="18"/>
          <w:szCs w:val="18"/>
          <w:color w:val="auto"/>
        </w:rPr>
      </w:pPr>
    </w:p>
    <w:p>
      <w:pPr>
        <w:ind w:left="760" w:hanging="374"/>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Schlumberger Information Solutions </w:t>
      </w:r>
      <w:r>
        <w:rPr>
          <w:rFonts w:ascii="Times New Roman" w:cs="Times New Roman" w:eastAsia="Times New Roman" w:hAnsi="Times New Roman"/>
          <w:sz w:val="18"/>
          <w:szCs w:val="18"/>
          <w:color w:val="auto"/>
        </w:rPr>
        <w:t>sells proprietary software and provides consulting, information management and IT infrastructure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core oil and gas industry operational processes.</w:t>
      </w:r>
    </w:p>
    <w:p>
      <w:pPr>
        <w:spacing w:after="0" w:line="1" w:lineRule="exact"/>
        <w:rPr>
          <w:rFonts w:ascii="Times New Roman" w:cs="Times New Roman" w:eastAsia="Times New Roman" w:hAnsi="Times New Roman"/>
          <w:sz w:val="18"/>
          <w:szCs w:val="18"/>
          <w:color w:val="auto"/>
        </w:rPr>
      </w:pPr>
    </w:p>
    <w:p>
      <w:pPr>
        <w:jc w:val="both"/>
        <w:ind w:left="760" w:hanging="374"/>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PetroTechnical Services </w:t>
      </w:r>
      <w:r>
        <w:rPr>
          <w:rFonts w:ascii="Times New Roman" w:cs="Times New Roman" w:eastAsia="Times New Roman" w:hAnsi="Times New Roman"/>
          <w:sz w:val="18"/>
          <w:szCs w:val="18"/>
          <w:color w:val="auto"/>
        </w:rPr>
        <w:t>supplies interpretation and integration of all exploration and production data types, as well as expert consulting services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reservoir characterization, field development planning production enhancement and multi-disciplinary reservoir and production solutions. PetroTechnical Services offers the industry’s most extensive multiclient data library and provides industry petrotechnical training solutions.</w:t>
      </w:r>
    </w:p>
    <w:p>
      <w:pPr>
        <w:spacing w:after="0" w:line="3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Group </w:t>
      </w:r>
      <w:r>
        <w:rPr>
          <w:rFonts w:ascii="Times New Roman" w:cs="Times New Roman" w:eastAsia="Times New Roman" w:hAnsi="Times New Roman"/>
          <w:sz w:val="18"/>
          <w:szCs w:val="18"/>
          <w:color w:val="auto"/>
        </w:rPr>
        <w:t>– Consists of the principal Technologies involved in the drilling and positioning of oil and gas wells and comprises Bits &amp;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M-I SWACO, Geoservices, Drilling &amp; Measurements, Drilling Tools &amp; Remedial, Saxon Rig Services and Integrated Project Management well construction projects.</w:t>
      </w:r>
    </w:p>
    <w:p>
      <w:pPr>
        <w:spacing w:after="0" w:line="173" w:lineRule="exact"/>
        <w:rPr>
          <w:sz w:val="20"/>
          <w:szCs w:val="20"/>
          <w:color w:val="auto"/>
        </w:rPr>
      </w:pPr>
    </w:p>
    <w:p>
      <w:pPr>
        <w:jc w:val="both"/>
        <w:ind w:left="760" w:hanging="374"/>
        <w:spacing w:after="0" w:line="285"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Bits &amp; Advanced Technologies </w:t>
      </w:r>
      <w:r>
        <w:rPr>
          <w:rFonts w:ascii="Times New Roman" w:cs="Times New Roman" w:eastAsia="Times New Roman" w:hAnsi="Times New Roman"/>
          <w:sz w:val="17"/>
          <w:szCs w:val="17"/>
          <w:color w:val="auto"/>
        </w:rPr>
        <w:t>designs, manufactures and markets roller cone and fixed cutter drill bits for all environments. The drill bits include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designs for premium market segments where faster penetration rates and increased footage provide significant economic benefits in lowering overall well costs. The technologies leverage proprietary modeling and simulation software for the design of application-specific bits and cutting structures.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38" w:right="239" w:bottom="1440" w:gutter="0" w:footer="0" w:header="0"/>
        </w:sectPr>
      </w:pPr>
    </w:p>
    <w:bookmarkStart w:id="3" w:name="page4"/>
    <w:bookmarkEnd w:id="3"/>
    <w:p>
      <w:pPr>
        <w:jc w:val="both"/>
        <w:ind w:left="760" w:right="20" w:hanging="374"/>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 SWACO </w:t>
      </w:r>
      <w:r>
        <w:rPr>
          <w:rFonts w:ascii="Times New Roman" w:cs="Times New Roman" w:eastAsia="Times New Roman" w:hAnsi="Times New Roman"/>
          <w:sz w:val="18"/>
          <w:szCs w:val="18"/>
          <w:color w:val="auto"/>
        </w:rPr>
        <w:t>is the leading supplier of drilling fluid systems engineered to improve drilling performance by anticipating fluids-related problems, fluid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and specialty equipment designed to optimize wellbore productivity and production technology solutions formulated to maximize production rates. M-I SWACO also provides engineered managed pressure drilling and underbalanced drilling solutions, as well as environmental services and products to safely manage waste volumes generated in both drilling and production operations.</w:t>
      </w:r>
    </w:p>
    <w:p>
      <w:pPr>
        <w:spacing w:after="0" w:line="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Geoservices </w:t>
      </w:r>
      <w:r>
        <w:rPr>
          <w:rFonts w:ascii="Times New Roman" w:cs="Times New Roman" w:eastAsia="Times New Roman" w:hAnsi="Times New Roman"/>
          <w:sz w:val="18"/>
          <w:szCs w:val="18"/>
          <w:color w:val="auto"/>
        </w:rPr>
        <w:t>supplies mud logging services for geological and drilling surveillance.</w:t>
      </w:r>
    </w:p>
    <w:p>
      <w:pPr>
        <w:spacing w:after="0" w:line="5" w:lineRule="exact"/>
        <w:rPr>
          <w:rFonts w:ascii="Times New Roman" w:cs="Times New Roman" w:eastAsia="Times New Roman" w:hAnsi="Times New Roman"/>
          <w:sz w:val="18"/>
          <w:szCs w:val="18"/>
          <w:color w:val="auto"/>
        </w:rPr>
      </w:pPr>
    </w:p>
    <w:p>
      <w:pPr>
        <w:ind w:left="760" w:right="20" w:hanging="374"/>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Drilling &amp; Measurements </w:t>
      </w:r>
      <w:r>
        <w:rPr>
          <w:rFonts w:ascii="Times New Roman" w:cs="Times New Roman" w:eastAsia="Times New Roman" w:hAnsi="Times New Roman"/>
          <w:sz w:val="18"/>
          <w:szCs w:val="18"/>
          <w:color w:val="auto"/>
        </w:rPr>
        <w:t>provides directional drilling, measurement-while-drilling and logging-while-drilling services for all well profiles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support.</w:t>
      </w:r>
    </w:p>
    <w:p>
      <w:pPr>
        <w:spacing w:after="0" w:line="1" w:lineRule="exact"/>
        <w:rPr>
          <w:rFonts w:ascii="Times New Roman" w:cs="Times New Roman" w:eastAsia="Times New Roman" w:hAnsi="Times New Roman"/>
          <w:sz w:val="18"/>
          <w:szCs w:val="18"/>
          <w:color w:val="auto"/>
        </w:rPr>
      </w:pPr>
    </w:p>
    <w:p>
      <w:pPr>
        <w:ind w:left="760" w:hanging="374"/>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Drilling Tools &amp; Remedial </w:t>
      </w:r>
      <w:r>
        <w:rPr>
          <w:rFonts w:ascii="Times New Roman" w:cs="Times New Roman" w:eastAsia="Times New Roman" w:hAnsi="Times New Roman"/>
          <w:sz w:val="18"/>
          <w:szCs w:val="18"/>
          <w:color w:val="auto"/>
        </w:rPr>
        <w:t>provides a wide variety of bottom hole assembly drilling tools, borehole enlargement technologies and impact tools,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a comprehensive collection of tubulars and tubular services for oil and gas drilling operations.</w:t>
      </w:r>
    </w:p>
    <w:p>
      <w:pPr>
        <w:spacing w:after="0" w:line="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Saxon Rig Services </w:t>
      </w:r>
      <w:r>
        <w:rPr>
          <w:rFonts w:ascii="Times New Roman" w:cs="Times New Roman" w:eastAsia="Times New Roman" w:hAnsi="Times New Roman"/>
          <w:sz w:val="18"/>
          <w:szCs w:val="18"/>
          <w:color w:val="auto"/>
        </w:rPr>
        <w:t>provides land drilling and related support services.</w:t>
      </w:r>
    </w:p>
    <w:p>
      <w:pPr>
        <w:spacing w:after="0" w:line="200" w:lineRule="exact"/>
        <w:rPr>
          <w:sz w:val="20"/>
          <w:szCs w:val="20"/>
          <w:color w:val="auto"/>
        </w:rPr>
      </w:pPr>
    </w:p>
    <w:p>
      <w:pPr>
        <w:spacing w:after="0" w:line="20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Group </w:t>
      </w:r>
      <w:r>
        <w:rPr>
          <w:rFonts w:ascii="Times New Roman" w:cs="Times New Roman" w:eastAsia="Times New Roman" w:hAnsi="Times New Roman"/>
          <w:sz w:val="18"/>
          <w:szCs w:val="18"/>
          <w:color w:val="auto"/>
        </w:rPr>
        <w:t>– Consists of the principal Technologies involved in the lifetime production of oil and gas reservoirs and includes Well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Completions, Artificial Lift, Well Intervention, Water Services and Schlumberger Production Management field production projects.</w:t>
      </w:r>
    </w:p>
    <w:p>
      <w:pPr>
        <w:spacing w:after="0" w:line="158" w:lineRule="exact"/>
        <w:rPr>
          <w:sz w:val="20"/>
          <w:szCs w:val="20"/>
          <w:color w:val="auto"/>
        </w:rPr>
      </w:pPr>
    </w:p>
    <w:p>
      <w:pPr>
        <w:ind w:left="760" w:right="20" w:hanging="374"/>
        <w:spacing w:after="0" w:line="259"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 Services </w:t>
      </w:r>
      <w:r>
        <w:rPr>
          <w:rFonts w:ascii="Times New Roman" w:cs="Times New Roman" w:eastAsia="Times New Roman" w:hAnsi="Times New Roman"/>
          <w:sz w:val="18"/>
          <w:szCs w:val="18"/>
          <w:color w:val="auto"/>
        </w:rPr>
        <w:t>provides services used during oil and gas well drilling and completion as well as those used to maintain optimal production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 of a well. The services include pressure pumping, well cementing and stimulation operations as well as intervention activities.</w:t>
      </w:r>
    </w:p>
    <w:p>
      <w:pPr>
        <w:ind w:left="760" w:hanging="374"/>
        <w:spacing w:after="0" w:line="24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Completions </w:t>
      </w:r>
      <w:r>
        <w:rPr>
          <w:rFonts w:ascii="Times New Roman" w:cs="Times New Roman" w:eastAsia="Times New Roman" w:hAnsi="Times New Roman"/>
          <w:sz w:val="18"/>
          <w:szCs w:val="18"/>
          <w:color w:val="auto"/>
        </w:rPr>
        <w:t>supplies well completion services and equipment that include packers, safety valves, sand control technology as well as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intelligent well completions technology and equipment.</w:t>
      </w:r>
    </w:p>
    <w:p>
      <w:pPr>
        <w:spacing w:after="0" w:line="1" w:lineRule="exact"/>
        <w:rPr>
          <w:rFonts w:ascii="Times New Roman" w:cs="Times New Roman" w:eastAsia="Times New Roman" w:hAnsi="Times New Roman"/>
          <w:sz w:val="18"/>
          <w:szCs w:val="18"/>
          <w:color w:val="auto"/>
        </w:rPr>
      </w:pPr>
    </w:p>
    <w:p>
      <w:pPr>
        <w:ind w:left="760" w:right="20" w:hanging="374"/>
        <w:spacing w:after="0" w:line="24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Artificial Lift </w:t>
      </w:r>
      <w:r>
        <w:rPr>
          <w:rFonts w:ascii="Times New Roman" w:cs="Times New Roman" w:eastAsia="Times New Roman" w:hAnsi="Times New Roman"/>
          <w:sz w:val="18"/>
          <w:szCs w:val="18"/>
          <w:color w:val="auto"/>
        </w:rPr>
        <w:t>provides production equipment and optimization services using electrical submersible pumps, gas lift equipment, rod lift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progressing cavity pumps and surface horizontal pumping systems.</w:t>
      </w:r>
    </w:p>
    <w:p>
      <w:pPr>
        <w:spacing w:after="0" w:line="1" w:lineRule="exact"/>
        <w:rPr>
          <w:rFonts w:ascii="Times New Roman" w:cs="Times New Roman" w:eastAsia="Times New Roman" w:hAnsi="Times New Roman"/>
          <w:sz w:val="18"/>
          <w:szCs w:val="18"/>
          <w:color w:val="auto"/>
        </w:rPr>
      </w:pPr>
    </w:p>
    <w:p>
      <w:pPr>
        <w:ind w:left="760" w:right="20" w:hanging="374"/>
        <w:spacing w:after="0" w:line="24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 Intervention </w:t>
      </w:r>
      <w:r>
        <w:rPr>
          <w:rFonts w:ascii="Times New Roman" w:cs="Times New Roman" w:eastAsia="Times New Roman" w:hAnsi="Times New Roman"/>
          <w:sz w:val="18"/>
          <w:szCs w:val="18"/>
          <w:color w:val="auto"/>
        </w:rPr>
        <w:t>develops coiled tubing equipment and services and provides slickline services for downhole mechanical well intervention, reservoir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and downhole data acquisition.</w:t>
      </w:r>
    </w:p>
    <w:p>
      <w:pPr>
        <w:spacing w:after="0" w:line="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Services </w:t>
      </w:r>
      <w:r>
        <w:rPr>
          <w:rFonts w:ascii="Times New Roman" w:cs="Times New Roman" w:eastAsia="Times New Roman" w:hAnsi="Times New Roman"/>
          <w:sz w:val="18"/>
          <w:szCs w:val="18"/>
          <w:color w:val="auto"/>
        </w:rPr>
        <w:t>specializes in the development, management and environmental protection of water resources.</w:t>
      </w:r>
    </w:p>
    <w:p>
      <w:pPr>
        <w:spacing w:after="0" w:line="20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Schlumberger has a 40% equity ownership interest in OneSubsea</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a joint venture with Cameron International Corporation (“Cameron”). The joint venture manufactures and develops products, systems and services for the subsea oil and gas market. Schlumberger’s 40% share of the net income of the joint venture is reflected in the results of the Production Group.</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also offers customers its services through business models known as Integrated Project Management (IPM), for well construction projects, and Schlumberger Production Management (SPM), for field production projects. These models combine the required services and products of the Technologies with drilling rig management, specialized engineering and project management expertise to provide a complete solution to well construction and production improvement.</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IPM projects are typically of multiyear duration and include start-up costs and significant third-party components that cover services Schlumberger does not provide directly. Projects may be fixed price in nature and may contain penalties for non-performance.</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SPM commercial arrangements create alignment between Schlumberger and the asset holder and/or the operator whereby Schlumberger receives remuneration in line with its value creation. These projects are generally focused on developing and co-managing production of Schlumberger’s customers’ assets under long-term agreements. Schlumberger will invest its own services and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generally compensated based upon cash flow generated or on a fee-per-barrel basis for any incremental production Schlumberger helps deliver above a mutually agreed baseline.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Supporting the Technologies is a global network of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Managed outside the Group structure is Schlumberger Business Consulting, which helps oil and gas companies achieve fast and sustainable performance improvements.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Schlumberger primarily uses its own personnel to market its offerings.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Schlumberger believes that it is an industry leader in providing geophysical services, wireline logging, well testing,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9" w:right="239" w:bottom="1440" w:gutter="0" w:footer="0" w:header="0"/>
        </w:sectPr>
      </w:pPr>
    </w:p>
    <w:bookmarkStart w:id="4" w:name="page5"/>
    <w:bookmarkEnd w:id="4"/>
    <w:p>
      <w:pPr>
        <w:jc w:val="both"/>
        <w:spacing w:after="0" w:line="306" w:lineRule="auto"/>
        <w:rPr>
          <w:sz w:val="20"/>
          <w:szCs w:val="20"/>
          <w:color w:val="auto"/>
        </w:rPr>
      </w:pPr>
      <w:r>
        <w:rPr>
          <w:rFonts w:ascii="Times New Roman" w:cs="Times New Roman" w:eastAsia="Times New Roman" w:hAnsi="Times New Roman"/>
          <w:sz w:val="17"/>
          <w:szCs w:val="17"/>
          <w:color w:val="auto"/>
        </w:rPr>
        <w:t>drilling and completion fluids, solids and waste management, coiled-tubing, drill bits, measurement-while-drilling, logging-while-drilling, directional drilling services and mud logging. A large proportion of Schlumberger offerings is non-rig related; consequently, revenue does not necessarily correlate to the rig count.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owns and controls a variety of intellectual property, including but not limited to patents, proprietary information and software tools and applications that, in the aggregate, are material to Schlumberger’s business. While Schlumberger seeks and holds numerous patents covering various products and processes, no particular patent or group of patents is considered material to Schlumberger’s business.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Seasonal changes in weather and significant weather events can temporarily affect the delivery of oilfield services. For example, the spring thaw in Canada and consequent road restrictions can affect activity levels, while the winter months in the North Sea, Russia and China can produce severe weather conditions which typically result in temporarily reduced levels of activity. In addition, hurricanes and typhoons can disrupt coastal and offshore operations. Furthermore, customer spending patterns for multiclient data, software and other oilfield services and products generally result in higher activity in the fourth quarter of each year as clients seek to utilize their annual budgets.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Backlog of Orders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2014, no single customer exceeded 10% of consolidated revenue. Other than WesternGeco, Schlumberger has no significant backlog due to the nature of its businesses. The WesternGeco backlog, which is based on signed contracts with customers, was $0.7 billion at December 31, 2014 ($0.9 billion at December 31, 2013).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 xml:space="preserve">Financial information by business segment and geographic area for the years ended December 31, 2014, 2013 and 2012 is provided in Note 17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of Schlumberger</w:t>
      </w:r>
    </w:p>
    <w:p>
      <w:pPr>
        <w:spacing w:after="0" w:line="1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following table sets forth, as of January 29, 2015, the names and ages of the executive officers of Schlumberger, including all offices and positions held by each for at least the past five years.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Position and Five-Year Business Experience</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Paal Kibsgaard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300" w:type="dxa"/>
            <w:vAlign w:val="bottom"/>
          </w:tcPr>
          <w:p>
            <w:pPr>
              <w:spacing w:after="0"/>
              <w:rPr>
                <w:sz w:val="24"/>
                <w:szCs w:val="24"/>
                <w:color w:val="auto"/>
              </w:rPr>
            </w:pPr>
          </w:p>
        </w:tc>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Chief Executive Officer, since August 2011; Director since April 2011; Chief Operating Officer,</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2010 to July 2011; President Reservoir Characterization Group, May 2009 to February 2010.</w:t>
            </w:r>
          </w:p>
        </w:tc>
        <w:tc>
          <w:tcPr>
            <w:tcW w:w="0" w:type="dxa"/>
            <w:vAlign w:val="bottom"/>
          </w:tcPr>
          <w:p>
            <w:pPr>
              <w:spacing w:after="0"/>
              <w:rPr>
                <w:sz w:val="1"/>
                <w:szCs w:val="1"/>
                <w:color w:val="auto"/>
              </w:rPr>
            </w:pPr>
          </w:p>
        </w:tc>
      </w:tr>
      <w:tr>
        <w:trPr>
          <w:trHeight w:val="452"/>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Ayat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 since March 2007.</w:t>
            </w:r>
          </w:p>
        </w:tc>
        <w:tc>
          <w:tcPr>
            <w:tcW w:w="0" w:type="dxa"/>
            <w:vAlign w:val="bottom"/>
          </w:tcPr>
          <w:p>
            <w:pPr>
              <w:spacing w:after="0"/>
              <w:rPr>
                <w:sz w:val="1"/>
                <w:szCs w:val="1"/>
                <w:color w:val="auto"/>
              </w:rPr>
            </w:pPr>
          </w:p>
        </w:tc>
      </w:tr>
      <w:tr>
        <w:trPr>
          <w:trHeight w:val="452"/>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Juden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 and General Counsel, since April 2009.</w:t>
            </w:r>
          </w:p>
        </w:tc>
        <w:tc>
          <w:tcPr>
            <w:tcW w:w="0" w:type="dxa"/>
            <w:vAlign w:val="bottom"/>
          </w:tcPr>
          <w:p>
            <w:pPr>
              <w:spacing w:after="0"/>
              <w:rPr>
                <w:sz w:val="1"/>
                <w:szCs w:val="1"/>
                <w:color w:val="auto"/>
              </w:rPr>
            </w:pPr>
          </w:p>
        </w:tc>
      </w:tr>
      <w:tr>
        <w:trPr>
          <w:trHeight w:val="43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Ashok Belani</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Technology, since January 2011; President, Reservoir Characterization</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February 2010 to August 2011; Vice President and Chief Technology Officer, April 2006 to</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2010.</w:t>
            </w:r>
          </w:p>
        </w:tc>
        <w:tc>
          <w:tcPr>
            <w:tcW w:w="0" w:type="dxa"/>
            <w:vAlign w:val="bottom"/>
          </w:tcPr>
          <w:p>
            <w:pPr>
              <w:spacing w:after="0"/>
              <w:rPr>
                <w:sz w:val="1"/>
                <w:szCs w:val="1"/>
                <w:color w:val="auto"/>
              </w:rPr>
            </w:pPr>
          </w:p>
        </w:tc>
      </w:tr>
      <w:tr>
        <w:trPr>
          <w:trHeight w:val="43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Jean-Francois Poupeau</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Communications, since June 2012; President,</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Drilling Group, May 2010 to June 2012; President, Drilling &amp; Measurements, July 2007 to April 2010.</w:t>
            </w:r>
          </w:p>
        </w:tc>
        <w:tc>
          <w:tcPr>
            <w:tcW w:w="0" w:type="dxa"/>
            <w:vAlign w:val="bottom"/>
          </w:tcPr>
          <w:p>
            <w:pPr>
              <w:spacing w:after="0"/>
              <w:rPr>
                <w:sz w:val="1"/>
                <w:szCs w:val="1"/>
                <w:color w:val="auto"/>
              </w:rPr>
            </w:pPr>
          </w:p>
        </w:tc>
      </w:tr>
      <w:tr>
        <w:trPr>
          <w:trHeight w:val="61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Khaled Al Mogharbel</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Drilling Group, since July 2013; President, Middle East, August 2011 to June 2013; Project</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Gulfsands Petroleum – Syria, July 2009 to July 2011.</w:t>
            </w:r>
          </w:p>
        </w:tc>
        <w:tc>
          <w:tcPr>
            <w:tcW w:w="0" w:type="dxa"/>
            <w:vAlign w:val="bottom"/>
          </w:tcPr>
          <w:p>
            <w:pPr>
              <w:spacing w:after="0"/>
              <w:rPr>
                <w:sz w:val="1"/>
                <w:szCs w:val="1"/>
                <w:color w:val="auto"/>
              </w:rPr>
            </w:pPr>
          </w:p>
        </w:tc>
      </w:tr>
      <w:tr>
        <w:trPr>
          <w:trHeight w:val="43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Stephane Biguet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Controller, Operations &amp; Integration, since November  2013; Vice President, Global</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Services Organization, August 2011 to October 2013; Mergers and Acquisitions Director,</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2011 to July 2011; Controller, Reservoir Characterization Group, October 2008 to July 2011.</w:t>
            </w:r>
          </w:p>
        </w:tc>
        <w:tc>
          <w:tcPr>
            <w:tcW w:w="0" w:type="dxa"/>
            <w:vAlign w:val="bottom"/>
          </w:tcPr>
          <w:p>
            <w:pPr>
              <w:spacing w:after="0"/>
              <w:rPr>
                <w:sz w:val="1"/>
                <w:szCs w:val="1"/>
                <w:color w:val="auto"/>
              </w:rPr>
            </w:pPr>
          </w:p>
        </w:tc>
      </w:tr>
      <w:tr>
        <w:trPr>
          <w:trHeight w:val="705"/>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Danton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 Director of Taxes, since January 1999.</w:t>
            </w:r>
          </w:p>
        </w:tc>
        <w:tc>
          <w:tcPr>
            <w:tcW w:w="0" w:type="dxa"/>
            <w:vAlign w:val="bottom"/>
          </w:tcPr>
          <w:p>
            <w:pPr>
              <w:spacing w:after="0"/>
              <w:rPr>
                <w:sz w:val="1"/>
                <w:szCs w:val="1"/>
                <w:color w:val="auto"/>
              </w:rPr>
            </w:pPr>
          </w:p>
        </w:tc>
      </w:tr>
      <w:tr>
        <w:trPr>
          <w:trHeight w:val="43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Farrant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Investor Relations, since February 2014; Special Projects Manager, October 2013 to</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2014; GeoMarket Manager, North Sea, April 2012 to September 2013; Integration Manager,</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Smith Merger, April 2010 to April 2012; Portfolio Manager, Mergers &amp; Acquisitions, July 2004 to</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2010.</w:t>
            </w:r>
          </w:p>
        </w:tc>
        <w:tc>
          <w:tcPr>
            <w:tcW w:w="0" w:type="dxa"/>
            <w:vAlign w:val="bottom"/>
          </w:tcPr>
          <w:p>
            <w:pPr>
              <w:spacing w:after="0"/>
              <w:rPr>
                <w:sz w:val="1"/>
                <w:szCs w:val="1"/>
                <w:color w:val="auto"/>
              </w:rPr>
            </w:pPr>
          </w:p>
        </w:tc>
      </w:tr>
      <w:tr>
        <w:trPr>
          <w:trHeight w:val="43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Sherif Foda</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Production Group, since July 2013; President, Europe and Africa, June 2011 to June 2013;</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Saudi Arabia and Bahrain GeoMarket Manager, June 2009 to June 2011.</w:t>
            </w:r>
          </w:p>
        </w:tc>
        <w:tc>
          <w:tcPr>
            <w:tcW w:w="0" w:type="dxa"/>
            <w:vAlign w:val="bottom"/>
          </w:tcPr>
          <w:p>
            <w:pPr>
              <w:spacing w:after="0"/>
              <w:rPr>
                <w:sz w:val="1"/>
                <w:szCs w:val="1"/>
                <w:color w:val="auto"/>
              </w:rPr>
            </w:pPr>
          </w:p>
        </w:tc>
      </w:tr>
      <w:tr>
        <w:trPr>
          <w:trHeight w:val="43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Gatt Floridia</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Reservoir Characterization Group, since August 2011; President Middle East, May 2009 to</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2011.</w:t>
            </w:r>
          </w:p>
        </w:tc>
        <w:tc>
          <w:tcPr>
            <w:tcW w:w="0" w:type="dxa"/>
            <w:vAlign w:val="bottom"/>
          </w:tcPr>
          <w:p>
            <w:pPr>
              <w:spacing w:after="0"/>
              <w:rPr>
                <w:sz w:val="1"/>
                <w:szCs w:val="1"/>
                <w:color w:val="auto"/>
              </w:rPr>
            </w:pPr>
          </w:p>
        </w:tc>
      </w:tr>
      <w:tr>
        <w:trPr>
          <w:trHeight w:val="452"/>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Guild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 since July 2005.</w:t>
            </w:r>
          </w:p>
        </w:tc>
        <w:tc>
          <w:tcPr>
            <w:tcW w:w="0" w:type="dxa"/>
            <w:vAlign w:val="bottom"/>
          </w:tcPr>
          <w:p>
            <w:pPr>
              <w:spacing w:after="0"/>
              <w:rPr>
                <w:sz w:val="1"/>
                <w:szCs w:val="1"/>
                <w:color w:val="auto"/>
              </w:rPr>
            </w:pPr>
          </w:p>
        </w:tc>
      </w:tr>
      <w:tr>
        <w:trPr>
          <w:trHeight w:val="46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Imran Kizilbash</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and Treasurer, since November 2013; Controller, Operations &amp; Integration, July 2013 to</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2013; Controller, Operations, January 2011 to June 2013; Controller, Schlumberger Limited,</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2009 to January 2011.</w:t>
            </w:r>
          </w:p>
        </w:tc>
        <w:tc>
          <w:tcPr>
            <w:tcW w:w="0" w:type="dxa"/>
            <w:vAlign w:val="bottom"/>
          </w:tcPr>
          <w:p>
            <w:pPr>
              <w:spacing w:after="0"/>
              <w:rPr>
                <w:sz w:val="1"/>
                <w:szCs w:val="1"/>
                <w:color w:val="auto"/>
              </w:rPr>
            </w:pPr>
          </w:p>
        </w:tc>
      </w:tr>
      <w:tr>
        <w:trPr>
          <w:trHeight w:val="43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Martellozo</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Human Resources, since June 2014; Senior Advisor to the CEO, August 2012 to May</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2014; Human Resources Manager, Drilling Group, May 2010 to July 2012; Human Resources</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 Reservoir Characterization Group, May 2009 to April 2010.</w:t>
            </w:r>
          </w:p>
        </w:tc>
        <w:tc>
          <w:tcPr>
            <w:tcW w:w="0" w:type="dxa"/>
            <w:vAlign w:val="bottom"/>
          </w:tcPr>
          <w:p>
            <w:pPr>
              <w:spacing w:after="0"/>
              <w:rPr>
                <w:sz w:val="1"/>
                <w:szCs w:val="1"/>
                <w:color w:val="auto"/>
              </w:rPr>
            </w:pPr>
          </w:p>
        </w:tc>
      </w:tr>
      <w:tr>
        <w:trPr>
          <w:trHeight w:val="61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Schorn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3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Operations and Integration, since July 2013; President, Production Group, January 2011 to</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2013; President Well Services, May 2008 to January 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Schlumberger Internet website is </w:t>
      </w:r>
      <w:r>
        <w:rPr>
          <w:rFonts w:ascii="Times New Roman" w:cs="Times New Roman" w:eastAsia="Times New Roman" w:hAnsi="Times New Roman"/>
          <w:sz w:val="18"/>
          <w:szCs w:val="18"/>
          <w:u w:val="single" w:color="auto"/>
          <w:color w:val="auto"/>
        </w:rPr>
        <w:t>www.slb.com</w:t>
      </w:r>
      <w:r>
        <w:rPr>
          <w:rFonts w:ascii="Times New Roman" w:cs="Times New Roman" w:eastAsia="Times New Roman" w:hAnsi="Times New Roman"/>
          <w:sz w:val="18"/>
          <w:szCs w:val="18"/>
          <w:color w:val="auto"/>
        </w:rPr>
        <w:t xml:space="preserve">. Schlumberger uses its Investor Relations website, </w:t>
      </w:r>
      <w:r>
        <w:rPr>
          <w:rFonts w:ascii="Times New Roman" w:cs="Times New Roman" w:eastAsia="Times New Roman" w:hAnsi="Times New Roman"/>
          <w:sz w:val="18"/>
          <w:szCs w:val="18"/>
          <w:u w:val="single" w:color="auto"/>
          <w:color w:val="auto"/>
        </w:rPr>
        <w:t>www.slb.com/ir</w:t>
      </w:r>
      <w:r>
        <w:rPr>
          <w:rFonts w:ascii="Times New Roman" w:cs="Times New Roman" w:eastAsia="Times New Roman" w:hAnsi="Times New Roman"/>
          <w:sz w:val="18"/>
          <w:szCs w:val="18"/>
          <w:color w:val="auto"/>
        </w:rPr>
        <w:t xml:space="preserve">, as a routine channel for distribution of important information, including news releases, analyst presentations, and financial information. Schlumberger makes available free of charge on or through its Investor Relations website at </w:t>
      </w:r>
      <w:r>
        <w:rPr>
          <w:rFonts w:ascii="Times New Roman" w:cs="Times New Roman" w:eastAsia="Times New Roman" w:hAnsi="Times New Roman"/>
          <w:sz w:val="18"/>
          <w:szCs w:val="18"/>
          <w:u w:val="single" w:color="auto"/>
          <w:color w:val="auto"/>
        </w:rPr>
        <w:t>www.slb.com/ir</w:t>
      </w:r>
      <w:r>
        <w:rPr>
          <w:rFonts w:ascii="Times New Roman" w:cs="Times New Roman" w:eastAsia="Times New Roman" w:hAnsi="Times New Roman"/>
          <w:sz w:val="18"/>
          <w:szCs w:val="18"/>
          <w:color w:val="auto"/>
        </w:rPr>
        <w:t xml:space="preserve"> access to its Annual Reports on Form 10-K, Quarterly Reports on Form 10-Q, Current Reports on Form 8-K, its Proxy Statements and Forms 3, 4 and 5</w:t>
      </w:r>
    </w:p>
    <w:p>
      <w:pPr>
        <w:sectPr>
          <w:pgSz w:w="11900" w:h="16838" w:orient="portrait"/>
          <w:cols w:equalWidth="0" w:num="1">
            <w:col w:w="11420"/>
          </w:cols>
          <w:pgMar w:left="240" w:top="10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05" w:right="239" w:bottom="1440" w:gutter="0" w:footer="0" w:header="0"/>
          <w:type w:val="continuous"/>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www.sec.gov. Copies are also available, without charge, from Schlumberger Investor Relations, 5599 San Felipe,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Houston, Texas 77056. Unless expressly noted, the information on our website or any other website is not incorporated by reference in this Form 10-K and should not be considered part of this Form 10-K or any other filing Schlumberger makes with the SEC.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related notes included in this Form 10-K.</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We urge you to consider carefully the risks described below, as well as in other reports and materials that we file with the SEC and the other information included or incorporated by reference in this Form 10-K.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Demand for the majority of our services is substantially dependent on the levels of expenditures by the oil and gas industry. A substantial or an extended decline in oil and gas prices could result in lower expenditures by the oil and gas industry, which could have a material adverse effect on our financial condition, results of operations and cash flows.</w:t>
      </w:r>
    </w:p>
    <w:p>
      <w:pPr>
        <w:spacing w:after="0" w:line="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Demand for the majority of our services depends substantially on the level of expenditures by the oil and gas industry for the exploration, development and production of oil and natural gas reserves. These expenditures are generally dependent on the industry’s view of future oil and natural gas prices and are sensitive to the industry’s view of future economic growth and the resulting impact on demand for oil and natural gas. Declines, as well as anticipated declines, in oil and gas prices could also result in project modifications, delays or cancellations, general business disruptions, and delays in payment of, or nonpayment of, amounts that are owed to us. These effects could have a material adverse effect on our financial condition, results of operations and 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prices for oil and natural gas have historically been volatile and can be affected by a variety of factors, including:</w:t>
      </w:r>
    </w:p>
    <w:p>
      <w:pPr>
        <w:spacing w:after="0" w:line="112" w:lineRule="exact"/>
        <w:rPr>
          <w:sz w:val="20"/>
          <w:szCs w:val="20"/>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hydrocarbons, which is affected by general economic and business conditions;</w:t>
      </w:r>
    </w:p>
    <w:p>
      <w:pPr>
        <w:spacing w:after="0" w:line="2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the Organization of Petroleum Exporting Countries (“OPEC”) to set and maintain production levels for oil;</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production levels by non-OPEC countries;</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excess production capacity;</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geopolitical unrest;</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oil and gas exploration and production activity;</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potential resources;</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and subsidies;</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exploring for, producing and delivering oil and gas;</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 and</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and gas industry has historically experienced periodic downturns, which have been characterized by diminished demand for oilfield services and downward pressure on the prices we charge. A significant downturn in the oil and gas industry could result in a reduction in demand for oilfield services and could adversely affect our financial condition, results of operations and cash flows.</w:t>
      </w:r>
    </w:p>
    <w:p>
      <w:pPr>
        <w:spacing w:after="0" w:line="17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non-United States operations, which exposes us to risks inherent in doing business in each of the approximately 85 countries in which we operate.</w:t>
      </w:r>
    </w:p>
    <w:p>
      <w:pPr>
        <w:spacing w:after="0" w:line="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non-United States operations accounted for approximately 71% of our consolidated revenue in 2014, 73% in 2013 and 72% in 2012. Operations in countries other than the United States are subject to various risks, including:</w:t>
      </w:r>
    </w:p>
    <w:p>
      <w:pPr>
        <w:spacing w:after="0" w:line="58" w:lineRule="exact"/>
        <w:rPr>
          <w:sz w:val="20"/>
          <w:szCs w:val="20"/>
          <w:color w:val="auto"/>
        </w:rPr>
      </w:pPr>
    </w:p>
    <w:p>
      <w:pPr>
        <w:ind w:left="1020" w:hanging="36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conditions in certain areas;</w:t>
      </w:r>
    </w:p>
    <w:p>
      <w:pPr>
        <w:spacing w:after="0" w:line="2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possible expropriation of our assets or other governmental actions;</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deprivation of contract rights;</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or other restrictions imposed by the European Union, the United States or other countries;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28" w:right="239" w:bottom="1440" w:gutter="0" w:footer="0" w:header="0"/>
        </w:sectPr>
      </w:pPr>
    </w:p>
    <w:bookmarkStart w:id="7" w:name="page8"/>
    <w:bookmarkEnd w:id="7"/>
    <w:p>
      <w:pPr>
        <w:ind w:left="1020" w:hanging="36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under the United States Foreign Corrupt Practices Act or similar legislation in other countries;</w:t>
      </w:r>
    </w:p>
    <w:p>
      <w:pPr>
        <w:spacing w:after="0" w:line="2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controls;</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w:t>
      </w:r>
    </w:p>
    <w:p>
      <w:pPr>
        <w:spacing w:after="0" w:line="5"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devaluations.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2014, Schlumberger completed the wind down of its operations in the Republic of Sudan.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during the second quarter of 2013, Schlumberger completed the wind down of its service operations in Iran. Prior to this, certain non-US subsidiaries of Schlumberger provided oilfield services to the National Iranian Oil Company and certain of its affiliates (“NIOC”). Schlumberger has reclassified the results of this business as a discontinued operation. All prior periods have been restated accordingly.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Schlumberger’s residual transactions or dealings with the government of Iran during 2014 consisted of payments of taxes and other typical governmental charges. Two non-US subsidiaries of Schlumberger maintained depository accounts at the Dubai branch of Bank Saderat Iran (“Saderat”), and at Bank Tejarat (“Tejarat”) in Tehran for the deposit by NIOC of amounts owed to non-US subsidiaries of Schlumberger for prior services rendered in Iran. One non-US subsidiary also maintains an account at Tejarat for payment of local expenses such as taxes and utilities. Schlumberger anticipates that it will discontinue its dealings with Saderat and Tejarat following the receipt of all amounts owed to Schlumberger for prior services rendered in Iran.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compliance costs and liabilities could reduce our earnings and cash available for operations.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increasingly stringent laws and regulations relating to importation and use of hazardous materials, radioactive materials, chemicals and explosives and to environmental protection, including laws and regulations governing air emissions, hydraulic fracturing,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subject to substantial liability claims, which could adversely affect our financial condition, results of operations and cash flows.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technical complexities of our operations expose us to a wide range of significant health, safety and environmental risks. Our offerings involve production-related activities, radioactive materials, chemicals, explosives and other equipment and services that are deployed in challenging exploration, development and production environments. An accident involving these services or equipment, or a failure of a product, could cause personal injury, loss of life, damage to or destruction of property, equipment or the environment, or suspension of operations. Our insurance may not protect us against liability for some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are subject to substantial deductibles, could adversely affect our financial condition, results of operations and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our products and services could be reduced by changes in governmental regulations or in the law.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Existing or future legislation and regulations related to greenhouse gas emissions and climate change, as well as government initiatives to conserve energy or promote the use of alternative energy sources, may significantly curtail demand for and production of fossil fuels such as oil and gas in areas of the world where our customers operate and thus adversely affect future demand for our services. This may, in turn, adversely affect our financial condition, results of operations and cash flows.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Some international, national, state and local governments and agencies have also adopted laws and regulations or are evaluating proposed legislation and regulations that are focused on the extraction of shale gas or oil using hydraulic fracturing. Hydraulic fracturing is a stimulation treatment routinely performed on oil and gas wells in low-permeability reservoirs. Specially engineered fluids are pumped at high pressure and rate into the reservoir interval to be treated, causing cracks in the target formation. Proppant, such as sand of a particular size, is mixed with the treatment fluid to keep the cracks open when the treatment is complete. Future hydraulic fracturing-related legislation or regulations could limit or ban hydraulic fracturing, or lead to operational delays and increased costs, and therefore reduce demand for our pressure pumping services. If such additional international, national, state or local legislation or regulations are enacted, it could adversely affect our financial condition, results of operations and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maintain technology leadership, this could adversely affect any competitive advantage we hold.</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If we are unable to continue to develop and produce competitive technology or deliver it to our clients in a timely and cost-competitive manner in the various markets we serve, it could adversely affect our financial condition, results of operations and cash flows.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Limitations on our ability to protect our intellectual property rights, including our trade secrets, could cause a loss in revenue and any competitive advantage we hold.</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 which could adversely affect our financial condition, results of operations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litigation if another party claims that we have infringed upon its intellectual property rights.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Additionally, developing non-infringing technologies would increase our costs. If a license were not available, we might not be able to continue providing a particular service or product, which could adversely affect our financial condition, results of operations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obtain and retain skilled technical personnel could impede our operations.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Severe weather conditions may affect our operations.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Any of these events could adversely affect our financial condition, results of operations and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attacks could affect our business.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If our systems for protecting against cybersecurity risks are circumvented or breached, this could result in the loss of our intellectual property or other proprietary information, including customer data, and disruption of our business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owns or leases numerous manufacturing facilities, administrative offices, service centers, research centers, data processing centers, mines, ore, drilling fluid and production chemical processing centers, sales offices and warehouses throughout the world. Schlumberger views its principal manufacturing, mining and processing facilities, research centers and data processing centers as its “principal owned or leased facilities.”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28"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sets forth Schlumberger’s principal owned or leased facilities: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Beijing, China; Clamart, France; Mumbai, India; Fuchinobe, Japan; Oslo and Stavanger, Norway; Singapore; Abingdon, Cambridge, Gatwick and Stonehouse, United Kingdom; Moscow, Russia; and within the United States: Boston, Massachusetts; Houston, Katy, Rosharon and Sugar Land, Texas; Battle Mountain, Nevada; Greybull, Wyoming and Florence, Kentucky.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with respect to this Item 3. Legal Proceedings is set forth in Note 16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Market for Schlumberger’s Common Stock, Related Stockholder Matters and Issuer Purchases of Equity Securities.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2014, there were 21,348 stockholders of record. The principal United States market for Schlumberger’s common stock is the New York Stock Exchange (“NYSE”), where it is traded under the symbol “SLB,” although it is traded on other exchanges in and outside the United States, including the Euronext Paris, the London Stock Exchange and the SIX Swiss Exchange.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Market Prices and Dividends Declared per Share</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Quarterly high and low prices for Schlumberger’s common stock as reported by the NYSE (composite transactions), together with dividends declared per share in each quarter of 2014 and 2013,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Price Range</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Dividends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Low</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Declared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98.45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85.77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118.13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96.66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118.76</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100.30</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102.40</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78.47</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2013</w:t>
            </w: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QUARTERS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First</w:t>
            </w:r>
          </w:p>
        </w:tc>
        <w:tc>
          <w:tcPr>
            <w:tcW w:w="2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0.3125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Third</w:t>
            </w: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71.84</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0.3125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Fourth</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84.91</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0.3125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There are no legal restrictions on the payment of dividends or ownership or voting of such shares, except as to shares held as treasury stock. Under current legislation, stockholders are not subject to any Curaçao withholding or other Curaçao taxes attributable to the ownership of such shares.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Schlumberger common stock, assuming reinvestment of dividends on the last day of the month of payment into common stock of Schlumberger, with the cumulative total return on the Standard &amp; Poor’s 500 Index (S&amp;P 500 Index) and the cumulative total return on the Philadelphia Oil Service Index (OSX) over the five-year period ended December 31, 2014.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 among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common stock, the S&amp;P 500 Index and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Oil Service Index (OSX)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273685</wp:posOffset>
            </wp:positionV>
            <wp:extent cx="5330825" cy="3480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30825"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Assumes $100 invested on December 31, 2009 in Schlumberger common stock, in the S&amp;P 500 Index and in the Philadelphia Oil Service Index (OSX) and reinvestment of dividends on the last day of the month of payment.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18, 2013, the Schlumberger Board of Directors approved a $10 billion share repurchase program for Schlumberger common stock, to be completed at the latest by June 30, 2018. Schlumberger is accelerating this share repurchase program with the aim of completing it in 2.5 years as compared to the original target of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common stock repurchase program activity for the three months ended December 31, 2014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6"/>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299"/>
        </w:trPr>
        <w:tc>
          <w:tcPr>
            <w:tcW w:w="3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26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Maximum value of</w:t>
            </w:r>
          </w:p>
        </w:tc>
      </w:tr>
      <w:tr>
        <w:trPr>
          <w:trHeight w:val="213"/>
        </w:trPr>
        <w:tc>
          <w:tcPr>
            <w:tcW w:w="33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Total number</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shares purchased</w:t>
            </w:r>
          </w:p>
        </w:tc>
        <w:tc>
          <w:tcPr>
            <w:tcW w:w="26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shares that may yet</w:t>
            </w:r>
          </w:p>
        </w:tc>
      </w:tr>
      <w:tr>
        <w:trPr>
          <w:trHeight w:val="213"/>
        </w:trPr>
        <w:tc>
          <w:tcPr>
            <w:tcW w:w="33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shares</w:t>
            </w: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paid per</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as part of publicly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be purchased</w:t>
            </w:r>
          </w:p>
        </w:tc>
      </w:tr>
      <w:tr>
        <w:trPr>
          <w:trHeight w:val="231"/>
        </w:trPr>
        <w:tc>
          <w:tcPr>
            <w:tcW w:w="33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announced program</w:t>
            </w: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under the program</w:t>
            </w:r>
          </w:p>
        </w:tc>
        <w:tc>
          <w:tcPr>
            <w:tcW w:w="100" w:type="dxa"/>
            <w:vAlign w:val="bottom"/>
            <w:tcBorders>
              <w:bottom w:val="single" w:sz="8" w:color="CFF0FC"/>
            </w:tcBorders>
          </w:tcPr>
          <w:p>
            <w:pPr>
              <w:spacing w:after="0"/>
              <w:rPr>
                <w:sz w:val="20"/>
                <w:szCs w:val="20"/>
                <w:color w:val="auto"/>
              </w:rPr>
            </w:pPr>
          </w:p>
        </w:tc>
      </w:tr>
      <w:tr>
        <w:trPr>
          <w:trHeight w:val="233"/>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through October 31, 2014</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3,720.5</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95.68</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2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4,344,679</w:t>
            </w:r>
          </w:p>
        </w:tc>
        <w:tc>
          <w:tcPr>
            <w:tcW w:w="100" w:type="dxa"/>
            <w:vAlign w:val="bottom"/>
            <w:shd w:val="clear" w:color="auto" w:fill="CFF0FC"/>
          </w:tcPr>
          <w:p>
            <w:pPr>
              <w:spacing w:after="0"/>
              <w:rPr>
                <w:sz w:val="20"/>
                <w:szCs w:val="20"/>
                <w:color w:val="auto"/>
              </w:rPr>
            </w:pPr>
          </w:p>
        </w:tc>
      </w:tr>
      <w:tr>
        <w:trPr>
          <w:trHeight w:val="21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November 1 through November 30, 2014</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2,529.6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96.52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2,529.6</w:t>
            </w: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4,100,530</w:t>
            </w:r>
          </w:p>
        </w:tc>
        <w:tc>
          <w:tcPr>
            <w:tcW w:w="100" w:type="dxa"/>
            <w:vAlign w:val="bottom"/>
          </w:tcPr>
          <w:p>
            <w:pPr>
              <w:spacing w:after="0"/>
              <w:rPr>
                <w:sz w:val="18"/>
                <w:szCs w:val="18"/>
                <w:color w:val="auto"/>
              </w:rPr>
            </w:pPr>
          </w:p>
        </w:tc>
      </w:tr>
      <w:tr>
        <w:trPr>
          <w:trHeight w:val="213"/>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through December 31, 2014</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5,891.7</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84.07</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5,891.7</w:t>
            </w:r>
          </w:p>
        </w:tc>
        <w:tc>
          <w:tcPr>
            <w:tcW w:w="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3,605,238</w:t>
            </w:r>
          </w:p>
        </w:tc>
        <w:tc>
          <w:tcPr>
            <w:tcW w:w="100" w:type="dxa"/>
            <w:vAlign w:val="bottom"/>
            <w:shd w:val="clear" w:color="auto" w:fill="CFF0FC"/>
          </w:tcPr>
          <w:p>
            <w:pPr>
              <w:spacing w:after="0"/>
              <w:rPr>
                <w:sz w:val="18"/>
                <w:szCs w:val="18"/>
                <w:color w:val="auto"/>
              </w:rPr>
            </w:pPr>
          </w:p>
        </w:tc>
      </w:tr>
      <w:tr>
        <w:trPr>
          <w:trHeight w:val="206"/>
        </w:trPr>
        <w:tc>
          <w:tcPr>
            <w:tcW w:w="33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12,141.8</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28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12,141.8</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5 as the number of shares of Schlumberger common stock received from optionholders is not 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9"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both “Item 7. Management’s Discussion and Analysis of Financial Condition and Results of Operations” and “Item 8. Financial Statements and Supplementary Data” of this Form 10-K in order to understand factors, such as business combinations and charges and credits, which may affect the comparability of the Selected Financial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70"/>
        </w:trPr>
        <w:tc>
          <w:tcPr>
            <w:tcW w:w="3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2012</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2011</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48,580</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45,266</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41,731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36,579</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26,280</w:t>
            </w:r>
          </w:p>
        </w:tc>
        <w:tc>
          <w:tcPr>
            <w:tcW w:w="0" w:type="dxa"/>
            <w:vAlign w:val="bottom"/>
          </w:tcPr>
          <w:p>
            <w:pPr>
              <w:spacing w:after="0"/>
              <w:rPr>
                <w:sz w:val="1"/>
                <w:szCs w:val="1"/>
                <w:color w:val="auto"/>
              </w:rPr>
            </w:pPr>
          </w:p>
        </w:tc>
      </w:tr>
      <w:tr>
        <w:trPr>
          <w:trHeight w:val="22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5,643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6,801</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5,230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4,516</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195"/>
        </w:trPr>
        <w:tc>
          <w:tcPr>
            <w:tcW w:w="30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w w:val="98"/>
              </w:rPr>
              <w:t>Diluted earnings per share from continuing</w:t>
            </w:r>
          </w:p>
        </w:tc>
        <w:tc>
          <w:tcPr>
            <w:tcW w:w="280" w:type="dxa"/>
            <w:vAlign w:val="bottom"/>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4.31</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280" w:type="dxa"/>
            <w:vAlign w:val="bottom"/>
            <w:vMerge w:val="continue"/>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10,518</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12,700</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11,788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10,001</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7,233</w:t>
            </w:r>
          </w:p>
        </w:tc>
        <w:tc>
          <w:tcPr>
            <w:tcW w:w="0" w:type="dxa"/>
            <w:vAlign w:val="bottom"/>
          </w:tcPr>
          <w:p>
            <w:pPr>
              <w:spacing w:after="0"/>
              <w:rPr>
                <w:sz w:val="1"/>
                <w:szCs w:val="1"/>
                <w:color w:val="auto"/>
              </w:rPr>
            </w:pPr>
          </w:p>
        </w:tc>
      </w:tr>
      <w:tr>
        <w:trPr>
          <w:trHeight w:val="22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66,904</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67,100</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61,547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55,201</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51,767</w:t>
            </w:r>
          </w:p>
        </w:tc>
        <w:tc>
          <w:tcPr>
            <w:tcW w:w="0" w:type="dxa"/>
            <w:vAlign w:val="bottom"/>
          </w:tcPr>
          <w:p>
            <w:pPr>
              <w:spacing w:after="0"/>
              <w:rPr>
                <w:sz w:val="1"/>
                <w:szCs w:val="1"/>
                <w:color w:val="auto"/>
              </w:rPr>
            </w:pPr>
          </w:p>
        </w:tc>
      </w:tr>
      <w:tr>
        <w:trPr>
          <w:trHeight w:val="213"/>
        </w:trPr>
        <w:tc>
          <w:tcPr>
            <w:tcW w:w="30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Net debt </w:t>
            </w:r>
            <w:r>
              <w:rPr>
                <w:rFonts w:ascii="Times New Roman" w:cs="Times New Roman" w:eastAsia="Times New Roman" w:hAnsi="Times New Roman"/>
                <w:sz w:val="24"/>
                <w:szCs w:val="24"/>
                <w:color w:val="auto"/>
                <w:vertAlign w:val="superscript"/>
              </w:rPr>
              <w:t>(1)</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5,387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4,443</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5,111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4,850</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2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10,565</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10,393</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9,509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8,556</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5,517</w:t>
            </w:r>
          </w:p>
        </w:tc>
        <w:tc>
          <w:tcPr>
            <w:tcW w:w="0" w:type="dxa"/>
            <w:vAlign w:val="bottom"/>
          </w:tcPr>
          <w:p>
            <w:pPr>
              <w:spacing w:after="0"/>
              <w:rPr>
                <w:sz w:val="1"/>
                <w:szCs w:val="1"/>
                <w:color w:val="auto"/>
              </w:rPr>
            </w:pPr>
          </w:p>
        </w:tc>
      </w:tr>
      <w:tr>
        <w:trPr>
          <w:trHeight w:val="22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37,850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39,469</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34,751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31,263</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31,226</w:t>
            </w:r>
          </w:p>
        </w:tc>
        <w:tc>
          <w:tcPr>
            <w:tcW w:w="0" w:type="dxa"/>
            <w:vAlign w:val="bottom"/>
          </w:tcPr>
          <w:p>
            <w:pPr>
              <w:spacing w:after="0"/>
              <w:rPr>
                <w:sz w:val="1"/>
                <w:szCs w:val="1"/>
                <w:color w:val="auto"/>
              </w:rPr>
            </w:pPr>
          </w:p>
        </w:tc>
      </w:tr>
      <w:tr>
        <w:trPr>
          <w:trHeight w:val="22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0" w:right="20" w:hanging="394"/>
        <w:spacing w:after="0" w:line="211" w:lineRule="auto"/>
        <w:tabs>
          <w:tab w:leader="none" w:pos="400"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3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for 2014 reached a record $48.6 billion, up 7% and growing for the fifth consecutive year. In North America, revenue surged by $2.3 billion, or 16%, driven by strong activity both on land and offshore as well as by the penetration of innovative hydraulic stimulation technologies. International revenue increased by $1.2 billion, or 4%, on significant strength in the Middle East &amp; Asia, despite considerable headwinds in the face of activity challenges, geopolitical unrest, falling oil prices and international sanctions elsewhere.</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Oil markets remained relatively well-balanced during 2014 as increasing global production capacity almost matched increasing demand. Yet, after more than three years of remarkable stability, oil prices declined dramatically by more than 40% late in the year to end at their lowest levels since 2009. However, unlike the 2009 decline which was triggered by a global economic recession, the 2014 decline resulted from a higher market supply of oil that became increasingly evident as North American tight oil production continued to grow and OPEC shifted focus from protecting oil prices to protecting market share. At the same time, production recovered in countries that had suffered degrees of geopolitical disturbance, and the US dollar strengthened to further weaken overall commodity prices.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natural gas markets, US prices reached multiyear highs in February 2014 on exceptionally cold weather and risks of local supply shortages. Storage, however, returned to historical average levels at the end of 2014 as sustained production growth in the Marcellus play and increasing associated gas production in US tight oil plays more than offset the impact of low activity levels in other unconventional plays. Overall, these increasing supplies more than met growing demand. Internationally, natural gas prices eased broadly in 2014 on mild temperatures in Europe, LNG capacity additions in the Pacific region, and the impact of weaker oil prices on oil-indexed natural gas pricing formulas</w:t>
      </w:r>
      <w:r>
        <w:rPr>
          <w:rFonts w:ascii="Times New Roman" w:cs="Times New Roman" w:eastAsia="Times New Roman" w:hAnsi="Times New Roman"/>
          <w:sz w:val="18"/>
          <w:szCs w:val="18"/>
          <w:color w:val="1F497D"/>
        </w:rPr>
        <w:t>.</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Against this background, Schlumberger’s performance in 2014 was led by North America, where revenue grew by 16% on robust land activity, increased service intensity, market share gains and new technology penetration. Offshore operations, however, suffered from a number of operational delays that particularly affected drilling and exploration activity. The 4% growth in International revenue was led by activity in a number of key markets, both on land and offshore. Middle East &amp; Asia revenue grew by 10%, driven by Saudi Arabia, Australia, the United Arab Emirates and Oman. Revenue in Europe/CIS/Africa improved by 1%, led by the Sub-Saharan region on strong exploration and development activities in the Central West Africa, Angola and Continental Europe GeoMarkets. Norway also showed strong growth through market share gains and higher rig-related services for a number of customers. In Latin America, however, revenue slipped by 1% as strong activity in Venezuela and Ecuador was unable to compensate for lower activity and pricing in both Brazil and Mexico.</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a Group perspective, performance was led by the Drilling Group, mainly as result of robust demand for Drilling &amp; Measurements services and M-I SWACO Technologies as activity strengthened in North America and Middle East &amp; Asia. Rig revenue from the May 2014 acquisition of Saxon also contributed to Drilling Group growth. The Production Group benefitted from strong results in Well Services, where pressure pumping activity increased through market share gains, operational efficiency improvements and the introduction of new technology. Schlumberger Production Management grew as projects in Latin America, particularly in Ecuador, continued to progress ahead of plan. Production Group activity was also boosted by expansion in the Artificial Lift business as a number of regional acquisitions were added to the portfolio, both in operations and in equipment design and production. However, strength in the Drilling and Production Groups was offset by a slight fall in Reservoir Characterization Group revenue. While testing activity expanded on higher exploration work and software sales increased in all Areas, weakness in the seismic market lowered marine vessel utilization and reduced multiclient seismic data license sales.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Schlumberger enters a challenging 2015, the reduction in commodity prices, which have resulted from the higher marketed supply of oil, raises short-term uncertainty as it relates to the spending and activity levels of our customers. However, Schlumberger believes that the oil markets are, in fact, relatively well-balanced and that increasing global production capacity is in line with the overall growth in demand resulting from the continuing global economic recovery. In the longer term, decline rates will impact production capacity, and weaker exploration will delay supply additions, the combination of which ultimately will lead to tighter market conditions and consequently drive increasing investment.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this uncertain environment, Schlumberger continues to focus on the things it can control and has already restructured and resized the business to match the reduced activity levels it expects as 2015 develops. These actions resulted in certain charges, which are described in detail in Note 3 to the reduced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being recorded during the fourth quarter of 2014.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9"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2014 Results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Product Groups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1"/>
        </w:trPr>
        <w:tc>
          <w:tcPr>
            <w:tcW w:w="4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11"/>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Fourth Quarter 2014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10"/>
          </w:tcPr>
          <w:p>
            <w:pPr>
              <w:ind w:left="620"/>
              <w:spacing w:after="0"/>
              <w:rPr>
                <w:sz w:val="20"/>
                <w:szCs w:val="20"/>
                <w:color w:val="auto"/>
              </w:rPr>
            </w:pPr>
            <w:r>
              <w:rPr>
                <w:rFonts w:ascii="Times New Roman" w:cs="Times New Roman" w:eastAsia="Times New Roman" w:hAnsi="Times New Roman"/>
                <w:sz w:val="18"/>
                <w:szCs w:val="18"/>
                <w:color w:val="auto"/>
              </w:rPr>
              <w:t>Third Quarter 2014</w:t>
            </w:r>
          </w:p>
        </w:tc>
      </w:tr>
      <w:tr>
        <w:trPr>
          <w:trHeight w:val="188"/>
        </w:trPr>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color w:val="auto"/>
                <w:w w:val="96"/>
              </w:rPr>
              <w:t>Income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4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5"/>
              </w:rPr>
              <w:t>before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before</w:t>
            </w:r>
          </w:p>
        </w:tc>
      </w:tr>
      <w:tr>
        <w:trPr>
          <w:trHeight w:val="231"/>
        </w:trPr>
        <w:tc>
          <w:tcPr>
            <w:tcW w:w="41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taxes</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Borders>
              <w:bottom w:val="single" w:sz="8" w:color="CFF0FC"/>
            </w:tcBorders>
            <w:gridSpan w:val="2"/>
          </w:tcPr>
          <w:p>
            <w:pPr>
              <w:spacing w:after="0"/>
              <w:rPr>
                <w:sz w:val="20"/>
                <w:szCs w:val="20"/>
                <w:color w:val="auto"/>
              </w:rPr>
            </w:pPr>
          </w:p>
        </w:tc>
      </w:tr>
      <w:tr>
        <w:trPr>
          <w:trHeight w:val="23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3,093</w:t>
            </w:r>
          </w:p>
        </w:tc>
        <w:tc>
          <w:tcPr>
            <w:tcW w:w="420" w:type="dxa"/>
            <w:vAlign w:val="bottom"/>
            <w:gridSpan w:val="3"/>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956</w:t>
            </w:r>
          </w:p>
        </w:tc>
        <w:tc>
          <w:tcPr>
            <w:tcW w:w="380" w:type="dxa"/>
            <w:vAlign w:val="bottom"/>
            <w:gridSpan w:val="3"/>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3,184</w:t>
            </w:r>
          </w:p>
        </w:tc>
        <w:tc>
          <w:tcPr>
            <w:tcW w:w="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40" w:type="dxa"/>
            <w:vAlign w:val="bottom"/>
            <w:shd w:val="clear" w:color="auto" w:fill="CFF0FC"/>
          </w:tcPr>
          <w:p>
            <w:pPr>
              <w:spacing w:after="0"/>
              <w:rPr>
                <w:sz w:val="20"/>
                <w:szCs w:val="20"/>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1,045</w:t>
            </w:r>
          </w:p>
        </w:tc>
        <w:tc>
          <w:tcPr>
            <w:tcW w:w="40" w:type="dxa"/>
            <w:vAlign w:val="bottom"/>
          </w:tcPr>
          <w:p>
            <w:pPr>
              <w:spacing w:after="0"/>
              <w:rPr>
                <w:sz w:val="18"/>
                <w:szCs w:val="18"/>
                <w:color w:val="auto"/>
              </w:rPr>
            </w:pPr>
          </w:p>
        </w:tc>
      </w:tr>
      <w:tr>
        <w:trPr>
          <w:trHeight w:val="21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4,954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908</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4,697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857</w:t>
            </w:r>
          </w:p>
        </w:tc>
        <w:tc>
          <w:tcPr>
            <w:tcW w:w="4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r>
      <w:tr>
        <w:trPr>
          <w:trHeight w:val="206"/>
        </w:trPr>
        <w:tc>
          <w:tcPr>
            <w:tcW w:w="418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r>
      <w:tr>
        <w:trPr>
          <w:trHeight w:val="213"/>
        </w:trPr>
        <w:tc>
          <w:tcPr>
            <w:tcW w:w="41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Corporate &amp; other </w:t>
            </w:r>
            <w:r>
              <w:rPr>
                <w:rFonts w:ascii="Times New Roman" w:cs="Times New Roman" w:eastAsia="Times New Roman" w:hAnsi="Times New Roman"/>
                <w:sz w:val="24"/>
                <w:szCs w:val="24"/>
                <w:color w:val="auto"/>
                <w:vertAlign w:val="superscript"/>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18"/>
                <w:szCs w:val="18"/>
                <w:color w:val="auto"/>
              </w:rPr>
            </w:pPr>
          </w:p>
        </w:tc>
      </w:tr>
      <w:tr>
        <w:trPr>
          <w:trHeight w:val="213"/>
        </w:trPr>
        <w:tc>
          <w:tcPr>
            <w:tcW w:w="41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income </w:t>
            </w:r>
            <w:r>
              <w:rPr>
                <w:rFonts w:ascii="Times New Roman" w:cs="Times New Roman" w:eastAsia="Times New Roman" w:hAnsi="Times New Roman"/>
                <w:sz w:val="24"/>
                <w:szCs w:val="24"/>
                <w:color w:val="auto"/>
                <w:vertAlign w:val="superscript"/>
              </w:rPr>
              <w:t>(2)</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r>
      <w:tr>
        <w:trPr>
          <w:trHeight w:val="213"/>
        </w:trPr>
        <w:tc>
          <w:tcPr>
            <w:tcW w:w="41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Charges &amp; credits </w:t>
            </w:r>
            <w:r>
              <w:rPr>
                <w:rFonts w:ascii="Times New Roman" w:cs="Times New Roman" w:eastAsia="Times New Roman" w:hAnsi="Times New Roman"/>
                <w:sz w:val="24"/>
                <w:szCs w:val="24"/>
                <w:color w:val="auto"/>
                <w:vertAlign w:val="superscript"/>
              </w:rPr>
              <w:t>(4)</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(1,773)</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4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12,641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91"/>
        </w:trPr>
        <w:tc>
          <w:tcPr>
            <w:tcW w:w="4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11"/>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Geographic Areas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88"/>
        </w:trPr>
        <w:tc>
          <w:tcPr>
            <w:tcW w:w="4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1"/>
        </w:trPr>
        <w:tc>
          <w:tcPr>
            <w:tcW w:w="4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11"/>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Fourth Quarter 2014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10"/>
          </w:tcPr>
          <w:p>
            <w:pPr>
              <w:ind w:left="600"/>
              <w:spacing w:after="0"/>
              <w:rPr>
                <w:sz w:val="20"/>
                <w:szCs w:val="20"/>
                <w:color w:val="auto"/>
              </w:rPr>
            </w:pPr>
            <w:r>
              <w:rPr>
                <w:rFonts w:ascii="Times New Roman" w:cs="Times New Roman" w:eastAsia="Times New Roman" w:hAnsi="Times New Roman"/>
                <w:sz w:val="18"/>
                <w:szCs w:val="18"/>
                <w:color w:val="auto"/>
              </w:rPr>
              <w:t>Third Quarter 2014</w:t>
            </w:r>
          </w:p>
        </w:tc>
      </w:tr>
      <w:tr>
        <w:trPr>
          <w:trHeight w:val="188"/>
        </w:trPr>
        <w:tc>
          <w:tcPr>
            <w:tcW w:w="4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171"/>
              <w:spacing w:after="0" w:line="188" w:lineRule="exact"/>
              <w:rPr>
                <w:sz w:val="20"/>
                <w:szCs w:val="20"/>
                <w:color w:val="auto"/>
              </w:rPr>
            </w:pPr>
            <w:r>
              <w:rPr>
                <w:rFonts w:ascii="Times New Roman" w:cs="Times New Roman" w:eastAsia="Times New Roman" w:hAnsi="Times New Roman"/>
                <w:sz w:val="18"/>
                <w:szCs w:val="18"/>
                <w:color w:val="auto"/>
                <w:w w:val="96"/>
              </w:rPr>
              <w:t>Income</w:t>
            </w:r>
          </w:p>
        </w:tc>
        <w:tc>
          <w:tcPr>
            <w:tcW w:w="2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73"/>
              <w:spacing w:after="0" w:line="188" w:lineRule="exact"/>
              <w:rPr>
                <w:sz w:val="20"/>
                <w:szCs w:val="20"/>
                <w:color w:val="auto"/>
              </w:rPr>
            </w:pPr>
            <w:r>
              <w:rPr>
                <w:rFonts w:ascii="Times New Roman" w:cs="Times New Roman" w:eastAsia="Times New Roman" w:hAnsi="Times New Roman"/>
                <w:sz w:val="18"/>
                <w:szCs w:val="18"/>
                <w:color w:val="auto"/>
                <w:w w:val="96"/>
              </w:rPr>
              <w:t>Income</w:t>
            </w:r>
          </w:p>
        </w:tc>
        <w:tc>
          <w:tcPr>
            <w:tcW w:w="200" w:type="dxa"/>
            <w:vAlign w:val="bottom"/>
            <w:gridSpan w:val="3"/>
          </w:tcPr>
          <w:p>
            <w:pPr>
              <w:spacing w:after="0"/>
              <w:rPr>
                <w:sz w:val="16"/>
                <w:szCs w:val="16"/>
                <w:color w:val="auto"/>
              </w:rPr>
            </w:pPr>
          </w:p>
        </w:tc>
      </w:tr>
      <w:tr>
        <w:trPr>
          <w:trHeight w:val="213"/>
        </w:trPr>
        <w:tc>
          <w:tcPr>
            <w:tcW w:w="4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5"/>
              </w:rPr>
              <w:t>before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1"/>
        </w:trPr>
        <w:tc>
          <w:tcPr>
            <w:tcW w:w="418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FF0FC"/>
            </w:tcBorders>
            <w:gridSpan w:val="2"/>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97"/>
              </w:rPr>
              <w:t>taxes</w:t>
            </w:r>
          </w:p>
        </w:tc>
        <w:tc>
          <w:tcPr>
            <w:tcW w:w="220" w:type="dxa"/>
            <w:vAlign w:val="bottom"/>
            <w:tcBorders>
              <w:bottom w:val="single" w:sz="8" w:color="CFF0FC"/>
            </w:tcBorders>
            <w:gridSpan w:val="2"/>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FF0FC"/>
            </w:tcBorders>
            <w:gridSpan w:val="2"/>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taxes</w:t>
            </w:r>
          </w:p>
        </w:tc>
        <w:tc>
          <w:tcPr>
            <w:tcW w:w="160" w:type="dxa"/>
            <w:vAlign w:val="bottom"/>
            <w:tcBorders>
              <w:bottom w:val="single" w:sz="8" w:color="CFF0FC"/>
            </w:tcBorders>
            <w:gridSpan w:val="2"/>
          </w:tcPr>
          <w:p>
            <w:pPr>
              <w:spacing w:after="0"/>
              <w:rPr>
                <w:sz w:val="20"/>
                <w:szCs w:val="20"/>
                <w:color w:val="auto"/>
              </w:rPr>
            </w:pPr>
          </w:p>
        </w:tc>
        <w:tc>
          <w:tcPr>
            <w:tcW w:w="40" w:type="dxa"/>
            <w:vAlign w:val="bottom"/>
          </w:tcPr>
          <w:p>
            <w:pPr>
              <w:spacing w:after="0"/>
              <w:rPr>
                <w:sz w:val="20"/>
                <w:szCs w:val="20"/>
                <w:color w:val="auto"/>
              </w:rPr>
            </w:pPr>
          </w:p>
        </w:tc>
      </w:tr>
      <w:tr>
        <w:trPr>
          <w:trHeight w:val="23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4,324</w:t>
            </w:r>
          </w:p>
        </w:tc>
        <w:tc>
          <w:tcPr>
            <w:tcW w:w="22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849</w:t>
            </w:r>
          </w:p>
        </w:tc>
        <w:tc>
          <w:tcPr>
            <w:tcW w:w="20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4,255</w:t>
            </w:r>
          </w:p>
        </w:tc>
        <w:tc>
          <w:tcPr>
            <w:tcW w:w="200" w:type="dxa"/>
            <w:vAlign w:val="bottom"/>
            <w:shd w:val="clear" w:color="auto" w:fill="CFF0FC"/>
          </w:tcPr>
          <w:p>
            <w:pPr>
              <w:spacing w:after="0"/>
              <w:rPr>
                <w:sz w:val="20"/>
                <w:szCs w:val="20"/>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3,063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r>
      <w:tr>
        <w:trPr>
          <w:trHeight w:val="206"/>
        </w:trPr>
        <w:tc>
          <w:tcPr>
            <w:tcW w:w="4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41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Corporate &amp; other </w:t>
            </w:r>
            <w:r>
              <w:rPr>
                <w:rFonts w:ascii="Times New Roman" w:cs="Times New Roman" w:eastAsia="Times New Roman" w:hAnsi="Times New Roman"/>
                <w:sz w:val="24"/>
                <w:szCs w:val="24"/>
                <w:color w:val="auto"/>
                <w:vertAlign w:val="superscript"/>
              </w:rPr>
              <w:t>(1)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(221)</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18"/>
                <w:szCs w:val="18"/>
                <w:color w:val="auto"/>
              </w:rPr>
            </w:pPr>
          </w:p>
        </w:tc>
      </w:tr>
      <w:tr>
        <w:trPr>
          <w:trHeight w:val="213"/>
        </w:trPr>
        <w:tc>
          <w:tcPr>
            <w:tcW w:w="41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income </w:t>
            </w:r>
            <w:r>
              <w:rPr>
                <w:rFonts w:ascii="Times New Roman" w:cs="Times New Roman" w:eastAsia="Times New Roman" w:hAnsi="Times New Roman"/>
                <w:sz w:val="24"/>
                <w:szCs w:val="24"/>
                <w:color w:val="auto"/>
                <w:vertAlign w:val="superscript"/>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1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(3)</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r>
      <w:tr>
        <w:trPr>
          <w:trHeight w:val="213"/>
        </w:trPr>
        <w:tc>
          <w:tcPr>
            <w:tcW w:w="41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Charges &amp; credits </w:t>
            </w:r>
            <w:r>
              <w:rPr>
                <w:rFonts w:ascii="Times New Roman" w:cs="Times New Roman" w:eastAsia="Times New Roman" w:hAnsi="Times New Roman"/>
                <w:sz w:val="24"/>
                <w:szCs w:val="24"/>
                <w:color w:val="auto"/>
                <w:vertAlign w:val="superscript"/>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6"/>
        </w:trPr>
        <w:tc>
          <w:tcPr>
            <w:tcW w:w="41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12,641</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400" w:hanging="394"/>
        <w:spacing w:after="0" w:line="202" w:lineRule="auto"/>
        <w:tabs>
          <w:tab w:leader="none" w:pos="40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21" w:lineRule="exact"/>
        <w:rPr>
          <w:rFonts w:ascii="Times New Roman" w:cs="Times New Roman" w:eastAsia="Times New Roman" w:hAnsi="Times New Roman"/>
          <w:sz w:val="26"/>
          <w:szCs w:val="26"/>
          <w:color w:val="auto"/>
          <w:vertAlign w:val="superscript"/>
        </w:rPr>
      </w:pPr>
    </w:p>
    <w:p>
      <w:pPr>
        <w:ind w:left="400" w:hanging="394"/>
        <w:spacing w:after="0"/>
        <w:tabs>
          <w:tab w:leader="none" w:pos="40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Excludes interest income included in the segments’ income (fourth quarter 2014: $5 million; third quarter 2014: $5 million).</w:t>
      </w:r>
    </w:p>
    <w:p>
      <w:pPr>
        <w:spacing w:after="0" w:line="107" w:lineRule="exact"/>
        <w:rPr>
          <w:rFonts w:ascii="Times New Roman" w:cs="Times New Roman" w:eastAsia="Times New Roman" w:hAnsi="Times New Roman"/>
          <w:sz w:val="26"/>
          <w:szCs w:val="26"/>
          <w:color w:val="auto"/>
          <w:vertAlign w:val="superscript"/>
        </w:rPr>
      </w:pPr>
    </w:p>
    <w:p>
      <w:pPr>
        <w:ind w:left="400" w:hanging="394"/>
        <w:spacing w:after="0" w:line="192" w:lineRule="auto"/>
        <w:tabs>
          <w:tab w:leader="none" w:pos="4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Excludes interest expense included in the segments’ income (fourth quarter 2014: $7 million; third quarter 2014: $6 million).</w:t>
      </w:r>
    </w:p>
    <w:p>
      <w:pPr>
        <w:spacing w:after="0" w:line="107" w:lineRule="exact"/>
        <w:rPr>
          <w:rFonts w:ascii="Times New Roman" w:cs="Times New Roman" w:eastAsia="Times New Roman" w:hAnsi="Times New Roman"/>
          <w:sz w:val="23"/>
          <w:szCs w:val="23"/>
          <w:color w:val="auto"/>
          <w:vertAlign w:val="superscript"/>
        </w:rPr>
      </w:pPr>
    </w:p>
    <w:p>
      <w:pPr>
        <w:ind w:left="400" w:hanging="394"/>
        <w:spacing w:after="0" w:line="192" w:lineRule="auto"/>
        <w:tabs>
          <w:tab w:leader="none" w:pos="4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Charges and credits are described in detail in Note 3 to the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Fourth-quarter revenue of $12.6 billion was flat sequentially. North America revenue of $4.3 billion increased $69 million, or 2%, sequentially. International revenue of $8.2 billion decreased $98 million, or 1%, sequentially.</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Sequentially, Reservoir Characterization Group revenue decreased 3%, to $3.1 billion, and Drilling Group revenue decreased 3%, to $4.7 billion. Production Group revenue increased 5% sequentially to $5.0 billion. The decrease in Reservoir Characterization Group revenue was primarily due to the seasonal drop in marine seismic activity in the North Sea and Eastern Canada. Wireline revenue also decreased on lower exploration activity in Angola and seasonal activity and currency declines in Russia. These sequential decreases were partially offset by year-end multiclient license and software sales. Drilling Group revenue decreased primarily on unfavorable currency effects and activity declines in Russia for Drilling &amp; Measurements and M-I SWACO Technologies. In Mexico, lower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2" w:right="2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Integrated Project Management (IPM) activity, due to budgetary constraints, also contributed to the decrease. The increase in Production Group revenue reflected stronger activity in Western Canada, higher uptake of technology, continued efficiency improvements, and improved pressure pumping logistics in North America land. Year-end sales of Completions and Artificial Lift products also contributed to the sequential increase.</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Sequentially by Area, Middle East &amp; Asia led the increase with revenue of $3.1 billion growing 4%, driven by record revenue in Saudi Arabia and Bahrain, increased activity in Kuwait and the United Arab Emirates, and year-end product and software sales across the Area. In Latin America, revenue of $2.1 billion grew by 1% on increased activity in Venezuela and Colombia, offset by decreased work scope in Mexico due to budgetary constraints. In Europe/CIS/Africa, revenue of $3.1 billion fell 7% due mainly to weakness in the ruble and the seasonal activity decline in Russia. Following the peak summer drilling and exploration campaigns of the previous quarter, customer spending decelerated as oil prices weakened. As a result, rig count reductions led to activity declines in Angola, Norway and the United Kingdom GeoMarkets. North America revenue of $4.3 billion increased 2% sequentially with land revenue up 5%. Land revenue increased both in the US and Western Canada on higher pressure pumping activity, continued efficiency improvement, and higher uptake of new technology. Fourth-quarter activity in the US Gulf of Mexico increased by 12% driven by year-end multiclient license sales and the resumption of operations after loop current disruptions in the third quarter. Eastern Canada revenue declined sequentially following completion of the season’s exploration program and marine seismic activity.</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Sequentially, fourth-quarter pretax operating income of $2.8 billion was down 1%. International pretax operating income of $2.0 billion was down 2%, while North America pretax operating income of $849 million was up 3%.</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Sequentially, pretax operating margin of 22.0% decreased 19 basis points (bps), as International Area pretax operating margin of 24.2% decreased 33 bps. Middle East &amp; Asia margin increased 71 bps to 28.3% while Latin America decreased 102 bps to 20.9% and Europe/CIS/Africa declined 112 bps to 22.3%. The decline in International Area margin was primarily driven by an unfavorable revenue mix in the fourth quarter following the high-margin peak summer drilling and exploration campaigns of the third quarter. Unfavorable currency effects and activity declines in Russia also contributed to margin contraction. North America pretax operating margin increased 24 bps sequentially, to 19.6%, on increased Western Canada activity, continued efficiency gains, and increased penetration of new technology. North America offshore margin improved on a better revenue mix from high-margin multiclient license sales. Sequentially by segment, Reservoir Characterization Group pretax operating margin of 30.9% was 95 bps higher on a favorable revenue mix from high-margin multiclient license and software sales while Drilling Group pretax operating margin declined 94 bps to 20.7% mainly due to currency and activity declines in Russia. Reservoir Production Group pretax operating margin of 18.3% was flat sequentially as pricing pressure, particularly in the US land market, was offset by improved activity in Western Canada and by improved efficiency, better fleet utilization, and recovery of logistical costs in the North America land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Fourth-quarter revenue of $3.1 billion declined 3% sequentially. Pretax operating income of $956 million was flat sequentially. The decrease in revenue was primarily driven by the seasonal drop in marine seismic activity in the North Sea and Eastern Canada. Wireline revenue also decreased on lower exploration activity in Angola and seasonal activity and currency declines in Russia. These sequential decreases were partially offset by year-end multiclient license and software sales.</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Sequentially, pretax operating margin of 30.9% increased 95 bps. This increase reflected a favorable revenue mix from high-margin multiclient license and software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Fourth-quarter revenue of $4.7 billion declined 3% sequentially. Pretax operating income of $966 million was 8% lower sequentially.</w:t>
      </w:r>
    </w:p>
    <w:p>
      <w:pPr>
        <w:spacing w:after="0" w:line="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These decreases were primarily due to the unfavorable currency effects and activity declines in Russia for Drilling &amp; Measurements and M-I SWACO Technologies. In Mexico, lower IPM activity due to budgetary constraints also contributed to the decrease.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Sequentially, pretax operating margin declined 94 bps, to 20.7%, mainly due to currency and activity declines in Russia.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Fourth-quarter revenue of $5.0 billion increased 5% sequentially. Pretax operating income of $908 million was 6% higher sequentially. Sequentially, revenue increased due to improved activity in Western Canada, higher uptake of new technology, continued efficiency improvements, and improved logistics in pressure pumping in North America land. Year-end sales of Completions and Artificial Lift products also contributed to the sequential increase.</w:t>
      </w:r>
    </w:p>
    <w:p>
      <w:pPr>
        <w:spacing w:after="0" w:line="2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Sequentially, pretax operating margin of 18.3% was flat as pricing pressure, particularly in the US land market, was offset by an improved volume of activity in Western Canada and by improved efficiency, better fleet utilization, and recovery of logistical costs in the North America land markets.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Full-Year 2014 Results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Product Groups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(Stated in million</w:t>
            </w:r>
            <w:r>
              <w:rPr>
                <w:rFonts w:ascii="Times New Roman" w:cs="Times New Roman" w:eastAsia="Times New Roman" w:hAnsi="Times New Roman"/>
                <w:sz w:val="17"/>
                <w:szCs w:val="17"/>
                <w:i w:val="1"/>
                <w:iCs w:val="1"/>
                <w:color w:val="auto"/>
              </w:rPr>
              <w:t>s)</w:t>
            </w:r>
          </w:p>
        </w:tc>
      </w:tr>
      <w:tr>
        <w:trPr>
          <w:trHeight w:val="332"/>
        </w:trPr>
        <w:tc>
          <w:tcPr>
            <w:tcW w:w="4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88"/>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center"/>
              <w:ind w:right="171"/>
              <w:spacing w:after="0" w:line="188" w:lineRule="exact"/>
              <w:rPr>
                <w:sz w:val="20"/>
                <w:szCs w:val="20"/>
                <w:color w:val="auto"/>
              </w:rPr>
            </w:pPr>
            <w:r>
              <w:rPr>
                <w:rFonts w:ascii="Times New Roman" w:cs="Times New Roman" w:eastAsia="Times New Roman" w:hAnsi="Times New Roman"/>
                <w:sz w:val="18"/>
                <w:szCs w:val="18"/>
                <w:color w:val="auto"/>
                <w:w w:val="96"/>
              </w:rPr>
              <w:t>Income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3"/>
              <w:spacing w:after="0" w:line="188" w:lineRule="exact"/>
              <w:rPr>
                <w:sz w:val="20"/>
                <w:szCs w:val="20"/>
                <w:color w:val="auto"/>
              </w:rPr>
            </w:pPr>
            <w:r>
              <w:rPr>
                <w:rFonts w:ascii="Times New Roman" w:cs="Times New Roman" w:eastAsia="Times New Roman" w:hAnsi="Times New Roman"/>
                <w:sz w:val="18"/>
                <w:szCs w:val="18"/>
                <w:color w:val="auto"/>
                <w:w w:val="96"/>
              </w:rPr>
              <w:t>Income</w:t>
            </w:r>
          </w:p>
        </w:tc>
        <w:tc>
          <w:tcPr>
            <w:tcW w:w="180" w:type="dxa"/>
            <w:vAlign w:val="bottom"/>
          </w:tcPr>
          <w:p>
            <w:pPr>
              <w:spacing w:after="0"/>
              <w:rPr>
                <w:sz w:val="16"/>
                <w:szCs w:val="16"/>
                <w:color w:val="auto"/>
              </w:rPr>
            </w:pPr>
          </w:p>
        </w:tc>
      </w:tr>
      <w:tr>
        <w:trPr>
          <w:trHeight w:val="213"/>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5"/>
              </w:rPr>
              <w:t>before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1"/>
        </w:trPr>
        <w:tc>
          <w:tcPr>
            <w:tcW w:w="4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97"/>
              </w:rPr>
              <w:t>taxes</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color w:val="auto"/>
                <w:w w:val="97"/>
              </w:rPr>
              <w:t>taxes</w:t>
            </w:r>
          </w:p>
        </w:tc>
        <w:tc>
          <w:tcPr>
            <w:tcW w:w="180" w:type="dxa"/>
            <w:vAlign w:val="bottom"/>
            <w:tcBorders>
              <w:bottom w:val="single" w:sz="8" w:color="CFF0FC"/>
            </w:tcBorders>
          </w:tcPr>
          <w:p>
            <w:pPr>
              <w:spacing w:after="0"/>
              <w:rPr>
                <w:sz w:val="20"/>
                <w:szCs w:val="20"/>
                <w:color w:val="auto"/>
              </w:rPr>
            </w:pPr>
          </w:p>
        </w:tc>
      </w:tr>
      <w:tr>
        <w:trPr>
          <w:trHeight w:val="23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12,224</w:t>
            </w:r>
          </w:p>
        </w:tc>
        <w:tc>
          <w:tcPr>
            <w:tcW w:w="2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3,607</w:t>
            </w:r>
          </w:p>
        </w:tc>
        <w:tc>
          <w:tcPr>
            <w:tcW w:w="38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12,463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3,660</w:t>
            </w: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24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18,462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3,872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17,099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3,293</w:t>
            </w:r>
          </w:p>
        </w:tc>
      </w:tr>
      <w:tr>
        <w:trPr>
          <w:trHeight w:val="21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24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18,111</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3,227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15,927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2,619</w:t>
            </w: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40" w:type="dxa"/>
            <w:vAlign w:val="bottom"/>
          </w:tcPr>
          <w:p>
            <w:pPr>
              <w:spacing w:after="0"/>
              <w:rPr>
                <w:sz w:val="18"/>
                <w:szCs w:val="18"/>
                <w:color w:val="auto"/>
              </w:rPr>
            </w:pP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r>
      <w:tr>
        <w:trPr>
          <w:trHeight w:val="206"/>
        </w:trPr>
        <w:tc>
          <w:tcPr>
            <w:tcW w:w="422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24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10,576</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80" w:type="dxa"/>
            <w:vAlign w:val="bottom"/>
            <w:tcBorders>
              <w:top w:val="single" w:sz="8" w:color="CFF0FC"/>
            </w:tcBorders>
            <w:shd w:val="clear" w:color="auto" w:fill="CFF0FC"/>
          </w:tcPr>
          <w:p>
            <w:pPr>
              <w:spacing w:after="0"/>
              <w:rPr>
                <w:sz w:val="17"/>
                <w:szCs w:val="17"/>
                <w:color w:val="auto"/>
              </w:rPr>
            </w:pPr>
          </w:p>
        </w:tc>
      </w:tr>
      <w:tr>
        <w:trPr>
          <w:trHeight w:val="213"/>
        </w:trPr>
        <w:tc>
          <w:tcPr>
            <w:tcW w:w="422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Corporate &amp; other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(726)</w:t>
            </w:r>
          </w:p>
        </w:tc>
      </w:tr>
      <w:tr>
        <w:trPr>
          <w:trHeight w:val="213"/>
        </w:trPr>
        <w:tc>
          <w:tcPr>
            <w:tcW w:w="422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income </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8"/>
                <w:szCs w:val="18"/>
                <w:color w:val="auto"/>
              </w:rPr>
            </w:pPr>
          </w:p>
        </w:tc>
      </w:tr>
      <w:tr>
        <w:trPr>
          <w:trHeight w:val="213"/>
        </w:trPr>
        <w:tc>
          <w:tcPr>
            <w:tcW w:w="422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r>
      <w:tr>
        <w:trPr>
          <w:trHeight w:val="213"/>
        </w:trPr>
        <w:tc>
          <w:tcPr>
            <w:tcW w:w="422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Charges &amp; credits </w:t>
            </w:r>
            <w:r>
              <w:rPr>
                <w:rFonts w:ascii="Times New Roman" w:cs="Times New Roman" w:eastAsia="Times New Roman" w:hAnsi="Times New Roman"/>
                <w:sz w:val="24"/>
                <w:szCs w:val="24"/>
                <w:color w:val="auto"/>
                <w:vertAlign w:val="superscript"/>
              </w:rPr>
              <w:t>(4)</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(1,773)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420</w:t>
            </w:r>
          </w:p>
        </w:tc>
      </w:tr>
      <w:tr>
        <w:trPr>
          <w:trHeight w:val="206"/>
        </w:trPr>
        <w:tc>
          <w:tcPr>
            <w:tcW w:w="4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48,580</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8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91"/>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8"/>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Geographic Areas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88"/>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17"/>
        </w:trPr>
        <w:tc>
          <w:tcPr>
            <w:tcW w:w="4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88"/>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center"/>
              <w:ind w:right="171"/>
              <w:spacing w:after="0" w:line="188" w:lineRule="exact"/>
              <w:rPr>
                <w:sz w:val="20"/>
                <w:szCs w:val="20"/>
                <w:color w:val="auto"/>
              </w:rPr>
            </w:pPr>
            <w:r>
              <w:rPr>
                <w:rFonts w:ascii="Times New Roman" w:cs="Times New Roman" w:eastAsia="Times New Roman" w:hAnsi="Times New Roman"/>
                <w:sz w:val="18"/>
                <w:szCs w:val="18"/>
                <w:color w:val="auto"/>
                <w:w w:val="96"/>
              </w:rPr>
              <w:t>Income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3"/>
              <w:spacing w:after="0" w:line="188" w:lineRule="exact"/>
              <w:rPr>
                <w:sz w:val="20"/>
                <w:szCs w:val="20"/>
                <w:color w:val="auto"/>
              </w:rPr>
            </w:pPr>
            <w:r>
              <w:rPr>
                <w:rFonts w:ascii="Times New Roman" w:cs="Times New Roman" w:eastAsia="Times New Roman" w:hAnsi="Times New Roman"/>
                <w:sz w:val="18"/>
                <w:szCs w:val="18"/>
                <w:color w:val="auto"/>
                <w:w w:val="96"/>
              </w:rPr>
              <w:t>Income</w:t>
            </w:r>
          </w:p>
        </w:tc>
        <w:tc>
          <w:tcPr>
            <w:tcW w:w="180" w:type="dxa"/>
            <w:vAlign w:val="bottom"/>
          </w:tcPr>
          <w:p>
            <w:pPr>
              <w:spacing w:after="0"/>
              <w:rPr>
                <w:sz w:val="16"/>
                <w:szCs w:val="16"/>
                <w:color w:val="auto"/>
              </w:rPr>
            </w:pPr>
          </w:p>
        </w:tc>
      </w:tr>
      <w:tr>
        <w:trPr>
          <w:trHeight w:val="213"/>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5"/>
              </w:rPr>
              <w:t>before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1"/>
        </w:trPr>
        <w:tc>
          <w:tcPr>
            <w:tcW w:w="4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97"/>
              </w:rPr>
              <w:t>taxes</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color w:val="auto"/>
                <w:w w:val="97"/>
              </w:rPr>
              <w:t>taxes</w:t>
            </w:r>
          </w:p>
        </w:tc>
        <w:tc>
          <w:tcPr>
            <w:tcW w:w="180" w:type="dxa"/>
            <w:vAlign w:val="bottom"/>
            <w:tcBorders>
              <w:bottom w:val="single" w:sz="8" w:color="CFF0FC"/>
            </w:tcBorders>
          </w:tcPr>
          <w:p>
            <w:pPr>
              <w:spacing w:after="0"/>
              <w:rPr>
                <w:sz w:val="20"/>
                <w:szCs w:val="20"/>
                <w:color w:val="auto"/>
              </w:rPr>
            </w:pPr>
          </w:p>
        </w:tc>
      </w:tr>
      <w:tr>
        <w:trPr>
          <w:trHeight w:val="23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16,151</w:t>
            </w:r>
          </w:p>
        </w:tc>
        <w:tc>
          <w:tcPr>
            <w:tcW w:w="2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3,057</w:t>
            </w:r>
          </w:p>
        </w:tc>
        <w:tc>
          <w:tcPr>
            <w:tcW w:w="38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13,897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2,735</w:t>
            </w: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7,699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1,589</w:t>
            </w:r>
          </w:p>
        </w:tc>
      </w:tr>
      <w:tr>
        <w:trPr>
          <w:trHeight w:val="23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24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12,515</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2,765</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12,411</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2,593</w:t>
            </w: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24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11,875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10,767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2,697</w:t>
            </w:r>
          </w:p>
        </w:tc>
      </w:tr>
      <w:tr>
        <w:trPr>
          <w:trHeight w:val="21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4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340</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r>
      <w:tr>
        <w:trPr>
          <w:trHeight w:val="206"/>
        </w:trPr>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10,576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80" w:type="dxa"/>
            <w:vAlign w:val="bottom"/>
          </w:tcPr>
          <w:p>
            <w:pPr>
              <w:spacing w:after="0"/>
              <w:rPr>
                <w:sz w:val="17"/>
                <w:szCs w:val="17"/>
                <w:color w:val="auto"/>
              </w:rPr>
            </w:pPr>
          </w:p>
        </w:tc>
      </w:tr>
      <w:tr>
        <w:trPr>
          <w:trHeight w:val="213"/>
        </w:trPr>
        <w:tc>
          <w:tcPr>
            <w:tcW w:w="422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Corporate &amp; other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(726)</w:t>
            </w:r>
          </w:p>
        </w:tc>
      </w:tr>
      <w:tr>
        <w:trPr>
          <w:trHeight w:val="213"/>
        </w:trPr>
        <w:tc>
          <w:tcPr>
            <w:tcW w:w="422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income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r>
      <w:tr>
        <w:trPr>
          <w:trHeight w:val="213"/>
        </w:trPr>
        <w:tc>
          <w:tcPr>
            <w:tcW w:w="422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(3)</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r>
      <w:tr>
        <w:trPr>
          <w:trHeight w:val="213"/>
        </w:trPr>
        <w:tc>
          <w:tcPr>
            <w:tcW w:w="422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Charges &amp; credits </w:t>
            </w:r>
            <w:r>
              <w:rPr>
                <w:rFonts w:ascii="Times New Roman" w:cs="Times New Roman" w:eastAsia="Times New Roman" w:hAnsi="Times New Roman"/>
                <w:sz w:val="24"/>
                <w:szCs w:val="24"/>
                <w:color w:val="auto"/>
                <w:vertAlign w:val="superscript"/>
              </w:rPr>
              <w:t>(4)</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w:t>
            </w:r>
          </w:p>
        </w:tc>
      </w:tr>
      <w:tr>
        <w:trPr>
          <w:trHeight w:val="206"/>
        </w:trPr>
        <w:tc>
          <w:tcPr>
            <w:tcW w:w="42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48,580</w:t>
            </w: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7,639</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8" w:lineRule="exact"/>
        <w:rPr>
          <w:sz w:val="20"/>
          <w:szCs w:val="20"/>
          <w:color w:val="auto"/>
        </w:rPr>
      </w:pPr>
    </w:p>
    <w:p>
      <w:pPr>
        <w:ind w:left="400" w:hanging="394"/>
        <w:spacing w:after="0" w:line="211" w:lineRule="auto"/>
        <w:tabs>
          <w:tab w:leader="none" w:pos="40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20" w:lineRule="exact"/>
        <w:rPr>
          <w:rFonts w:ascii="Times New Roman" w:cs="Times New Roman" w:eastAsia="Times New Roman" w:hAnsi="Times New Roman"/>
          <w:sz w:val="26"/>
          <w:szCs w:val="26"/>
          <w:color w:val="auto"/>
          <w:vertAlign w:val="superscript"/>
        </w:rPr>
      </w:pPr>
    </w:p>
    <w:p>
      <w:pPr>
        <w:ind w:left="400" w:hanging="394"/>
        <w:spacing w:after="0"/>
        <w:tabs>
          <w:tab w:leader="none" w:pos="40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Excludes interest income included in the segments’ income (2014: $20 million; 2013: $11 million).</w:t>
      </w:r>
    </w:p>
    <w:p>
      <w:pPr>
        <w:spacing w:after="0" w:line="107" w:lineRule="exact"/>
        <w:rPr>
          <w:rFonts w:ascii="Times New Roman" w:cs="Times New Roman" w:eastAsia="Times New Roman" w:hAnsi="Times New Roman"/>
          <w:sz w:val="26"/>
          <w:szCs w:val="26"/>
          <w:color w:val="auto"/>
          <w:vertAlign w:val="superscript"/>
        </w:rPr>
      </w:pPr>
    </w:p>
    <w:p>
      <w:pPr>
        <w:ind w:left="400" w:hanging="394"/>
        <w:spacing w:after="0" w:line="192" w:lineRule="auto"/>
        <w:tabs>
          <w:tab w:leader="none" w:pos="40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Excludes interest expense included in the segments’ income (2014: $22 million; 2013: $22 million).</w:t>
      </w:r>
    </w:p>
    <w:p>
      <w:pPr>
        <w:spacing w:after="0" w:line="107" w:lineRule="exact"/>
        <w:rPr>
          <w:rFonts w:ascii="Times New Roman" w:cs="Times New Roman" w:eastAsia="Times New Roman" w:hAnsi="Times New Roman"/>
          <w:sz w:val="23"/>
          <w:szCs w:val="23"/>
          <w:color w:val="auto"/>
          <w:vertAlign w:val="superscript"/>
        </w:rPr>
      </w:pPr>
    </w:p>
    <w:p>
      <w:pPr>
        <w:ind w:left="400" w:hanging="394"/>
        <w:spacing w:after="0" w:line="192" w:lineRule="auto"/>
        <w:tabs>
          <w:tab w:leader="none" w:pos="40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Charges and credits are described in detail in Note 3 to the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Full-year 2014 revenue of $48.6 billion grew $3.3 billion, or 7%, versus the same period last year with International revenue of $32.1 billion increasing $1.2 billion, or 4%, and North America revenue of $16.2 billion growing $2.3 billion, or 16%.</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Internationally, higher activities in a number of GeoMarkets, both offshore and in key land markets, contributed to the increase. The increase was led by the Middle East &amp; Asia which increased 10%, mainly from robust drilling and exploration results in Saudi Arabia, Australia, the United Arab Emirates and Oman. Europe/CIS/Africa increased 1%, led by the Sub-Saharan Africa region on strong development and exploration activities, particularly in Central West Africa, Angola and Continental Europe GeoMarkets. Norway also experienced strong growth driven by market share gains and higher rig-related services for a number of customers. Latin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2" w:right="239" w:bottom="1440" w:gutter="0" w:footer="0" w:header="0"/>
        </w:sectPr>
      </w:pPr>
    </w:p>
    <w:bookmarkStart w:id="17" w:name="page18"/>
    <w:bookmarkEnd w:id="17"/>
    <w:p>
      <w:pPr>
        <w:jc w:val="both"/>
        <w:spacing w:after="0" w:line="275" w:lineRule="auto"/>
        <w:rPr>
          <w:sz w:val="20"/>
          <w:szCs w:val="20"/>
          <w:color w:val="auto"/>
        </w:rPr>
      </w:pPr>
      <w:r>
        <w:rPr>
          <w:rFonts w:ascii="Times New Roman" w:cs="Times New Roman" w:eastAsia="Times New Roman" w:hAnsi="Times New Roman"/>
          <w:sz w:val="18"/>
          <w:szCs w:val="18"/>
          <w:color w:val="auto"/>
        </w:rPr>
        <w:t>America, however, decreased 1% primarily as a result of lower activity and pricing in Brazil and Mexico which was partially offset by strong activity in Argentina and Ecuador.</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North America revenue increased 16% mainly due to land which was up 22%, while offshore was down 3%. The increase in land was driven by market share gains in pressure pumping, artificial lift and drilling services. The pressure pumping growth was augmented by improvements in operational efficiency and the introduction of new technologies. The decrease in offshore revenue was attributable to lower drilling and exploration activities, and due to a series of operational delays that impacted several product lines earlier in the year combined with lower multiclient sales.</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Full-year 2014 pretax operating income of $10.6 billion grew $1.2 billion, or 13%, versus the same period last year with International pretax operating income of $7.7 billion increasing 12% and North America pretax operating income of $3.1 billion increasing 12%.</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Full-year 2014 pretax operating margin of 21.8% increased 113 bps compared to 2013, as International Area pretax operating margin was up 168 bps, to 23.9%, while North America pretax operating margin was down 75 bps, to 18.9%. The increase in International Area margins reflected increased high-margin exploration activities, market share gains, growth in accretive integration-related activities and premium pricing on new technology introductions. The North America margin contraction reflected pressure pumping commodity inflation.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Full-year 2014 revenue of $12.2 billion was down 2% compared to 2013. Revenue increased in Testing Services, from higher offshore exploration, and Schlumberger Information Solutions, driven by software sales across all international areas. However, these increases were offset by lower WesternGeco marine vessel utilization and reduced multiclient seismic sales.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Year-on-year, pretax operating margin increased 14 bps, to 29.5%, largely due to the higher-margin exploration activities that benefited Wireline Technologies and Testing Services. Higher margin software sales also contributed to the improvement. These increases were partially offset by lower profitability in WesternGeco due to lower vessel utilization and lower PetroTechnical Services multiclient seismic sales.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Full-year 2014 revenue of $18.5 billion was 8% higher than the 2013, primarily due to the robust demand for Drilling &amp; Measurements services and M-I SWACO Technologies as activity strengthened in the North America and Middle East &amp; Asia Areas. Rig revenue from the May 2014 acquisition of Saxon also contributed to the growth.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Year-on-year, pretax operating margin increased 171 bps, to 21.0%, primarily due to the increase in higher-margin exploration activities of Drilling &amp; Measurements in North America offshore and in the international markets. Improved profitability on Integrated Project Management activities also contributed to the margin increase.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Full-year 2014 revenue of $18.1 billion increased 14% compared to 2013, primarily from Well Services pressure pumping technologies driven by market share gains, improvements in operational efficiency and the introduction of new technologies. Schlumberger Production Management (SPM) revenue grew as projects in Latin America continued to progress ahead of work plans. Revenue from the expanding artificial lift business also contributed to the year-on-year growth.</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Year-on-year, pretax operating margin increased 138 bps, to 17.8%, mainly on improved profitability for Well Services and Well Intervention, particularly in the International Areas. SPM activities also contributed to the margin expansion. However, these improvements were partially offset by the decrease in margins in North America due to pressure pumping commodity cost inflation.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Full-Year 2013 Results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Product Groups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317"/>
        </w:trPr>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2013</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2012</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151"/>
              <w:spacing w:after="0" w:line="188" w:lineRule="exact"/>
              <w:rPr>
                <w:sz w:val="20"/>
                <w:szCs w:val="20"/>
                <w:color w:val="auto"/>
              </w:rPr>
            </w:pPr>
            <w:r>
              <w:rPr>
                <w:rFonts w:ascii="Times New Roman" w:cs="Times New Roman" w:eastAsia="Times New Roman" w:hAnsi="Times New Roman"/>
                <w:sz w:val="18"/>
                <w:szCs w:val="18"/>
                <w:color w:val="auto"/>
                <w:w w:val="99"/>
              </w:rPr>
              <w:t>Income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3"/>
              <w:spacing w:after="0" w:line="188" w:lineRule="exact"/>
              <w:rPr>
                <w:sz w:val="20"/>
                <w:szCs w:val="20"/>
                <w:color w:val="auto"/>
              </w:rPr>
            </w:pPr>
            <w:r>
              <w:rPr>
                <w:rFonts w:ascii="Times New Roman" w:cs="Times New Roman" w:eastAsia="Times New Roman" w:hAnsi="Times New Roman"/>
                <w:sz w:val="18"/>
                <w:szCs w:val="18"/>
                <w:color w:val="auto"/>
                <w:w w:val="99"/>
              </w:rPr>
              <w:t>Income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before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before</w:t>
            </w:r>
          </w:p>
        </w:tc>
        <w:tc>
          <w:tcPr>
            <w:tcW w:w="0" w:type="dxa"/>
            <w:vAlign w:val="bottom"/>
          </w:tcPr>
          <w:p>
            <w:pPr>
              <w:spacing w:after="0"/>
              <w:rPr>
                <w:sz w:val="1"/>
                <w:szCs w:val="1"/>
                <w:color w:val="auto"/>
              </w:rPr>
            </w:pPr>
          </w:p>
        </w:tc>
      </w:tr>
      <w:tr>
        <w:trPr>
          <w:trHeight w:val="231"/>
        </w:trPr>
        <w:tc>
          <w:tcPr>
            <w:tcW w:w="310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411"/>
              <w:spacing w:after="0"/>
              <w:rPr>
                <w:sz w:val="20"/>
                <w:szCs w:val="20"/>
                <w:color w:val="auto"/>
              </w:rPr>
            </w:pPr>
            <w:r>
              <w:rPr>
                <w:rFonts w:ascii="Times New Roman" w:cs="Times New Roman" w:eastAsia="Times New Roman" w:hAnsi="Times New Roman"/>
                <w:sz w:val="18"/>
                <w:szCs w:val="18"/>
                <w:color w:val="auto"/>
                <w:w w:val="97"/>
              </w:rPr>
              <w:t>taxes</w:t>
            </w:r>
          </w:p>
        </w:tc>
        <w:tc>
          <w:tcPr>
            <w:tcW w:w="220" w:type="dxa"/>
            <w:vAlign w:val="bottom"/>
            <w:tcBorders>
              <w:bottom w:val="single" w:sz="8" w:color="CFF0FC"/>
            </w:tcBorders>
            <w:gridSpan w:val="2"/>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340" w:type="dxa"/>
            <w:vAlign w:val="bottom"/>
            <w:gridSpan w:val="3"/>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12,463</w:t>
            </w:r>
          </w:p>
        </w:tc>
        <w:tc>
          <w:tcPr>
            <w:tcW w:w="6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3,660</w:t>
            </w:r>
          </w:p>
        </w:tc>
        <w:tc>
          <w:tcPr>
            <w:tcW w:w="20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11,360</w:t>
            </w:r>
          </w:p>
        </w:tc>
        <w:tc>
          <w:tcPr>
            <w:tcW w:w="54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17,099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15,691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15,927</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14,802</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4"/>
          </w:tcPr>
          <w:p>
            <w:pPr>
              <w:jc w:val="right"/>
              <w:ind w:right="231"/>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11"/>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6"/>
        </w:trPr>
        <w:tc>
          <w:tcPr>
            <w:tcW w:w="310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1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Corporate &amp; other </w:t>
            </w:r>
            <w:r>
              <w:rPr>
                <w:rFonts w:ascii="Times New Roman" w:cs="Times New Roman" w:eastAsia="Times New Roman" w:hAnsi="Times New Roman"/>
                <w:sz w:val="24"/>
                <w:szCs w:val="24"/>
                <w:color w:val="auto"/>
                <w:vertAlign w:val="superscript"/>
              </w:rPr>
              <w:t>(1)</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3"/>
        </w:trPr>
        <w:tc>
          <w:tcPr>
            <w:tcW w:w="310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income </w:t>
            </w:r>
            <w:r>
              <w:rPr>
                <w:rFonts w:ascii="Times New Roman" w:cs="Times New Roman" w:eastAsia="Times New Roman" w:hAnsi="Times New Roman"/>
                <w:sz w:val="24"/>
                <w:szCs w:val="24"/>
                <w:color w:val="auto"/>
                <w:vertAlign w:val="superscript"/>
              </w:rPr>
              <w:t>(2)</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(3)</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3"/>
        </w:trPr>
        <w:tc>
          <w:tcPr>
            <w:tcW w:w="310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Charges &amp; credits </w:t>
            </w:r>
            <w:r>
              <w:rPr>
                <w:rFonts w:ascii="Times New Roman" w:cs="Times New Roman" w:eastAsia="Times New Roman" w:hAnsi="Times New Roman"/>
                <w:sz w:val="24"/>
                <w:szCs w:val="24"/>
                <w:color w:val="auto"/>
                <w:vertAlign w:val="superscript"/>
              </w:rPr>
              <w:t>(4)</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10"/>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Geographic Areas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(Stated in millions</w:t>
            </w:r>
            <w:r>
              <w:rPr>
                <w:rFonts w:ascii="Times New Roman" w:cs="Times New Roman" w:eastAsia="Times New Roman" w:hAnsi="Times New Roman"/>
                <w:sz w:val="17"/>
                <w:szCs w:val="17"/>
                <w:i w:val="1"/>
                <w:iCs w:val="1"/>
                <w:color w:val="auto"/>
              </w:rPr>
              <w:t>)</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2013</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2012</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color w:val="auto"/>
                <w:w w:val="96"/>
              </w:rPr>
              <w:t>Income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line="188" w:lineRule="exact"/>
              <w:rPr>
                <w:sz w:val="20"/>
                <w:szCs w:val="20"/>
                <w:color w:val="auto"/>
              </w:rPr>
            </w:pPr>
            <w:r>
              <w:rPr>
                <w:rFonts w:ascii="Times New Roman" w:cs="Times New Roman" w:eastAsia="Times New Roman" w:hAnsi="Times New Roman"/>
                <w:sz w:val="18"/>
                <w:szCs w:val="18"/>
                <w:color w:val="auto"/>
                <w:w w:val="96"/>
              </w:rPr>
              <w:t>Income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5"/>
              </w:rPr>
              <w:t>before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before</w:t>
            </w:r>
          </w:p>
        </w:tc>
        <w:tc>
          <w:tcPr>
            <w:tcW w:w="0" w:type="dxa"/>
            <w:vAlign w:val="bottom"/>
          </w:tcPr>
          <w:p>
            <w:pPr>
              <w:spacing w:after="0"/>
              <w:rPr>
                <w:sz w:val="1"/>
                <w:szCs w:val="1"/>
                <w:color w:val="auto"/>
              </w:rPr>
            </w:pPr>
          </w:p>
        </w:tc>
      </w:tr>
      <w:tr>
        <w:trPr>
          <w:trHeight w:val="231"/>
        </w:trPr>
        <w:tc>
          <w:tcPr>
            <w:tcW w:w="310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taxes</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w w:val="97"/>
              </w:rPr>
              <w:t>taxes</w:t>
            </w:r>
          </w:p>
        </w:tc>
        <w:tc>
          <w:tcPr>
            <w:tcW w:w="1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34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6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0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13,535</w:t>
            </w:r>
          </w:p>
        </w:tc>
        <w:tc>
          <w:tcPr>
            <w:tcW w:w="54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11,510</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6"/>
        </w:trPr>
        <w:tc>
          <w:tcPr>
            <w:tcW w:w="3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Corporate &amp; other </w:t>
            </w:r>
            <w:r>
              <w:rPr>
                <w:rFonts w:ascii="Times New Roman" w:cs="Times New Roman" w:eastAsia="Times New Roman" w:hAnsi="Times New Roman"/>
                <w:sz w:val="24"/>
                <w:szCs w:val="24"/>
                <w:color w:val="auto"/>
                <w:vertAlign w:val="superscript"/>
              </w:rPr>
              <w:t>(1)</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3"/>
        </w:trPr>
        <w:tc>
          <w:tcPr>
            <w:tcW w:w="31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income </w:t>
            </w:r>
            <w:r>
              <w:rPr>
                <w:rFonts w:ascii="Times New Roman" w:cs="Times New Roman" w:eastAsia="Times New Roman" w:hAnsi="Times New Roman"/>
                <w:sz w:val="24"/>
                <w:szCs w:val="24"/>
                <w:color w:val="auto"/>
                <w:vertAlign w:val="superscript"/>
              </w:rPr>
              <w:t>(2)</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(3)</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3"/>
        </w:trPr>
        <w:tc>
          <w:tcPr>
            <w:tcW w:w="31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Charges &amp; credits </w:t>
            </w:r>
            <w:r>
              <w:rPr>
                <w:rFonts w:ascii="Times New Roman" w:cs="Times New Roman" w:eastAsia="Times New Roman" w:hAnsi="Times New Roman"/>
                <w:sz w:val="24"/>
                <w:szCs w:val="24"/>
                <w:color w:val="auto"/>
                <w:vertAlign w:val="superscript"/>
              </w:rPr>
              <w:t>(4)</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6"/>
        </w:trPr>
        <w:tc>
          <w:tcPr>
            <w:tcW w:w="310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38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41,731</w:t>
            </w:r>
          </w:p>
        </w:tc>
        <w:tc>
          <w:tcPr>
            <w:tcW w:w="3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0" w:hanging="394"/>
        <w:spacing w:after="0" w:line="211" w:lineRule="auto"/>
        <w:tabs>
          <w:tab w:leader="none" w:pos="40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20" w:lineRule="exact"/>
        <w:rPr>
          <w:rFonts w:ascii="Times New Roman" w:cs="Times New Roman" w:eastAsia="Times New Roman" w:hAnsi="Times New Roman"/>
          <w:sz w:val="26"/>
          <w:szCs w:val="26"/>
          <w:color w:val="auto"/>
          <w:vertAlign w:val="superscript"/>
        </w:rPr>
      </w:pPr>
    </w:p>
    <w:p>
      <w:pPr>
        <w:ind w:left="400" w:hanging="394"/>
        <w:spacing w:after="0"/>
        <w:tabs>
          <w:tab w:leader="none" w:pos="40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Excludes interest income included in the segments’ income (2013: $11 million; 2012: $- million).</w:t>
      </w:r>
    </w:p>
    <w:p>
      <w:pPr>
        <w:spacing w:after="0" w:line="107" w:lineRule="exact"/>
        <w:rPr>
          <w:rFonts w:ascii="Times New Roman" w:cs="Times New Roman" w:eastAsia="Times New Roman" w:hAnsi="Times New Roman"/>
          <w:sz w:val="26"/>
          <w:szCs w:val="26"/>
          <w:color w:val="auto"/>
          <w:vertAlign w:val="superscript"/>
        </w:rPr>
      </w:pPr>
    </w:p>
    <w:p>
      <w:pPr>
        <w:ind w:left="400" w:hanging="394"/>
        <w:spacing w:after="0" w:line="192" w:lineRule="auto"/>
        <w:tabs>
          <w:tab w:leader="none" w:pos="4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Excludes interest expense included in the segments’ income (2013: $22 million; 2012: $9 million).</w:t>
      </w:r>
    </w:p>
    <w:p>
      <w:pPr>
        <w:spacing w:after="0" w:line="107" w:lineRule="exact"/>
        <w:rPr>
          <w:rFonts w:ascii="Times New Roman" w:cs="Times New Roman" w:eastAsia="Times New Roman" w:hAnsi="Times New Roman"/>
          <w:sz w:val="23"/>
          <w:szCs w:val="23"/>
          <w:color w:val="auto"/>
          <w:vertAlign w:val="superscript"/>
        </w:rPr>
      </w:pPr>
    </w:p>
    <w:p>
      <w:pPr>
        <w:ind w:left="400" w:hanging="394"/>
        <w:spacing w:after="0" w:line="192" w:lineRule="auto"/>
        <w:tabs>
          <w:tab w:leader="none" w:pos="4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Charges and credits are described in detail in Note 3 to the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Full-year 2013 revenue of $45.3 billion increased 8% versus the same period last year with International revenue 11% higher and North America revenue increasing 3%.</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Internationally, higher exploration and development activities in a number of GeoMarkets, both offshore and in key land markets, contributed to the increase. The increase was led by the Middle East &amp; Asia, which increased 24%, mainly from robust results across a diversified portfolio of projects and activities in Saudi Arabia, Iraq, and United Arab Emirates; increased seismic surveys across Asia; and sustained land and offshore drilling activity in the Australasia and China GeoMarkets. Europe/CIS/Africa increased 8%, led by the Russia and Central Asia region on strong land activity in West Siberia and robust offshore projects in Sakhalin. The Sub-</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72" w:right="239" w:bottom="1440" w:gutter="0" w:footer="0" w:header="0"/>
        </w:sectPr>
      </w:pPr>
    </w:p>
    <w:bookmarkStart w:id="19" w:name="page20"/>
    <w:bookmarkEnd w:id="19"/>
    <w:p>
      <w:pPr>
        <w:jc w:val="both"/>
        <w:spacing w:after="0" w:line="275" w:lineRule="auto"/>
        <w:rPr>
          <w:sz w:val="20"/>
          <w:szCs w:val="20"/>
          <w:color w:val="auto"/>
        </w:rPr>
      </w:pPr>
      <w:r>
        <w:rPr>
          <w:rFonts w:ascii="Times New Roman" w:cs="Times New Roman" w:eastAsia="Times New Roman" w:hAnsi="Times New Roman"/>
          <w:sz w:val="18"/>
          <w:szCs w:val="18"/>
          <w:color w:val="auto"/>
        </w:rPr>
        <w:t>Saharan Africa region increased on strong development, exploration and seismic activities as well. Latin America was 3% higher, mainly due to solid progress on an SPM project in Ecuador and strong IPM results in Argentina.</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 America growth was driven by increased offshore revenue as a result of higher drilling and exploration activities. This increase was largely offset by a decline in land as a result of a reduction in rig count and pricing weakness in the areas of drilling, stimulation and wireline, although the downward pricing trend slowed during the second and third quarters.</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Full-year 2013 pretax operating income of $9.3 billion increased 15% versus the same period last year as international pretax operating income of $6.88 billion increased 24%, while North America pretax operating income of $2.7 billion was flat.</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Pretax operating margin of 20.6% increased 119 bps, as international pretax operating margin expanded 225 bps to 22.2%, while North America pretax operating margin declined 55 bps to 19.7%. The expansion in international margins was due to increased high-margin exploration, seismic and deepwater activities, while the North American margin contraction was due to continued pricing pressure.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Full-year revenue of $12.5 billion was 10% higher than the same period last year led by Testing Services, WesternGeco, Wireline and SIS Technologies, primarily due to market share gains and higher exploration activity in both offshore and key international land markets.</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operating margin increased 226 bps to 29.4% largely due to the higher-margin exploration activities that benefited Testing Services and Wireline Technologies.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Full-year revenue of $17.1 billion was 9% higher than the previous year primarily due to the robust demand for Drilling &amp; Measurements services as offshore drilling activity strengthened in the US Gulf of Mexico, Sub-Sahara Africa, Russia and the Middle East &amp; Asia Area and rig count increases in key international land markets, namely in Saudi Arabia, China and Australia. Drilling Tools &amp; Remedial and M-I SWACO Technologies expanded across all Areas and IPM increased on projects in Iraq, Australia and Argentina.</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operating margin increased 156 bps to 19.3% primarily due to Drilling &amp; Measurements, which benefited from higher-margin exploration activities both in North America offshore and in the international markets.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Full-year revenue of $15.9 billion increased 8% year-on-year on increased Well Intervention activity and strong international sales of Completion and Artificial Lift products and Well Services technologies. SPM also posted strong growth. While North America land rig count declined, well and stage counts increased through drilling efficiency. Despite the efficiency-driven activity increase, Well Services revenue in North America declined due to pricing weakness.</w:t>
      </w:r>
    </w:p>
    <w:p>
      <w:pPr>
        <w:spacing w:after="0" w:line="1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operating margin increased slightly by 72 bps to 16.4%. Margin expanded as a result of improved profitability in SPM, Completions and Artificial Lift, partially offset by a margin decline in Well Services technologies, primarily in North America, as a result of pricing pressure and cost inflation.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 consisted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99"/>
        </w:trPr>
        <w:tc>
          <w:tcPr>
            <w:tcW w:w="4200" w:type="dxa"/>
            <w:vAlign w:val="bottom"/>
            <w:tcBorders>
              <w:bottom w:val="single" w:sz="8" w:color="CFF0FC"/>
            </w:tcBorders>
          </w:tcPr>
          <w:p>
            <w:pPr>
              <w:spacing w:after="0"/>
              <w:rPr>
                <w:sz w:val="24"/>
                <w:szCs w:val="24"/>
                <w:color w:val="auto"/>
              </w:rPr>
            </w:pPr>
          </w:p>
        </w:tc>
        <w:tc>
          <w:tcPr>
            <w:tcW w:w="3220" w:type="dxa"/>
            <w:vAlign w:val="bottom"/>
            <w:tcBorders>
              <w:bottom w:val="single" w:sz="8" w:color="CFF0FC"/>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900" w:type="dxa"/>
            <w:vAlign w:val="bottom"/>
            <w:gridSpan w:val="2"/>
            <w:shd w:val="clear" w:color="auto" w:fill="CFF0FC"/>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w:t>
            </w:r>
          </w:p>
        </w:tc>
        <w:tc>
          <w:tcPr>
            <w:tcW w:w="820" w:type="dxa"/>
            <w:vAlign w:val="bottom"/>
            <w:gridSpan w:val="2"/>
            <w:shd w:val="clear" w:color="auto" w:fill="CFF0FC"/>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Earnings of equity method investments</w:t>
            </w:r>
          </w:p>
        </w:tc>
        <w:tc>
          <w:tcPr>
            <w:tcW w:w="3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240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6"/>
        </w:trPr>
        <w:tc>
          <w:tcPr>
            <w:tcW w:w="4200" w:type="dxa"/>
            <w:vAlign w:val="bottom"/>
            <w:tcBorders>
              <w:top w:val="single" w:sz="8" w:color="CFF0FC"/>
              <w:bottom w:val="single" w:sz="8" w:color="CFF0FC"/>
            </w:tcBorders>
            <w:shd w:val="clear" w:color="auto" w:fill="CFF0FC"/>
          </w:tcPr>
          <w:p>
            <w:pPr>
              <w:spacing w:after="0"/>
              <w:rPr>
                <w:sz w:val="17"/>
                <w:szCs w:val="17"/>
                <w:color w:val="auto"/>
              </w:rPr>
            </w:pPr>
          </w:p>
        </w:tc>
        <w:tc>
          <w:tcPr>
            <w:tcW w:w="3220" w:type="dxa"/>
            <w:vAlign w:val="bottom"/>
            <w:tcBorders>
              <w:top w:val="single" w:sz="8" w:color="CFF0FC"/>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291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220" w:type="dxa"/>
            <w:vAlign w:val="bottom"/>
            <w:vMerge w:val="restart"/>
          </w:tcPr>
          <w:p>
            <w:pPr>
              <w:jc w:val="right"/>
              <w:ind w:right="1531"/>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2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jc w:val="both"/>
        <w:spacing w:after="0" w:line="275" w:lineRule="auto"/>
        <w:rPr>
          <w:sz w:val="20"/>
          <w:szCs w:val="20"/>
          <w:color w:val="auto"/>
        </w:rPr>
      </w:pPr>
      <w:r>
        <w:rPr>
          <w:rFonts w:ascii="Times New Roman" w:cs="Times New Roman" w:eastAsia="Times New Roman" w:hAnsi="Times New Roman"/>
          <w:sz w:val="18"/>
          <w:szCs w:val="18"/>
          <w:color w:val="auto"/>
        </w:rPr>
        <w:t>The increase in earnings of equity method investments in 2014 as compared to 2013 primarily reflects the strong performance of a drilling service company in which Schlumberger has an investment, as well as the impact of the first full year of results from the OneSubsea joint venture.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Interest expense of $369 million in 2014 decreased by $22 million compared to 2013 primarily as the effect of an increase in the weighted average debt balance of approximately $1.1 billion was more than offset by a 0.4% decrease in the weighted average borrowing rates from 3.2% in 2013 to 2.8% in 2014.</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Interest expense of $391 million in 2013 increased by $51 million compared to 2012 primarily due to an increase in the weighted average debt balance of approximately $1.2 billion combined with a 0.1% increase in the weighted average borrowing rates from 3.1% in 2012 to 3.2% in 2013.</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4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2013</w:t>
            </w:r>
          </w:p>
        </w:tc>
        <w:tc>
          <w:tcPr>
            <w:tcW w:w="340" w:type="dxa"/>
            <w:vAlign w:val="bottom"/>
            <w:tcBorders>
              <w:bottom w:val="single" w:sz="8" w:color="CFF0FC"/>
            </w:tcBorders>
          </w:tcPr>
          <w:p>
            <w:pPr>
              <w:spacing w:after="0"/>
              <w:rPr>
                <w:sz w:val="20"/>
                <w:szCs w:val="20"/>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2012</w:t>
            </w:r>
          </w:p>
        </w:tc>
        <w:tc>
          <w:tcPr>
            <w:tcW w:w="300" w:type="dxa"/>
            <w:vAlign w:val="bottom"/>
            <w:tcBorders>
              <w:bottom w:val="single" w:sz="8" w:color="CFF0FC"/>
            </w:tcBorders>
          </w:tcPr>
          <w:p>
            <w:pPr>
              <w:spacing w:after="0"/>
              <w:rPr>
                <w:sz w:val="20"/>
                <w:szCs w:val="20"/>
                <w:color w:val="auto"/>
              </w:rPr>
            </w:pPr>
          </w:p>
        </w:tc>
      </w:tr>
      <w:tr>
        <w:trPr>
          <w:trHeight w:val="23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Research &amp; engineering</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&amp; administrative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Schlumberger effective tax rate was 25.2% in 2014, 21.3% in 2013, and 24.4% in 2012.</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Schlumberger effective tax rate is sensitive to the geographic mix of earnings. When the percentage of pretax earnings generated outside of North America increases, the Schlumberger effective tax rate will generally decrease. Conversely, when the percentage of pretax earnings generated outside of North America decreases, the Schlumberger effective tax rate will generally increase.</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effective tax rate for both 2014 and 2013 was significantly impacted by the charges and credits described in Note 3 to the </w:t>
      </w:r>
      <w:r>
        <w:rPr>
          <w:rFonts w:ascii="Times New Roman" w:cs="Times New Roman" w:eastAsia="Times New Roman" w:hAnsi="Times New Roman"/>
          <w:sz w:val="18"/>
          <w:szCs w:val="18"/>
          <w:i w:val="1"/>
          <w:iCs w:val="1"/>
          <w:color w:val="auto"/>
        </w:rPr>
        <w:t>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Excluding the impact of these charges and credits, the effective tax rate in 2014 was 21.9% compared to 22.9% in 2013. The decrease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excluding the impact of charges and credits, was primarily attributable to the change in the geographic mix of earnings and the favorable resolution of tax examinations in certain jurisdictions.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charges and credits recorded in both 2014 and 2013 had a significant impact on the effective tax rate because, for the most part, they were not tax effective. However, the charges and credits in 2012 did not have a significant impact on the effective tax rate. The decrease in the effective tax rate in 2013 as compared to 2012, excluding the impact of charges and credits, was primarily attributable to the fact that Schlumberger generated a smaller proportion of its pretax earnings in North America in 2013 as compared to 2012.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Schlumberger recorded significant charges and credits in continuing operations during 2014, 2013 and 2012. These charges and credits, which are summarized below, are more fully described in Note 3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2014 charges and credits: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313"/>
        </w:trPr>
        <w:tc>
          <w:tcPr>
            <w:tcW w:w="458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Pretax</w:t>
            </w: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Tax</w:t>
            </w: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r>
      <w:tr>
        <w:trPr>
          <w:trHeight w:val="23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WesternGeco restructuring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806</w:t>
            </w:r>
          </w:p>
        </w:tc>
        <w:tc>
          <w:tcPr>
            <w:tcW w:w="3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3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1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3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SPM project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06"/>
        </w:trPr>
        <w:tc>
          <w:tcPr>
            <w:tcW w:w="45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24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406"/>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w w:val="99"/>
              </w:rPr>
              <w:t>21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1900" w:h="16838" w:orient="portrait"/>
          <w:cols w:equalWidth="0" w:num="1">
            <w:col w:w="11420"/>
          </w:cols>
          <w:pgMar w:left="240" w:top="44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is a summary of the 2013 charges and credits: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45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Pretax</w:t>
            </w: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Tax</w:t>
            </w: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0" w:type="dxa"/>
            <w:vAlign w:val="bottom"/>
          </w:tcPr>
          <w:p>
            <w:pPr>
              <w:spacing w:after="0"/>
              <w:rPr>
                <w:sz w:val="1"/>
                <w:szCs w:val="1"/>
                <w:color w:val="auto"/>
              </w:rPr>
            </w:pPr>
          </w:p>
        </w:tc>
      </w:tr>
      <w:tr>
        <w:trPr>
          <w:trHeight w:val="23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formation of OneSubsea joint venture</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(1,028)</w:t>
            </w:r>
          </w:p>
        </w:tc>
        <w:tc>
          <w:tcPr>
            <w:tcW w:w="3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(1,028)</w:t>
            </w:r>
          </w:p>
        </w:tc>
        <w:tc>
          <w:tcPr>
            <w:tcW w:w="3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Gain on formation of OneSubsea</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equity method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33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c>
          <w:tcPr>
            <w:tcW w:w="0" w:type="dxa"/>
            <w:vAlign w:val="bottom"/>
          </w:tcPr>
          <w:p>
            <w:pPr>
              <w:spacing w:after="0"/>
              <w:rPr>
                <w:sz w:val="1"/>
                <w:szCs w:val="1"/>
                <w:color w:val="auto"/>
              </w:rPr>
            </w:pP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accounts receivable</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3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334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c>
          <w:tcPr>
            <w:tcW w:w="0" w:type="dxa"/>
            <w:vAlign w:val="bottom"/>
          </w:tcPr>
          <w:p>
            <w:pPr>
              <w:spacing w:after="0"/>
              <w:rPr>
                <w:sz w:val="1"/>
                <w:szCs w:val="1"/>
                <w:color w:val="auto"/>
              </w:rPr>
            </w:pPr>
          </w:p>
        </w:tc>
      </w:tr>
      <w:tr>
        <w:trPr>
          <w:trHeight w:val="206"/>
        </w:trPr>
        <w:tc>
          <w:tcPr>
            <w:tcW w:w="45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32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the 2012 charges and credits:</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5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Pretax</w:t>
            </w:r>
          </w:p>
        </w:tc>
        <w:tc>
          <w:tcPr>
            <w:tcW w:w="140" w:type="dxa"/>
            <w:vAlign w:val="bottom"/>
            <w:tcBorders>
              <w:bottom w:val="single" w:sz="8" w:color="CFF0FC"/>
            </w:tcBorders>
            <w:gridSpan w:val="2"/>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Tax</w:t>
            </w: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0" w:type="dxa"/>
            <w:vAlign w:val="bottom"/>
          </w:tcPr>
          <w:p>
            <w:pPr>
              <w:spacing w:after="0"/>
              <w:rPr>
                <w:sz w:val="1"/>
                <w:szCs w:val="1"/>
                <w:color w:val="auto"/>
              </w:rPr>
            </w:pPr>
          </w:p>
        </w:tc>
      </w:tr>
      <w:tr>
        <w:trPr>
          <w:trHeight w:val="23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integration-related costs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0"/>
                <w:szCs w:val="20"/>
                <w:color w:val="auto"/>
              </w:rPr>
            </w:pPr>
          </w:p>
        </w:tc>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Merger &amp; integration</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c>
          <w:tcPr>
            <w:tcW w:w="0" w:type="dxa"/>
            <w:vAlign w:val="bottom"/>
          </w:tcPr>
          <w:p>
            <w:pPr>
              <w:spacing w:after="0"/>
              <w:rPr>
                <w:sz w:val="1"/>
                <w:szCs w:val="1"/>
                <w:color w:val="auto"/>
              </w:rPr>
            </w:pPr>
          </w:p>
        </w:tc>
      </w:tr>
      <w:tr>
        <w:trPr>
          <w:trHeight w:val="206"/>
        </w:trPr>
        <w:tc>
          <w:tcPr>
            <w:tcW w:w="45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32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Debt</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changes in Net Debt follow: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344"/>
        </w:trPr>
        <w:tc>
          <w:tcPr>
            <w:tcW w:w="5580" w:type="dxa"/>
            <w:vAlign w:val="bottom"/>
            <w:tcBorders>
              <w:bottom w:val="single" w:sz="8" w:color="CFF0FC"/>
            </w:tcBorders>
          </w:tcPr>
          <w:p>
            <w:pPr>
              <w:spacing w:after="0"/>
              <w:rPr>
                <w:sz w:val="24"/>
                <w:szCs w:val="24"/>
                <w:color w:val="auto"/>
              </w:rPr>
            </w:pPr>
          </w:p>
        </w:tc>
        <w:tc>
          <w:tcPr>
            <w:tcW w:w="200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5,711</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6,843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2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Gain on formation of OneSubsea</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580" w:type="dxa"/>
            <w:vAlign w:val="bottom"/>
          </w:tcPr>
          <w:p>
            <w:pPr>
              <w:spacing w:after="0" w:line="22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5"/>
                <w:szCs w:val="25"/>
                <w:color w:val="auto"/>
                <w:vertAlign w:val="superscript"/>
              </w:rPr>
              <w:t>(1)</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2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expense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funding</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working capital</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2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6"/>
        </w:trPr>
        <w:tc>
          <w:tcPr>
            <w:tcW w:w="5580" w:type="dxa"/>
            <w:vAlign w:val="bottom"/>
            <w:tcBorders>
              <w:top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20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11,195</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SPM investments</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6"/>
        </w:trPr>
        <w:tc>
          <w:tcPr>
            <w:tcW w:w="5580" w:type="dxa"/>
            <w:vAlign w:val="bottom"/>
            <w:tcBorders>
              <w:top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(2)</w:t>
            </w:r>
          </w:p>
        </w:tc>
        <w:tc>
          <w:tcPr>
            <w:tcW w:w="20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6,158</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2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6"/>
        </w:trPr>
        <w:tc>
          <w:tcPr>
            <w:tcW w:w="5580" w:type="dxa"/>
            <w:vAlign w:val="bottom"/>
            <w:tcBorders>
              <w:top w:val="single" w:sz="8" w:color="CFF0FC"/>
            </w:tcBorders>
            <w:shd w:val="clear" w:color="auto" w:fill="CFF0FC"/>
          </w:tcPr>
          <w:p>
            <w:pPr>
              <w:spacing w:after="0"/>
              <w:rPr>
                <w:sz w:val="17"/>
                <w:szCs w:val="17"/>
                <w:color w:val="auto"/>
              </w:rPr>
            </w:pPr>
          </w:p>
        </w:tc>
        <w:tc>
          <w:tcPr>
            <w:tcW w:w="20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w w:val="99"/>
              </w:rPr>
              <w:t>Business acquisitions and investments, net of cash acquired and debt assumed</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for OneSubsea transaction</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divestiture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decrease in Net Debt</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(4,443)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06"/>
        </w:trPr>
        <w:tc>
          <w:tcPr>
            <w:tcW w:w="5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Debt, End of period</w:t>
            </w:r>
          </w:p>
        </w:tc>
        <w:tc>
          <w:tcPr>
            <w:tcW w:w="20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0" w:type="dxa"/>
            <w:vAlign w:val="bottom"/>
            <w:vMerge w:val="restart"/>
          </w:tcPr>
          <w:p>
            <w:pPr>
              <w:jc w:val="right"/>
              <w:ind w:right="169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5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1440" w:gutter="0" w:footer="0" w:header="0"/>
        </w:sectPr>
      </w:pPr>
    </w:p>
    <w:bookmarkStart w:id="22" w:name="page23"/>
    <w:bookmarkEnd w:id="22"/>
    <w:p>
      <w:pPr>
        <w:ind w:left="520" w:hanging="514"/>
        <w:spacing w:after="0"/>
        <w:tabs>
          <w:tab w:leader="none" w:pos="520"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SPM investments.</w:t>
      </w:r>
    </w:p>
    <w:p>
      <w:pPr>
        <w:spacing w:after="0" w:line="107" w:lineRule="exact"/>
        <w:rPr>
          <w:rFonts w:ascii="Times New Roman" w:cs="Times New Roman" w:eastAsia="Times New Roman" w:hAnsi="Times New Roman"/>
          <w:sz w:val="26"/>
          <w:szCs w:val="26"/>
          <w:color w:val="auto"/>
          <w:vertAlign w:val="superscript"/>
        </w:rPr>
      </w:pPr>
    </w:p>
    <w:p>
      <w:pPr>
        <w:ind w:left="520" w:right="20" w:hanging="514"/>
        <w:spacing w:after="0" w:line="214" w:lineRule="auto"/>
        <w:tabs>
          <w:tab w:leader="none" w:pos="520"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7"/>
        </w:trPr>
        <w:tc>
          <w:tcPr>
            <w:tcW w:w="18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2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Dec.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Dec. 31</w:t>
            </w:r>
          </w:p>
        </w:tc>
      </w:tr>
      <w:tr>
        <w:trPr>
          <w:trHeight w:val="193"/>
        </w:trPr>
        <w:tc>
          <w:tcPr>
            <w:tcW w:w="75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Components of Net Debt</w:t>
            </w:r>
          </w:p>
        </w:tc>
        <w:tc>
          <w:tcPr>
            <w:tcW w:w="160" w:type="dxa"/>
            <w:vAlign w:val="bottom"/>
          </w:tcPr>
          <w:p>
            <w:pPr>
              <w:spacing w:after="0"/>
              <w:rPr>
                <w:sz w:val="16"/>
                <w:szCs w:val="16"/>
                <w:color w:val="auto"/>
              </w:rPr>
            </w:pPr>
          </w:p>
        </w:tc>
        <w:tc>
          <w:tcPr>
            <w:tcW w:w="880" w:type="dxa"/>
            <w:vAlign w:val="bottom"/>
          </w:tcPr>
          <w:p>
            <w:pPr>
              <w:jc w:val="right"/>
              <w:ind w:right="251"/>
              <w:spacing w:after="0" w:line="194" w:lineRule="exact"/>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91"/>
              <w:spacing w:after="0" w:line="194" w:lineRule="exact"/>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1"/>
              <w:spacing w:after="0" w:line="194" w:lineRule="exact"/>
              <w:rPr>
                <w:sz w:val="20"/>
                <w:szCs w:val="20"/>
                <w:color w:val="auto"/>
              </w:rPr>
            </w:pPr>
            <w:r>
              <w:rPr>
                <w:rFonts w:ascii="Times New Roman" w:cs="Times New Roman" w:eastAsia="Times New Roman" w:hAnsi="Times New Roman"/>
                <w:sz w:val="18"/>
                <w:szCs w:val="18"/>
                <w:color w:val="auto"/>
                <w:w w:val="99"/>
              </w:rPr>
              <w:t>2012</w:t>
            </w:r>
          </w:p>
        </w:tc>
        <w:tc>
          <w:tcPr>
            <w:tcW w:w="140" w:type="dxa"/>
            <w:vAlign w:val="bottom"/>
          </w:tcPr>
          <w:p>
            <w:pPr>
              <w:spacing w:after="0"/>
              <w:rPr>
                <w:sz w:val="16"/>
                <w:szCs w:val="16"/>
                <w:color w:val="auto"/>
              </w:rPr>
            </w:pPr>
          </w:p>
        </w:tc>
      </w:tr>
      <w:tr>
        <w:trPr>
          <w:trHeight w:val="20"/>
        </w:trPr>
        <w:tc>
          <w:tcPr>
            <w:tcW w:w="1880" w:type="dxa"/>
            <w:vAlign w:val="bottom"/>
            <w:tcBorders>
              <w:top w:val="single" w:sz="8" w:color="auto"/>
              <w:bottom w:val="single" w:sz="8" w:color="CFF0FC"/>
            </w:tcBorders>
          </w:tcPr>
          <w:p>
            <w:pPr>
              <w:spacing w:after="0" w:line="20" w:lineRule="exact"/>
              <w:rPr>
                <w:sz w:val="1"/>
                <w:szCs w:val="1"/>
                <w:color w:val="auto"/>
              </w:rPr>
            </w:pPr>
          </w:p>
        </w:tc>
        <w:tc>
          <w:tcPr>
            <w:tcW w:w="56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r>
      <w:tr>
        <w:trPr>
          <w:trHeight w:val="233"/>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3,130</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3,472</w:t>
            </w:r>
          </w:p>
        </w:tc>
        <w:tc>
          <w:tcPr>
            <w:tcW w:w="26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1,905</w:t>
            </w: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4,371</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4,369</w:t>
            </w:r>
          </w:p>
        </w:tc>
      </w:tr>
      <w:tr>
        <w:trPr>
          <w:trHeight w:val="213"/>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442</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 current portion</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(1,244)</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(1,163)</w:t>
            </w:r>
          </w:p>
        </w:tc>
      </w:tr>
      <w:tr>
        <w:trPr>
          <w:trHeight w:val="213"/>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(1,521)</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(958)</w:t>
            </w: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(10,565)</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(9,509)</w:t>
            </w:r>
          </w:p>
        </w:tc>
      </w:tr>
      <w:tr>
        <w:trPr>
          <w:trHeight w:val="206"/>
        </w:trPr>
        <w:tc>
          <w:tcPr>
            <w:tcW w:w="1880" w:type="dxa"/>
            <w:vAlign w:val="bottom"/>
            <w:tcBorders>
              <w:top w:val="single" w:sz="8" w:color="CFF0FC"/>
              <w:bottom w:val="single" w:sz="8" w:color="CFF0FC"/>
            </w:tcBorders>
            <w:shd w:val="clear" w:color="auto" w:fill="CFF0FC"/>
          </w:tcPr>
          <w:p>
            <w:pPr>
              <w:spacing w:after="0"/>
              <w:rPr>
                <w:sz w:val="17"/>
                <w:szCs w:val="17"/>
                <w:color w:val="auto"/>
              </w:rPr>
            </w:pPr>
          </w:p>
        </w:tc>
        <w:tc>
          <w:tcPr>
            <w:tcW w:w="56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(5,387)</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liquidity events during 2014, 2013 and 2012 included:</w:t>
      </w:r>
    </w:p>
    <w:p>
      <w:pPr>
        <w:spacing w:after="0" w:line="112" w:lineRule="exact"/>
        <w:rPr>
          <w:sz w:val="20"/>
          <w:szCs w:val="20"/>
          <w:color w:val="auto"/>
        </w:rPr>
      </w:pPr>
    </w:p>
    <w:p>
      <w:pPr>
        <w:ind w:left="1040" w:hanging="368"/>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2013, Schlumberger issued $1.5 billion of 3.65% Senior Notes due 2023.</w:t>
      </w:r>
    </w:p>
    <w:p>
      <w:pPr>
        <w:spacing w:after="0" w:line="112" w:lineRule="exact"/>
        <w:rPr>
          <w:rFonts w:ascii="Times New Roman" w:cs="Times New Roman" w:eastAsia="Times New Roman" w:hAnsi="Times New Roman"/>
          <w:sz w:val="18"/>
          <w:szCs w:val="18"/>
          <w:color w:val="auto"/>
        </w:rPr>
      </w:pPr>
    </w:p>
    <w:p>
      <w:pPr>
        <w:ind w:left="1040" w:hanging="368"/>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2013, Schlumberger issued €0.5 billion of 1.50% Guaranteed Notes due 2019.</w:t>
      </w:r>
    </w:p>
    <w:p>
      <w:pPr>
        <w:spacing w:after="0" w:line="112" w:lineRule="exact"/>
        <w:rPr>
          <w:sz w:val="20"/>
          <w:szCs w:val="20"/>
          <w:color w:val="auto"/>
        </w:rPr>
      </w:pPr>
    </w:p>
    <w:p>
      <w:pPr>
        <w:ind w:left="1020" w:hanging="366"/>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2013, Schlumberger paid Cameron $600 million in connection with the formation of the OneSubsea joint venture.</w:t>
      </w:r>
    </w:p>
    <w:p>
      <w:pPr>
        <w:spacing w:after="0" w:line="112"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third quarter of 2012, Schlumberger issued $1 billion of 1.25% Senior Notes due 2017 and $1 billion of 2.40% Senior Notes due 2022.</w:t>
      </w:r>
    </w:p>
    <w:p>
      <w:pPr>
        <w:spacing w:after="0" w:line="123" w:lineRule="exact"/>
        <w:rPr>
          <w:rFonts w:ascii="Times New Roman" w:cs="Times New Roman" w:eastAsia="Times New Roman" w:hAnsi="Times New Roman"/>
          <w:sz w:val="17"/>
          <w:szCs w:val="17"/>
          <w:color w:val="auto"/>
        </w:rPr>
      </w:pPr>
    </w:p>
    <w:p>
      <w:pPr>
        <w:ind w:left="1020" w:hanging="366"/>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2012, Schlumberger completed the divestiture of its 56% interest in CE Franklin Ltd. for $122 million in cash.</w:t>
      </w:r>
    </w:p>
    <w:p>
      <w:pPr>
        <w:spacing w:after="0" w:line="112" w:lineRule="exact"/>
        <w:rPr>
          <w:rFonts w:ascii="Times New Roman" w:cs="Times New Roman" w:eastAsia="Times New Roman" w:hAnsi="Times New Roman"/>
          <w:sz w:val="18"/>
          <w:szCs w:val="18"/>
          <w:color w:val="auto"/>
        </w:rPr>
      </w:pPr>
    </w:p>
    <w:p>
      <w:pPr>
        <w:ind w:left="1020" w:hanging="366"/>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2012, Schlumberger completed the divestiture of its Wilson distribution business for $906 million in cash.</w:t>
      </w:r>
    </w:p>
    <w:p>
      <w:pPr>
        <w:spacing w:after="0" w:line="112" w:lineRule="exact"/>
        <w:rPr>
          <w:rFonts w:ascii="Times New Roman" w:cs="Times New Roman" w:eastAsia="Times New Roman" w:hAnsi="Times New Roman"/>
          <w:sz w:val="18"/>
          <w:szCs w:val="18"/>
          <w:color w:val="auto"/>
        </w:rPr>
      </w:pPr>
    </w:p>
    <w:p>
      <w:pPr>
        <w:jc w:val="both"/>
        <w:ind w:left="1020" w:hanging="366"/>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2008, the Schlumberger Board of Directors (the “Board”) approved an $8 billion share repurchase program for shares of Schlumberger common stock, to be acquired before December 31, 2011. On July 21, 2011, the Board approved an extension of this repurchase program to December 31, 2013. This program was completed during the third quarter of 2013.</w:t>
      </w:r>
    </w:p>
    <w:p>
      <w:pPr>
        <w:spacing w:after="0" w:line="70" w:lineRule="exact"/>
        <w:rPr>
          <w:sz w:val="20"/>
          <w:szCs w:val="20"/>
          <w:color w:val="auto"/>
        </w:rPr>
      </w:pPr>
    </w:p>
    <w:p>
      <w:pPr>
        <w:jc w:val="both"/>
        <w:ind w:left="1040"/>
        <w:spacing w:after="0" w:line="261" w:lineRule="auto"/>
        <w:rPr>
          <w:sz w:val="20"/>
          <w:szCs w:val="20"/>
          <w:color w:val="auto"/>
        </w:rPr>
      </w:pPr>
      <w:r>
        <w:rPr>
          <w:rFonts w:ascii="Times New Roman" w:cs="Times New Roman" w:eastAsia="Times New Roman" w:hAnsi="Times New Roman"/>
          <w:sz w:val="18"/>
          <w:szCs w:val="18"/>
          <w:color w:val="auto"/>
        </w:rPr>
        <w:t>On July 18, 2013, the Board approved a new $10 billion share repurchase program to be completed at the latest by June 30, 2018. Schlumberger had repurchased $6.4 billion of shares under this new share repurchase program as of December 31, 2014. Schlumberger is accelerating this share repurchase program with the aim of completing it in 2.5 years as compared to the original target of 5 years.</w:t>
      </w:r>
    </w:p>
    <w:p>
      <w:pPr>
        <w:spacing w:after="0" w:line="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following table summarizes the activity under these share repurchase programs during 2014, 2013 and 2012:</w:t>
      </w:r>
    </w:p>
    <w:p>
      <w:pPr>
        <w:spacing w:after="0" w:line="26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8"/>
          </w:tcPr>
          <w:p>
            <w:pPr>
              <w:ind w:left="66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339"/>
        </w:trPr>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Total cost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Total number</w:t>
            </w:r>
          </w:p>
        </w:tc>
        <w:tc>
          <w:tcPr>
            <w:tcW w:w="10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Average price</w:t>
            </w:r>
          </w:p>
        </w:tc>
      </w:tr>
      <w:tr>
        <w:trPr>
          <w:trHeight w:val="213"/>
        </w:trPr>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of shares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paid per</w:t>
            </w:r>
          </w:p>
        </w:tc>
      </w:tr>
      <w:tr>
        <w:trPr>
          <w:trHeight w:val="231"/>
        </w:trPr>
        <w:tc>
          <w:tcPr>
            <w:tcW w:w="118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8"/>
                <w:szCs w:val="18"/>
                <w:color w:val="auto"/>
                <w:w w:val="98"/>
              </w:rPr>
              <w:t>purchased</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share</w:t>
            </w:r>
          </w:p>
        </w:tc>
        <w:tc>
          <w:tcPr>
            <w:tcW w:w="100" w:type="dxa"/>
            <w:vAlign w:val="bottom"/>
            <w:tcBorders>
              <w:bottom w:val="single" w:sz="8" w:color="CFF0FC"/>
            </w:tcBorders>
          </w:tcPr>
          <w:p>
            <w:pPr>
              <w:spacing w:after="0"/>
              <w:rPr>
                <w:sz w:val="20"/>
                <w:szCs w:val="20"/>
                <w:color w:val="auto"/>
              </w:rPr>
            </w:pPr>
          </w:p>
        </w:tc>
      </w:tr>
      <w:tr>
        <w:trPr>
          <w:trHeight w:val="233"/>
        </w:trPr>
        <w:tc>
          <w:tcPr>
            <w:tcW w:w="1180" w:type="dxa"/>
            <w:vAlign w:val="bottom"/>
            <w:shd w:val="clear" w:color="auto" w:fill="CFF0FC"/>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w w:val="94"/>
              </w:rPr>
              <w:t>2014</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4,677,687</w:t>
            </w: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47,545.9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98.38</w:t>
            </w:r>
          </w:p>
        </w:tc>
      </w:tr>
      <w:tr>
        <w:trPr>
          <w:trHeight w:val="213"/>
        </w:trPr>
        <w:tc>
          <w:tcPr>
            <w:tcW w:w="118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94"/>
              </w:rPr>
              <w:t>2013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2,596,447</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31,349.5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82.82</w:t>
            </w:r>
          </w:p>
        </w:tc>
      </w:tr>
      <w:tr>
        <w:trPr>
          <w:trHeight w:val="213"/>
        </w:trPr>
        <w:tc>
          <w:tcPr>
            <w:tcW w:w="1180" w:type="dxa"/>
            <w:vAlign w:val="bottom"/>
            <w:shd w:val="clear" w:color="auto" w:fill="CFF0FC"/>
          </w:tcPr>
          <w:p>
            <w:pPr>
              <w:jc w:val="right"/>
              <w:ind w:right="731"/>
              <w:spacing w:after="0"/>
              <w:rPr>
                <w:sz w:val="20"/>
                <w:szCs w:val="20"/>
                <w:color w:val="auto"/>
              </w:rPr>
            </w:pPr>
            <w:r>
              <w:rPr>
                <w:rFonts w:ascii="Times New Roman" w:cs="Times New Roman" w:eastAsia="Times New Roman" w:hAnsi="Times New Roman"/>
                <w:sz w:val="18"/>
                <w:szCs w:val="18"/>
                <w:color w:val="auto"/>
                <w:w w:val="94"/>
              </w:rPr>
              <w:t>2012</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971,883</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14,087.8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68.99</w:t>
            </w:r>
          </w:p>
        </w:tc>
      </w:tr>
    </w:tbl>
    <w:p>
      <w:pPr>
        <w:spacing w:after="0" w:line="221" w:lineRule="exact"/>
        <w:rPr>
          <w:sz w:val="20"/>
          <w:szCs w:val="20"/>
          <w:color w:val="auto"/>
        </w:rPr>
      </w:pPr>
    </w:p>
    <w:p>
      <w:pPr>
        <w:jc w:val="both"/>
        <w:ind w:left="1040" w:right="20" w:hanging="368"/>
        <w:spacing w:after="0" w:line="25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$11.2 billion in 2014, $10.7 billion in 2013 and $6.9 billion in 2012. The increase in net cash flow from operations in 2014 as compared to 2013 was largely attributable to an increase in earnings before non-cash charges and credits and depreciation and amortization expense. The improvement in net cash flow from operating activities in 2013 as compared to 2012 reflected a strong working capital performance despite an 8.5% increase in revenue.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4" w:right="239" w:bottom="1440" w:gutter="0" w:footer="0" w:header="0"/>
        </w:sectPr>
      </w:pPr>
    </w:p>
    <w:bookmarkStart w:id="23" w:name="page24"/>
    <w:bookmarkEnd w:id="23"/>
    <w:p>
      <w:pPr>
        <w:jc w:val="both"/>
        <w:ind w:left="1060"/>
        <w:spacing w:after="0" w:line="256" w:lineRule="auto"/>
        <w:rPr>
          <w:sz w:val="20"/>
          <w:szCs w:val="20"/>
          <w:color w:val="auto"/>
        </w:rPr>
      </w:pPr>
      <w:r>
        <w:rPr>
          <w:rFonts w:ascii="Times New Roman" w:cs="Times New Roman" w:eastAsia="Times New Roman" w:hAnsi="Times New Roman"/>
          <w:sz w:val="18"/>
          <w:szCs w:val="18"/>
          <w:color w:val="auto"/>
        </w:rPr>
        <w:t>At times in recent years, Schlumberger has experienced delays in payments from its national oil company customer in Venezuela. Schlumberger operates in approximately 85 countries. At December 31, 2014, only three of those countries individually accounted for greater than 5% of Schlumberger’s accounts receivable balance, of which only one, the United States, represented greater than 10%. Venezuela represented less than 5% of Schlumberger’s accounts receivable balance at December 31, 2014.</w:t>
      </w:r>
    </w:p>
    <w:p>
      <w:pPr>
        <w:spacing w:after="0" w:line="75" w:lineRule="exact"/>
        <w:rPr>
          <w:sz w:val="20"/>
          <w:szCs w:val="20"/>
          <w:color w:val="auto"/>
        </w:rPr>
      </w:pPr>
    </w:p>
    <w:p>
      <w:pPr>
        <w:ind w:left="1020" w:hanging="366"/>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2014, 2013 and 2012 were $1.97 billion, $1.61 billion and $1.43 billion, respectively.</w:t>
      </w:r>
    </w:p>
    <w:p>
      <w:pPr>
        <w:spacing w:after="0" w:line="112" w:lineRule="exact"/>
        <w:rPr>
          <w:rFonts w:ascii="Times New Roman" w:cs="Times New Roman" w:eastAsia="Times New Roman" w:hAnsi="Times New Roman"/>
          <w:sz w:val="18"/>
          <w:szCs w:val="18"/>
          <w:color w:val="auto"/>
        </w:rPr>
      </w:pPr>
    </w:p>
    <w:p>
      <w:pPr>
        <w:ind w:left="1040" w:right="1120"/>
        <w:spacing w:after="0" w:line="3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On January 15, 2015, Schlumberger announced that its Board had approved a 25% increase in the quarterly dividend, to $0.50. On January 16, 2014, Schlumberger announced that its Board had approved a 28% increase in the quarterly dividend to $0.40. On January 17, 2013, Schlumberger announced that its Board had approved a 13.6% increase in the quarterly dividend to $0.3125.</w:t>
      </w:r>
    </w:p>
    <w:p>
      <w:pPr>
        <w:ind w:left="1020" w:hanging="366"/>
        <w:spacing w:after="0" w:line="27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$4.0 billion in 2014, $3.9 billion in 2013 and $4.7 billion in 2012. Capital expenditures are expected to approach $3.4 billion for the full year 2015.</w:t>
      </w:r>
    </w:p>
    <w:p>
      <w:pPr>
        <w:spacing w:after="0" w:line="57" w:lineRule="exact"/>
        <w:rPr>
          <w:rFonts w:ascii="Times New Roman" w:cs="Times New Roman" w:eastAsia="Times New Roman" w:hAnsi="Times New Roman"/>
          <w:sz w:val="18"/>
          <w:szCs w:val="18"/>
          <w:color w:val="auto"/>
        </w:rPr>
      </w:pPr>
    </w:p>
    <w:p>
      <w:pPr>
        <w:jc w:val="both"/>
        <w:ind w:left="1020" w:hanging="366"/>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2014, 2013 and 2012 Schlumberger made contributions of $390 million, $538 million and $673 million, respectively, to its postretirement benefit plans. The US pension plans were 86% funded at December 31, 2014 based on the projected benefit obligation. This compares to 96% funded at December 31, 2013.</w:t>
      </w:r>
    </w:p>
    <w:p>
      <w:pPr>
        <w:spacing w:after="0" w:line="69" w:lineRule="exact"/>
        <w:rPr>
          <w:rFonts w:ascii="Times New Roman" w:cs="Times New Roman" w:eastAsia="Times New Roman" w:hAnsi="Times New Roman"/>
          <w:sz w:val="18"/>
          <w:szCs w:val="18"/>
          <w:color w:val="auto"/>
        </w:rPr>
      </w:pPr>
    </w:p>
    <w:p>
      <w:pPr>
        <w:ind w:left="10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Schlumberger’s international defined benefit pension plans were a combined 94% funded at December 31, 2014 based on the projected benefit obligation. This compares to 104% funded at December 31, 2013.</w:t>
      </w:r>
    </w:p>
    <w:p>
      <w:pPr>
        <w:spacing w:after="0" w:line="57" w:lineRule="exact"/>
        <w:rPr>
          <w:rFonts w:ascii="Times New Roman" w:cs="Times New Roman" w:eastAsia="Times New Roman" w:hAnsi="Times New Roman"/>
          <w:sz w:val="18"/>
          <w:szCs w:val="18"/>
          <w:color w:val="auto"/>
        </w:rPr>
      </w:pPr>
    </w:p>
    <w:p>
      <w:pPr>
        <w:ind w:left="1040"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currently anticipates contributing approximately $400 million to its postretirement benefit plans in 2015, subject to market and business conditions.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20, 2015, Schlumberger announced that it has entered into an agreement to acquire a minority ownership of approximately 45% in Eurasia Drilling Company Limited, the largest provider of onshore drilling services in Russia. The cost of this transaction, which is expected to close during the first quarter of 2015, is approximately $1.7 billion in cash.</w:t>
      </w:r>
    </w:p>
    <w:p>
      <w:pPr>
        <w:spacing w:after="0" w:line="3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maintains a €5.0 billion Guaranteed Euro Medium Term Note program. This program provides for the issuance of various types of debt instruments such as fixed or floating rate notes in Euro, US dollar or other currencies. Schlumberger has issued €0.5 billion 1.50% Guaranteed Notes due 2019 and €1.0 billion 2.75% Guaranteed Notes due 2015 under this program.</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2014, Schlumberger had $7.5 billion of cash and short-term investments on hand. Schlumberger had separate committed debt facility agreements aggregating $3.9 billion with commercial banks, of which $2.3 billion was available and unused as of December 31, 2014. The $3.9 billion of committed debt facility agreements included $3.5 billion of committed facilities which support commercial paper programs. Schlumberger believes that these amounts are sufficient to meet future business requirements for at least the next 12 months.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outstanding commercial paper borrowings were $1.538 billion as of December 31, 2014 and $95 million as of December 31, 2013.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Contractual Obligations</w:t>
      </w:r>
    </w:p>
    <w:tbl>
      <w:tblPr>
        <w:tblLayout w:type="fixed"/>
        <w:tblInd w:w="0" w:type="dxa"/>
        <w:tblCellMar>
          <w:top w:w="0" w:type="dxa"/>
          <w:left w:w="0" w:type="dxa"/>
          <w:bottom w:w="0" w:type="dxa"/>
          <w:right w:w="0" w:type="dxa"/>
        </w:tblCellMar>
      </w:tblPr>
      <w:tr>
        <w:trPr>
          <w:trHeight w:val="206"/>
        </w:trPr>
        <w:tc>
          <w:tcPr>
            <w:tcW w:w="282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93"/>
        </w:trPr>
        <w:tc>
          <w:tcPr>
            <w:tcW w:w="2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color w:val="auto"/>
              </w:rPr>
              <w:t>Payment Period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2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FF0FC"/>
            </w:tcBorders>
            <w:vMerge w:val="continue"/>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8"/>
              </w:rPr>
              <w:t>2016 - 2017</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8"/>
              </w:rPr>
              <w:t>2018 - 2019</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After 2019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00" w:type="dxa"/>
            <w:vAlign w:val="bottom"/>
            <w:gridSpan w:val="2"/>
            <w:shd w:val="clear" w:color="auto" w:fill="CFF0FC"/>
          </w:tcPr>
          <w:p>
            <w:pPr>
              <w:spacing w:after="0" w:line="233"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5"/>
                <w:szCs w:val="25"/>
                <w:color w:val="auto"/>
                <w:vertAlign w:val="superscript"/>
              </w:rPr>
              <w:t>(1)</w:t>
            </w:r>
          </w:p>
        </w:tc>
        <w:tc>
          <w:tcPr>
            <w:tcW w:w="11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13,330</w:t>
            </w:r>
          </w:p>
        </w:tc>
        <w:tc>
          <w:tcPr>
            <w:tcW w:w="3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2,765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80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on fixed rate debt obligations </w:t>
            </w:r>
            <w:r>
              <w:rPr>
                <w:rFonts w:ascii="Times New Roman" w:cs="Times New Roman" w:eastAsia="Times New Roman" w:hAnsi="Times New Roman"/>
                <w:sz w:val="24"/>
                <w:szCs w:val="24"/>
                <w:color w:val="auto"/>
                <w:vertAlign w:val="superscript"/>
              </w:rPr>
              <w:t>(2)</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3"/>
        </w:trPr>
        <w:tc>
          <w:tcPr>
            <w:tcW w:w="3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3"/>
        </w:trPr>
        <w:tc>
          <w:tcPr>
            <w:tcW w:w="380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 xml:space="preserve">Purchase obligations </w:t>
            </w:r>
            <w:r>
              <w:rPr>
                <w:rFonts w:ascii="Times New Roman" w:cs="Times New Roman" w:eastAsia="Times New Roman" w:hAnsi="Times New Roman"/>
                <w:sz w:val="24"/>
                <w:szCs w:val="24"/>
                <w:color w:val="auto"/>
                <w:vertAlign w:val="superscript"/>
              </w:rPr>
              <w:t>(3)</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6"/>
        </w:trPr>
        <w:tc>
          <w:tcPr>
            <w:tcW w:w="282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CFF0FC"/>
              <w:bottom w:val="single" w:sz="8" w:color="CFF0FC"/>
            </w:tcBorders>
            <w:shd w:val="clear" w:color="auto" w:fill="CFF0FC"/>
          </w:tcPr>
          <w:p>
            <w:pPr>
              <w:spacing w:after="0"/>
              <w:rPr>
                <w:sz w:val="17"/>
                <w:szCs w:val="17"/>
                <w:color w:val="auto"/>
              </w:rPr>
            </w:pPr>
          </w:p>
        </w:tc>
        <w:tc>
          <w:tcPr>
            <w:tcW w:w="9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400" w:hanging="394"/>
        <w:spacing w:after="0"/>
        <w:tabs>
          <w:tab w:leader="none" w:pos="400" w:val="left"/>
        </w:tabs>
        <w:numPr>
          <w:ilvl w:val="0"/>
          <w:numId w:val="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Excludes future payments for interest.</w:t>
      </w:r>
    </w:p>
    <w:p>
      <w:pPr>
        <w:spacing w:after="0" w:line="107" w:lineRule="exact"/>
        <w:rPr>
          <w:rFonts w:ascii="Times New Roman" w:cs="Times New Roman" w:eastAsia="Times New Roman" w:hAnsi="Times New Roman"/>
          <w:sz w:val="26"/>
          <w:szCs w:val="26"/>
          <w:color w:val="auto"/>
          <w:vertAlign w:val="superscript"/>
        </w:rPr>
      </w:pPr>
    </w:p>
    <w:p>
      <w:pPr>
        <w:ind w:left="400" w:hanging="394"/>
        <w:spacing w:after="0" w:line="192" w:lineRule="auto"/>
        <w:tabs>
          <w:tab w:leader="none" w:pos="4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Excludes interest on $3.7 billion of variable rate debt, which had a weighted average interest rate of 1.3% as of December 31, 2014.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34" w:right="239" w:bottom="1440" w:gutter="0" w:footer="0" w:header="0"/>
        </w:sectPr>
      </w:pPr>
    </w:p>
    <w:bookmarkStart w:id="24" w:name="page25"/>
    <w:bookmarkEnd w:id="24"/>
    <w:p>
      <w:pPr>
        <w:jc w:val="both"/>
        <w:ind w:left="400" w:hanging="394"/>
        <w:spacing w:after="0" w:line="221" w:lineRule="auto"/>
        <w:tabs>
          <w:tab w:leader="none" w:pos="40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Refer to Note 18 </w:t>
      </w:r>
      <w:r>
        <w:rPr>
          <w:rFonts w:ascii="Times New Roman" w:cs="Times New Roman" w:eastAsia="Times New Roman" w:hAnsi="Times New Roman"/>
          <w:sz w:val="18"/>
          <w:szCs w:val="18"/>
          <w:i w:val="1"/>
          <w:iCs w:val="1"/>
          <w:color w:val="auto"/>
        </w:rPr>
        <w:t>Pension and Other Benefit Plans</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details regarding Schlumberger’s pension and other postretirement benefit obligations.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included in the Schlumberger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at December 31, 2014 is approximately $1.4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discussion of all of Schlumberger’s significant accounting policies is included in 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WesternGeco business capitalizes the costs associated with obtaining multiclient seismic data. The carrying value of the multiclient seismic data library at December 31, 2014 and 2013 was $793 million and $667 million, respectively. Such costs are charged to </w:t>
      </w: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larger surveys, which are typically prefunded by customers, are analyzed for impairment on a survey by survey basis and other smaller surveys are analyzed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Depending on how such potential issues are resolved, or if the financial condition of Schlumberger customers were to deteriorate resulting in an impairment of their ability to make payments, adjustments to the allowance may be required.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Goodwill, Intangible Assets and Long-Lived Assets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records the excess of purchase price over the fair value of the tangible and identifiable intangible assets acquired and liabilities assumed as goodwill. The goodwill relating to each of Schlumberger’s reporting units is tested for impairment annually as well as when an event, or change in circumstances, indicates an impairment may have occurred.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then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18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has the option to bypass the qualitative assessment for any reporting unit in any period and proceed directly to performing the first step of the two-step goodwill impairment test.</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performing the impairment test for goodwill, Schlumberger’s reporting units are its three Groups: Reservoir Characterization, Drilling and Production. Schlumberger elected to perform the qualitative assessment described above for purposes of its annual goodwill impairment test in 2014. Based on this assessment, Schlumberger concluded that it was more likely than not that the fair value of each of its reporting units was greater than its carrying amount. Accordingly, no further testing was required.</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Long-lived assets, including fixed assets, intangible assets and investments in SPM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Benefits</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Schlumberger’s pension and postretirement benefit obligations are described in detail in Note 18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discount rate Schlumberger uses reflects the prevailing market rate of a portfolio of high-quality debt instruments with maturities matching the expected timing of the payment of the benefit obligations. The following summarizes the discount rates utilized by Schlumberger for its various pension and postretirement benefit plans:</w:t>
      </w:r>
    </w:p>
    <w:p>
      <w:pPr>
        <w:spacing w:after="0" w:line="70" w:lineRule="exact"/>
        <w:rPr>
          <w:sz w:val="20"/>
          <w:szCs w:val="20"/>
          <w:color w:val="auto"/>
        </w:rPr>
      </w:pPr>
    </w:p>
    <w:p>
      <w:pPr>
        <w:ind w:left="1020" w:right="20" w:hanging="366"/>
        <w:spacing w:after="0" w:line="27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utilized to determine the liability for Schlumberger’s United States pension plans and postretirement medical plans was 4.15% at December 31, 2014 and 4.85% at December 31, 2013.</w:t>
      </w:r>
    </w:p>
    <w:p>
      <w:pPr>
        <w:spacing w:after="0" w:line="57" w:lineRule="exact"/>
        <w:rPr>
          <w:rFonts w:ascii="Times New Roman" w:cs="Times New Roman" w:eastAsia="Times New Roman" w:hAnsi="Times New Roman"/>
          <w:sz w:val="18"/>
          <w:szCs w:val="18"/>
          <w:color w:val="auto"/>
        </w:rPr>
      </w:pPr>
    </w:p>
    <w:p>
      <w:pPr>
        <w:ind w:left="1020" w:hanging="366"/>
        <w:spacing w:after="0" w:line="27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discount rate utilized to determine the liability for Schlumberger’s international pension plans was 4.07% at December 31, 2014 and 4.76% at December 31, 2013.</w:t>
      </w:r>
    </w:p>
    <w:p>
      <w:pPr>
        <w:spacing w:after="0" w:line="57" w:lineRule="exact"/>
        <w:rPr>
          <w:rFonts w:ascii="Times New Roman" w:cs="Times New Roman" w:eastAsia="Times New Roman" w:hAnsi="Times New Roman"/>
          <w:sz w:val="18"/>
          <w:szCs w:val="18"/>
          <w:color w:val="auto"/>
        </w:rPr>
      </w:pPr>
    </w:p>
    <w:p>
      <w:pPr>
        <w:ind w:left="1020" w:hanging="366"/>
        <w:spacing w:after="0" w:line="27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discount rate utilized to determine expense for Schlumberger’s United States pension plans and postretirement medical plans increased from 4.25% in 2013 to 4.85% in 2014.</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38" w:right="239" w:bottom="1440" w:gutter="0" w:footer="0" w:header="0"/>
        </w:sectPr>
      </w:pPr>
    </w:p>
    <w:bookmarkStart w:id="26" w:name="page27"/>
    <w:bookmarkEnd w:id="26"/>
    <w:p>
      <w:pPr>
        <w:ind w:left="1020" w:hanging="366"/>
        <w:spacing w:after="0" w:line="27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discount rate utilized to determine expense for Schlumberger’s international pension plans increased from 4.38% in 2013 to 4.76% in 2014.</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expected rates of return for the investment portfolio, with consideration given to the distribution of investments by asset class and historical rates of return for each individual asset class. The weighted average expected rate of return on plan assets for the United States pension plans decreased from 7.50% in 2013 to 7.25% in 2014. The weighted average expected rate of return on plan assets for the international pension plans was 7.50% in both 2014 and 2013. A lower expected rate of return would increase pension expense.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Schlumberger’s medical cost trend rate assumptions are developed based on historical cost data, the near-term outlook and an assessment of likely long-term trends. The overall medical cost trend rate assumption utilized to determine the 2014 postretirement medical expense was 7.25% graded to 5% over the next ten years. The overall medical trend rate assumption utilized to determine the postretirement medical liability at December 31, 2014 was 7.00% graded to 5% over the next ten years.</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illustrates the sensitivity to changes in certain assumptions, holding all other assumptions constant, for the United States and international pension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2"/>
          </w:tcPr>
          <w:p>
            <w:pPr>
              <w:ind w:left="5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Effect on 2014</w:t>
            </w:r>
          </w:p>
        </w:tc>
        <w:tc>
          <w:tcPr>
            <w:tcW w:w="340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color w:val="auto"/>
                <w:w w:val="99"/>
              </w:rPr>
              <w:t>Effect on</w:t>
            </w:r>
          </w:p>
        </w:tc>
      </w:tr>
      <w:tr>
        <w:trPr>
          <w:trHeight w:val="213"/>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Pretax Pension</w:t>
            </w:r>
          </w:p>
        </w:tc>
        <w:tc>
          <w:tcPr>
            <w:tcW w:w="34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color w:val="auto"/>
                <w:w w:val="98"/>
              </w:rPr>
              <w:t>Dec. 31, 2014</w:t>
            </w:r>
          </w:p>
        </w:tc>
      </w:tr>
      <w:tr>
        <w:trPr>
          <w:trHeight w:val="231"/>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Assumption</w:t>
            </w:r>
          </w:p>
        </w:tc>
        <w:tc>
          <w:tcPr>
            <w:tcW w:w="24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Expense</w:t>
            </w:r>
          </w:p>
        </w:tc>
        <w:tc>
          <w:tcPr>
            <w:tcW w:w="22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1800" w:type="dxa"/>
            <w:vAlign w:val="bottom"/>
            <w:tcBorders>
              <w:bottom w:val="single" w:sz="8" w:color="CFF0FC"/>
            </w:tcBorders>
          </w:tcPr>
          <w:p>
            <w:pPr>
              <w:spacing w:after="0"/>
              <w:rPr>
                <w:sz w:val="20"/>
                <w:szCs w:val="20"/>
                <w:color w:val="auto"/>
              </w:rPr>
            </w:pPr>
          </w:p>
        </w:tc>
      </w:tr>
      <w:tr>
        <w:trPr>
          <w:trHeight w:val="233"/>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60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458"/>
              <w:spacing w:after="0"/>
              <w:rPr>
                <w:sz w:val="20"/>
                <w:szCs w:val="20"/>
                <w:color w:val="auto"/>
              </w:rPr>
            </w:pPr>
            <w:r>
              <w:rPr>
                <w:rFonts w:ascii="Times New Roman" w:cs="Times New Roman" w:eastAsia="Times New Roman" w:hAnsi="Times New Roman"/>
                <w:sz w:val="18"/>
                <w:szCs w:val="18"/>
                <w:color w:val="auto"/>
              </w:rPr>
              <w:t>+$481</w:t>
            </w:r>
          </w:p>
        </w:tc>
        <w:tc>
          <w:tcPr>
            <w:tcW w:w="1800" w:type="dxa"/>
            <w:vAlign w:val="bottom"/>
            <w:shd w:val="clear" w:color="auto" w:fill="CFF0FC"/>
          </w:tcPr>
          <w:p>
            <w:pPr>
              <w:spacing w:after="0"/>
              <w:rPr>
                <w:sz w:val="20"/>
                <w:szCs w:val="20"/>
                <w:color w:val="auto"/>
              </w:rPr>
            </w:pPr>
          </w:p>
        </w:tc>
      </w:tr>
      <w:tr>
        <w:trPr>
          <w:trHeight w:val="21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820" w:type="dxa"/>
            <w:vAlign w:val="bottom"/>
            <w:gridSpan w:val="2"/>
          </w:tcPr>
          <w:p>
            <w:pPr>
              <w:jc w:val="right"/>
              <w:ind w:right="84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$52</w:t>
            </w:r>
          </w:p>
        </w:tc>
        <w:tc>
          <w:tcPr>
            <w:tcW w:w="3400" w:type="dxa"/>
            <w:vAlign w:val="bottom"/>
            <w:gridSpan w:val="2"/>
          </w:tcPr>
          <w:p>
            <w:pPr>
              <w:jc w:val="right"/>
              <w:ind w:right="234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$452</w:t>
            </w:r>
          </w:p>
        </w:tc>
      </w:tr>
      <w:tr>
        <w:trPr>
          <w:trHeight w:val="213"/>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25 basis point decrease in expected return on plan assets</w:t>
            </w:r>
          </w:p>
        </w:tc>
        <w:tc>
          <w:tcPr>
            <w:tcW w:w="160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8"/>
                <w:szCs w:val="18"/>
                <w:color w:val="auto"/>
              </w:rPr>
            </w:pPr>
          </w:p>
        </w:tc>
        <w:tc>
          <w:tcPr>
            <w:tcW w:w="34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basis point increase in expected return on plan assets</w:t>
            </w:r>
          </w:p>
        </w:tc>
        <w:tc>
          <w:tcPr>
            <w:tcW w:w="1820" w:type="dxa"/>
            <w:vAlign w:val="bottom"/>
            <w:gridSpan w:val="2"/>
          </w:tcPr>
          <w:p>
            <w:pPr>
              <w:jc w:val="right"/>
              <w:ind w:right="84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$22</w:t>
            </w:r>
          </w:p>
        </w:tc>
        <w:tc>
          <w:tcPr>
            <w:tcW w:w="3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illustrates the sensitivity to changes in certain assumptions, holding all other assumptions constant, for Schlumberger’s United States postretirement medical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2"/>
          </w:tcPr>
          <w:p>
            <w:pPr>
              <w:ind w:left="5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Effect on 2014</w:t>
            </w:r>
          </w:p>
        </w:tc>
        <w:tc>
          <w:tcPr>
            <w:tcW w:w="340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color w:val="auto"/>
                <w:w w:val="99"/>
              </w:rPr>
              <w:t>Effect on</w:t>
            </w:r>
          </w:p>
        </w:tc>
      </w:tr>
      <w:tr>
        <w:trPr>
          <w:trHeight w:val="213"/>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Pretax Postretirement</w:t>
            </w:r>
          </w:p>
        </w:tc>
        <w:tc>
          <w:tcPr>
            <w:tcW w:w="34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color w:val="auto"/>
                <w:w w:val="98"/>
              </w:rPr>
              <w:t>Dec. 31, 2014</w:t>
            </w:r>
          </w:p>
        </w:tc>
      </w:tr>
      <w:tr>
        <w:trPr>
          <w:trHeight w:val="231"/>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Assumption</w:t>
            </w:r>
          </w:p>
        </w:tc>
        <w:tc>
          <w:tcPr>
            <w:tcW w:w="24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Medical Expense</w:t>
            </w:r>
          </w:p>
        </w:tc>
        <w:tc>
          <w:tcPr>
            <w:tcW w:w="22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1800" w:type="dxa"/>
            <w:vAlign w:val="bottom"/>
            <w:tcBorders>
              <w:bottom w:val="single" w:sz="8" w:color="CFF0FC"/>
            </w:tcBorders>
          </w:tcPr>
          <w:p>
            <w:pPr>
              <w:spacing w:after="0"/>
              <w:rPr>
                <w:sz w:val="20"/>
                <w:szCs w:val="20"/>
                <w:color w:val="auto"/>
              </w:rPr>
            </w:pPr>
          </w:p>
        </w:tc>
      </w:tr>
      <w:tr>
        <w:trPr>
          <w:trHeight w:val="233"/>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600" w:type="dxa"/>
            <w:vAlign w:val="bottom"/>
            <w:shd w:val="clear" w:color="auto" w:fill="CFF0FC"/>
          </w:tcPr>
          <w:p>
            <w:pPr>
              <w:jc w:val="right"/>
              <w:ind w:right="62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+$45</w:t>
            </w:r>
          </w:p>
        </w:tc>
        <w:tc>
          <w:tcPr>
            <w:tcW w:w="1800" w:type="dxa"/>
            <w:vAlign w:val="bottom"/>
            <w:shd w:val="clear" w:color="auto" w:fill="CFF0FC"/>
          </w:tcPr>
          <w:p>
            <w:pPr>
              <w:spacing w:after="0"/>
              <w:rPr>
                <w:sz w:val="20"/>
                <w:szCs w:val="20"/>
                <w:color w:val="auto"/>
              </w:rPr>
            </w:pPr>
          </w:p>
        </w:tc>
      </w:tr>
      <w:tr>
        <w:trPr>
          <w:trHeight w:val="21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$2</w:t>
            </w:r>
          </w:p>
        </w:tc>
        <w:tc>
          <w:tcPr>
            <w:tcW w:w="3400" w:type="dxa"/>
            <w:vAlign w:val="bottom"/>
            <w:gridSpan w:val="2"/>
          </w:tcPr>
          <w:p>
            <w:pPr>
              <w:jc w:val="right"/>
              <w:ind w:right="24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$48</w:t>
            </w:r>
          </w:p>
        </w:tc>
      </w:tr>
      <w:tr>
        <w:trPr>
          <w:trHeight w:val="213"/>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100 basis point decrease per annum in medical cost trend rate</w:t>
            </w:r>
          </w:p>
        </w:tc>
        <w:tc>
          <w:tcPr>
            <w:tcW w:w="18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$17</w:t>
            </w:r>
          </w:p>
        </w:tc>
        <w:tc>
          <w:tcPr>
            <w:tcW w:w="3400" w:type="dxa"/>
            <w:vAlign w:val="bottom"/>
            <w:gridSpan w:val="2"/>
            <w:shd w:val="clear" w:color="auto" w:fill="CFF0FC"/>
          </w:tcPr>
          <w:p>
            <w:pPr>
              <w:jc w:val="right"/>
              <w:ind w:right="24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color w:val="auto"/>
              </w:rPr>
              <w:t>$33</w:t>
            </w:r>
          </w:p>
        </w:tc>
      </w:tr>
      <w:tr>
        <w:trPr>
          <w:trHeight w:val="232"/>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 increase per annum in medical cost trend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220" w:type="dxa"/>
            <w:vAlign w:val="bottom"/>
          </w:tcPr>
          <w:p>
            <w:pPr>
              <w:spacing w:after="0"/>
              <w:rPr>
                <w:sz w:val="20"/>
                <w:szCs w:val="20"/>
                <w:color w:val="auto"/>
              </w:rPr>
            </w:pPr>
          </w:p>
        </w:tc>
        <w:tc>
          <w:tcPr>
            <w:tcW w:w="160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rPr>
              <w:t>+$37</w:t>
            </w:r>
          </w:p>
        </w:tc>
        <w:tc>
          <w:tcPr>
            <w:tcW w:w="1800" w:type="dxa"/>
            <w:vAlign w:val="bottom"/>
          </w:tcPr>
          <w:p>
            <w:pPr>
              <w:spacing w:after="0"/>
              <w:rPr>
                <w:sz w:val="20"/>
                <w:szCs w:val="20"/>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Investments in Affiliated Companies </w:t>
      </w:r>
      <w:r>
        <w:rPr>
          <w:rFonts w:ascii="Times New Roman" w:cs="Times New Roman" w:eastAsia="Times New Roman" w:hAnsi="Times New Roman"/>
          <w:sz w:val="18"/>
          <w:szCs w:val="18"/>
          <w:color w:val="auto"/>
        </w:rPr>
        <w:t>on the consolidated balance sheet primarily reflects Schlumberger’s investments in privately held companies, 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 the startup or development stages and are often still defining their strategic direction. Such investments are inherently risky and their success is dependent on factors such as technology development, market acceptance and their ability to raise additional funds. The technology being developed by these companies may never materialize and they could fail. Schlumberger monitors its portfolio to determine if any investment is other-than-temporarily impaired. If an investment is considered to be other-than-temporarily impaired, it is written down to its fair value.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is subject to market risks primarily associated with changes in foreign currency exchange rates and interest rates.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Schlumberger conducts business in approximately 85 countries. Schlumberger’s functional currency is primarily the US dollar, which is consistent with the oil and gas industry. Approximately 81% of Schlumberger’s revenue in 2014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A 5% increase or decrease in the average exchange rates of all the foreign currencies in 2014 would have changed revenue by approximately 1%. If the 2014 average exchange rates of the US dollar against all foreign currencies had strengthened by 5%, Schlumberger’s income from continuing operations would have increased by approximately 3%. Conversely, a 5% weakening of the US dollar average exchange rates would have decreased income from continuing operations by approximately 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3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a discussion of exchange rates as it relates to Schlumberger’s operations in Venezuela.</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and foreign currency options provide a hedge against currency fluctuations either on monetary assets/liabilities denominated in other than a functional currency or on expenses.</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2014, contracts were outstanding for the US dollar equivalent of $6.8 billion in various foreign currencies of which $2.5 billion relate to hedges of debt balances denominated in currencies other than the functional currency.</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 At December 31, 2014, Schlumberger had fixed rate debt aggregating approximately $9.6 billion and variable rate debt aggregating approximately $3.7 billion before considering the effects of cross currency swaps.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Schlumberger’s exposure to interest rate risk associated with its debt is also partially mitigated by its investment portfolio. Both </w:t>
      </w: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Fixed income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held to maturity</w:t>
      </w:r>
      <w:r>
        <w:rPr>
          <w:rFonts w:ascii="Times New Roman" w:cs="Times New Roman" w:eastAsia="Times New Roman" w:hAnsi="Times New Roman"/>
          <w:sz w:val="18"/>
          <w:szCs w:val="18"/>
          <w:color w:val="auto"/>
        </w:rPr>
        <w:t>, which totaled approximately $4.8 billion at December 31, 2014, are comprised primarily of money market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deposits, certificates of deposit, commercial paper, bonds and notes, substantially all of which are denominated in US dollars. The average return on investment was 0.7% in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carrying amounts of Schlumberger’s debt at December 31, 2014 by year of maturity: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Expected Maturity Dates</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Fixed rate debt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3.30%</w:t>
            </w: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3.65%</w:t>
            </w: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2.75%</w:t>
            </w: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Guaranteed Notes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1.95%</w:t>
            </w: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4.20%</w:t>
            </w: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1.25%</w:t>
            </w: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2.40%</w:t>
            </w: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1.50%</w:t>
            </w: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Guaranteed Notes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2.65%</w:t>
            </w: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fixed rate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2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Variable rate debt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market value of the outstanding fixed rate debt was approximately $9.8 billion as of December 31, 2014. The weighted average interest rate on the variable rate debt as of December 31, 2014 was 1.3%.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does not enter into derivatives for speculative purposes.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success of Schlumberger’s joint ventures, alliances, acquisitions and restructuring efforts;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4" w:right="239" w:bottom="1440" w:gutter="0" w:footer="0" w:header="0"/>
        </w:sectPr>
      </w:pPr>
    </w:p>
    <w:bookmarkStart w:id="28" w:name="page29"/>
    <w:bookmarkEnd w:id="28"/>
    <w:p>
      <w:pPr>
        <w:jc w:val="both"/>
        <w:spacing w:after="0" w:line="251" w:lineRule="auto"/>
        <w:rPr>
          <w:sz w:val="20"/>
          <w:szCs w:val="20"/>
          <w:color w:val="auto"/>
        </w:rPr>
      </w:pPr>
      <w:r>
        <w:rPr>
          <w:rFonts w:ascii="Times New Roman" w:cs="Times New Roman" w:eastAsia="Times New Roman" w:hAnsi="Times New Roman"/>
          <w:sz w:val="18"/>
          <w:szCs w:val="18"/>
          <w:color w:val="auto"/>
        </w:rPr>
        <w:t>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technology and climate-related initiatives; the inability of technology to meet new challenges in exploration; and other risks and uncertainties detailed in the Risk Factors section of this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2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1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31"/>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500" w:type="dxa"/>
            <w:vAlign w:val="bottom"/>
            <w:vMerge w:val="continue"/>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48,580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45,266</w:t>
            </w:r>
          </w:p>
        </w:tc>
        <w:tc>
          <w:tcPr>
            <w:tcW w:w="3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41,731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and other income</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Gain on formation of OneSubsea</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37,398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35,331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32,885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&amp; engineering</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Merger &amp; integration</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Impairments &amp; other</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 before taxes</w:t>
            </w:r>
          </w:p>
        </w:tc>
        <w:tc>
          <w:tcPr>
            <w:tcW w:w="15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7,639</w:t>
            </w: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Taxes on income</w:t>
            </w:r>
          </w:p>
        </w:tc>
        <w:tc>
          <w:tcPr>
            <w:tcW w:w="15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5,711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(loss) from discontinued operations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5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5,506</w:t>
            </w: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 attributable to Schlumberger</w:t>
            </w:r>
          </w:p>
        </w:tc>
        <w:tc>
          <w:tcPr>
            <w:tcW w:w="15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5,438</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Schlumberger amounts attributable to:</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7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60" w:type="dxa"/>
            <w:vAlign w:val="bottom"/>
          </w:tcPr>
          <w:p>
            <w:pPr>
              <w:spacing w:after="0"/>
              <w:rPr>
                <w:sz w:val="18"/>
                <w:szCs w:val="18"/>
                <w:color w:val="auto"/>
              </w:rPr>
            </w:pPr>
          </w:p>
        </w:tc>
        <w:tc>
          <w:tcPr>
            <w:tcW w:w="38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of Schlumberger:</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7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w:t>
            </w:r>
          </w:p>
        </w:tc>
        <w:tc>
          <w:tcPr>
            <w:tcW w:w="38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of Schlumberger:</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7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5"/>
                <w:szCs w:val="15"/>
                <w:color w:val="auto"/>
              </w:rPr>
              <w:t>(1)</w:t>
            </w:r>
          </w:p>
        </w:tc>
        <w:tc>
          <w:tcPr>
            <w:tcW w:w="15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Assuming dilution</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8"/>
          <w:szCs w:val="18"/>
          <w:color w:val="auto"/>
        </w:rPr>
        <w:t>Amounts may not add due to rounding.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9"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31"/>
        </w:trPr>
        <w:tc>
          <w:tcPr>
            <w:tcW w:w="6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bottom w:val="single" w:sz="8" w:color="CFF0FC"/>
            </w:tcBorders>
          </w:tcPr>
          <w:p>
            <w:pPr>
              <w:spacing w:after="0"/>
              <w:rPr>
                <w:sz w:val="24"/>
                <w:szCs w:val="24"/>
                <w:color w:val="auto"/>
              </w:rPr>
            </w:pPr>
          </w:p>
        </w:tc>
      </w:tr>
      <w:tr>
        <w:trPr>
          <w:trHeight w:val="23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3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5,506</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00" w:type="dxa"/>
            <w:vAlign w:val="bottom"/>
            <w:shd w:val="clear" w:color="auto" w:fill="CFF0FC"/>
          </w:tcPr>
          <w:p>
            <w:pPr>
              <w:spacing w:after="0"/>
              <w:rPr>
                <w:sz w:val="20"/>
                <w:szCs w:val="20"/>
                <w:color w:val="auto"/>
              </w:rPr>
            </w:pPr>
          </w:p>
        </w:tc>
      </w:tr>
      <w:tr>
        <w:trPr>
          <w:trHeight w:val="213"/>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6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Unrealized net change arising during the period</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(463)</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FF0FC"/>
          </w:tcPr>
          <w:p>
            <w:pPr>
              <w:spacing w:after="0"/>
              <w:rPr>
                <w:sz w:val="18"/>
                <w:szCs w:val="18"/>
                <w:color w:val="auto"/>
              </w:rPr>
            </w:pPr>
          </w:p>
        </w:tc>
      </w:tr>
      <w:tr>
        <w:trPr>
          <w:trHeight w:val="213"/>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6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Unrealized gain (loss) arising during the period</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(166)</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r>
      <w:tr>
        <w:trPr>
          <w:trHeight w:val="213"/>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6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 gain (loss) on cash flow hedges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(238)</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FF0FC"/>
          </w:tcPr>
          <w:p>
            <w:pPr>
              <w:spacing w:after="0"/>
              <w:rPr>
                <w:sz w:val="18"/>
                <w:szCs w:val="18"/>
                <w:color w:val="auto"/>
              </w:rPr>
            </w:pPr>
          </w:p>
        </w:tc>
      </w:tr>
      <w:tr>
        <w:trPr>
          <w:trHeight w:val="213"/>
        </w:trPr>
        <w:tc>
          <w:tcPr>
            <w:tcW w:w="6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Reclassification to net income of net realized (gain) loss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113</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3"/>
        </w:trPr>
        <w:tc>
          <w:tcPr>
            <w:tcW w:w="6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Actuarial gain (loss)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602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Actuarial gain (loss) arising during the period</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(1,285)</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(1,016)</w:t>
            </w:r>
          </w:p>
        </w:tc>
      </w:tr>
      <w:tr>
        <w:trPr>
          <w:trHeight w:val="213"/>
        </w:trPr>
        <w:tc>
          <w:tcPr>
            <w:tcW w:w="6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to net income of net actuarial loss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177</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r>
      <w:tr>
        <w:trPr>
          <w:trHeight w:val="213"/>
        </w:trPr>
        <w:tc>
          <w:tcPr>
            <w:tcW w:w="6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Prior service cost</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3"/>
        </w:trPr>
        <w:tc>
          <w:tcPr>
            <w:tcW w:w="6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to net income of net prior service cost</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r>
      <w:tr>
        <w:trPr>
          <w:trHeight w:val="213"/>
        </w:trPr>
        <w:tc>
          <w:tcPr>
            <w:tcW w:w="6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Income taxes on pension and other postretirement benefit plans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82</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r>
      <w:tr>
        <w:trPr>
          <w:trHeight w:val="20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tc>
        <w:tc>
          <w:tcPr>
            <w:tcW w:w="10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3,854</w:t>
            </w: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0" w:type="dxa"/>
            <w:vAlign w:val="bottom"/>
          </w:tcPr>
          <w:p>
            <w:pPr>
              <w:spacing w:after="0"/>
              <w:rPr>
                <w:sz w:val="17"/>
                <w:szCs w:val="17"/>
                <w:color w:val="auto"/>
              </w:rPr>
            </w:pPr>
          </w:p>
        </w:tc>
      </w:tr>
      <w:tr>
        <w:trPr>
          <w:trHeight w:val="213"/>
        </w:trPr>
        <w:tc>
          <w:tcPr>
            <w:tcW w:w="6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68</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8"/>
                <w:szCs w:val="18"/>
                <w:color w:val="auto"/>
              </w:rPr>
            </w:pPr>
          </w:p>
        </w:tc>
      </w:tr>
      <w:tr>
        <w:trPr>
          <w:trHeight w:val="206"/>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 attributable to Schlumberger</w:t>
            </w:r>
          </w:p>
        </w:tc>
        <w:tc>
          <w:tcPr>
            <w:tcW w:w="10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3,786</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20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9" w:right="2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331"/>
        </w:trPr>
        <w:tc>
          <w:tcPr>
            <w:tcW w:w="8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1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4,898</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Receivables less allowance for doubtful accounts (2014 - $275; 2013 - $384)</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11,171</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144</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06"/>
        </w:trPr>
        <w:tc>
          <w:tcPr>
            <w:tcW w:w="85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24,694</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Fixed Income Investments, held to maturity</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442</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15,396</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15,096</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Multiclient Seismic Data</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793</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15,487</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14,706</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4,654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06"/>
        </w:trPr>
        <w:tc>
          <w:tcPr>
            <w:tcW w:w="850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66,904</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9,246</w:t>
            </w:r>
          </w:p>
        </w:tc>
        <w:tc>
          <w:tcPr>
            <w:tcW w:w="24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8,837</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debt - current portion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Short-term borrowings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1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518</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6"/>
        </w:trPr>
        <w:tc>
          <w:tcPr>
            <w:tcW w:w="85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14,176</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10,565</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10,393</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3"/>
        </w:trPr>
        <w:tc>
          <w:tcPr>
            <w:tcW w:w="8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06"/>
        </w:trPr>
        <w:tc>
          <w:tcPr>
            <w:tcW w:w="850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28,855</w:t>
            </w:r>
          </w:p>
        </w:tc>
        <w:tc>
          <w:tcPr>
            <w:tcW w:w="2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12,495</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12,192</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Treasury stock</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(11,772)</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(8,135)</w:t>
            </w:r>
          </w:p>
        </w:tc>
        <w:tc>
          <w:tcPr>
            <w:tcW w:w="0" w:type="dxa"/>
            <w:vAlign w:val="bottom"/>
          </w:tcPr>
          <w:p>
            <w:pPr>
              <w:spacing w:after="0"/>
              <w:rPr>
                <w:sz w:val="1"/>
                <w:szCs w:val="1"/>
                <w:color w:val="auto"/>
              </w:rPr>
            </w:pPr>
          </w:p>
        </w:tc>
      </w:tr>
      <w:tr>
        <w:trPr>
          <w:trHeight w:val="213"/>
        </w:trPr>
        <w:tc>
          <w:tcPr>
            <w:tcW w:w="8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41,333</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37,966</w:t>
            </w: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(4,206)</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06"/>
        </w:trPr>
        <w:tc>
          <w:tcPr>
            <w:tcW w:w="8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37,850</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199</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6"/>
        </w:trPr>
        <w:tc>
          <w:tcPr>
            <w:tcW w:w="850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38,049</w:t>
            </w:r>
          </w:p>
        </w:tc>
        <w:tc>
          <w:tcPr>
            <w:tcW w:w="2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66,904</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60"/>
          </w:cols>
          <w:pgMar w:left="240" w:top="119" w:right="199" w:bottom="1440" w:gutter="0" w:footer="0" w:header="0"/>
        </w:sectPr>
      </w:pPr>
    </w:p>
    <w:bookmarkStart w:id="32" w:name="page33"/>
    <w:bookmarkEnd w:id="32"/>
    <w:p>
      <w:pPr>
        <w:ind w:left="3680"/>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6"/>
          </w:tcPr>
          <w:p>
            <w:pPr>
              <w:jc w:val="right"/>
              <w:ind w:right="122"/>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31"/>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6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5,506</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260" w:type="dxa"/>
            <w:vAlign w:val="bottom"/>
          </w:tcPr>
          <w:p>
            <w:pPr>
              <w:spacing w:after="0"/>
              <w:rPr>
                <w:sz w:val="18"/>
                <w:szCs w:val="18"/>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Loss (income) from discontinued operations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(260)</w:t>
            </w:r>
          </w:p>
        </w:tc>
      </w:tr>
      <w:tr>
        <w:trPr>
          <w:trHeight w:val="213"/>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Gain on formation of OneSubsea</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420"/>
              <w:spacing w:after="0" w:line="213" w:lineRule="exact"/>
              <w:rPr>
                <w:sz w:val="20"/>
                <w:szCs w:val="20"/>
                <w:color w:val="auto"/>
              </w:rPr>
            </w:pPr>
            <w:r>
              <w:rPr>
                <w:rFonts w:ascii="Times New Roman" w:cs="Times New Roman" w:eastAsia="Times New Roman" w:hAnsi="Times New Roman"/>
                <w:sz w:val="17"/>
                <w:szCs w:val="17"/>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80" w:type="dxa"/>
            <w:vAlign w:val="bottom"/>
            <w:shd w:val="clear" w:color="auto" w:fill="CFF0FC"/>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Pension and other postretirement benefits expense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CFF0FC"/>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Pension and other postretirement benefits funding</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(673)</w:t>
            </w: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20" w:type="dxa"/>
            <w:vAlign w:val="bottom"/>
          </w:tcPr>
          <w:p>
            <w:pPr>
              <w:spacing w:after="0"/>
              <w:rPr>
                <w:sz w:val="18"/>
                <w:szCs w:val="18"/>
                <w:color w:val="auto"/>
              </w:rPr>
            </w:pPr>
          </w:p>
        </w:tc>
        <w:tc>
          <w:tcPr>
            <w:tcW w:w="6980" w:type="dxa"/>
            <w:vAlign w:val="bottom"/>
          </w:tcPr>
          <w:p>
            <w:pPr>
              <w:ind w:left="200"/>
              <w:spacing w:after="0" w:line="213" w:lineRule="exact"/>
              <w:rPr>
                <w:sz w:val="20"/>
                <w:szCs w:val="20"/>
                <w:color w:val="auto"/>
              </w:rPr>
            </w:pPr>
            <w:r>
              <w:rPr>
                <w:rFonts w:ascii="Times New Roman" w:cs="Times New Roman" w:eastAsia="Times New Roman" w:hAnsi="Times New Roman"/>
                <w:sz w:val="17"/>
                <w:szCs w:val="17"/>
                <w:color w:val="auto"/>
              </w:rPr>
              <w:t xml:space="preserve">Change in operating assets and liabilities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Increase in receivables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(2,051)</w:t>
            </w:r>
          </w:p>
        </w:tc>
      </w:tr>
      <w:tr>
        <w:trPr>
          <w:trHeight w:val="213"/>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(645)</w:t>
            </w: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(350)</w:t>
            </w:r>
          </w:p>
        </w:tc>
      </w:tr>
      <w:tr>
        <w:trPr>
          <w:trHeight w:val="213"/>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other assets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(28)</w:t>
            </w: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(Decrease) increase in accounts payable and accrued liabilities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shd w:val="clear" w:color="auto" w:fill="CFF0FC"/>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estimated liability for taxes on income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11,195</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80" w:type="dxa"/>
            <w:vAlign w:val="bottom"/>
            <w:tcBorders>
              <w:top w:val="single" w:sz="8" w:color="CFF0FC"/>
            </w:tcBorders>
            <w:shd w:val="clear" w:color="auto" w:fill="CFF0FC"/>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(3,976)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(3,943)</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(4,694)</w:t>
            </w:r>
          </w:p>
        </w:tc>
      </w:tr>
      <w:tr>
        <w:trPr>
          <w:trHeight w:val="213"/>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SPM 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(372)</w:t>
            </w: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(351)</w:t>
            </w:r>
          </w:p>
        </w:tc>
      </w:tr>
      <w:tr>
        <w:trPr>
          <w:trHeight w:val="213"/>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(845)</w:t>
            </w: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(purchase) of investments, net</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(1,228)</w:t>
            </w:r>
          </w:p>
        </w:tc>
      </w:tr>
      <w:tr>
        <w:trPr>
          <w:trHeight w:val="213"/>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(55)</w:t>
            </w:r>
          </w:p>
        </w:tc>
      </w:tr>
      <w:tr>
        <w:trPr>
          <w:trHeight w:val="206"/>
        </w:trPr>
        <w:tc>
          <w:tcPr>
            <w:tcW w:w="20" w:type="dxa"/>
            <w:vAlign w:val="bottom"/>
          </w:tcPr>
          <w:p>
            <w:pPr>
              <w:spacing w:after="0"/>
              <w:rPr>
                <w:sz w:val="17"/>
                <w:szCs w:val="17"/>
                <w:color w:val="auto"/>
              </w:rPr>
            </w:pPr>
          </w:p>
        </w:tc>
        <w:tc>
          <w:tcPr>
            <w:tcW w:w="6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(5,580)</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180" w:type="dxa"/>
            <w:vAlign w:val="bottom"/>
            <w:tcBorders>
              <w:top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r>
      <w:tr>
        <w:trPr>
          <w:trHeight w:val="206"/>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(1,968)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(1,432)</w:t>
            </w:r>
          </w:p>
        </w:tc>
      </w:tr>
      <w:tr>
        <w:trPr>
          <w:trHeight w:val="213"/>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FF0FC"/>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repurchase program</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(972)</w:t>
            </w: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2,289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80" w:type="dxa"/>
            <w:vAlign w:val="bottom"/>
            <w:shd w:val="clear" w:color="auto" w:fill="CFF0FC"/>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(1,817)</w:t>
            </w: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increase in short-term borrowings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shd w:val="clear" w:color="auto" w:fill="CFF0FC"/>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(5,896)</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Borders>
              <w:top w:val="single" w:sz="8" w:color="CFF0FC"/>
            </w:tcBorders>
            <w:shd w:val="clear" w:color="auto" w:fill="CFF0FC"/>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flow provided by (used in) discontinued operations - operating activities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(used in) provided by discontinued operations - investing activities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shd w:val="clear" w:color="auto" w:fill="CFF0FC"/>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 provided by (used in) discontinued operations</w:t>
            </w:r>
          </w:p>
        </w:tc>
        <w:tc>
          <w:tcPr>
            <w:tcW w:w="124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80" w:type="dxa"/>
            <w:vAlign w:val="bottom"/>
            <w:tcBorders>
              <w:bottom w:val="single" w:sz="8" w:color="CFF0FC"/>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before translation effect</w:t>
            </w: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effect on cash</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3,472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80" w:type="dxa"/>
            <w:vAlign w:val="bottom"/>
            <w:shd w:val="clear" w:color="auto" w:fill="CFF0FC"/>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end of year</w:t>
            </w:r>
          </w:p>
        </w:tc>
        <w:tc>
          <w:tcPr>
            <w:tcW w:w="1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 w:lineRule="exact"/>
        <w:rPr>
          <w:sz w:val="20"/>
          <w:szCs w:val="20"/>
          <w:color w:val="auto"/>
        </w:rPr>
      </w:pPr>
    </w:p>
    <w:p>
      <w:pPr>
        <w:ind w:left="520" w:hanging="514"/>
        <w:spacing w:after="0"/>
        <w:tabs>
          <w:tab w:leader="none" w:pos="52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SPM investments.</w:t>
      </w:r>
    </w:p>
    <w:p>
      <w:pPr>
        <w:ind w:left="520" w:hanging="514"/>
        <w:spacing w:after="0" w:line="192" w:lineRule="auto"/>
        <w:tabs>
          <w:tab w:leader="none" w:pos="5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of the effect of business acquisitions and divestitures.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9" w:right="259" w:bottom="1440" w:gutter="0" w:footer="0" w:header="0"/>
        </w:sectPr>
      </w:pPr>
    </w:p>
    <w:bookmarkStart w:id="33" w:name="page34"/>
    <w:bookmarkEnd w:id="3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346"/>
        </w:trPr>
        <w:tc>
          <w:tcPr>
            <w:tcW w:w="3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6"/>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340" w:type="dxa"/>
            <w:vAlign w:val="bottom"/>
            <w:gridSpan w:val="3"/>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6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Issued</w:t>
            </w:r>
          </w:p>
        </w:tc>
        <w:tc>
          <w:tcPr>
            <w:tcW w:w="14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81"/>
              <w:spacing w:after="0" w:line="147" w:lineRule="exact"/>
              <w:rPr>
                <w:sz w:val="20"/>
                <w:szCs w:val="20"/>
                <w:color w:val="auto"/>
              </w:rPr>
            </w:pPr>
            <w:r>
              <w:rPr>
                <w:rFonts w:ascii="Times New Roman" w:cs="Times New Roman" w:eastAsia="Times New Roman" w:hAnsi="Times New Roman"/>
                <w:sz w:val="14"/>
                <w:szCs w:val="14"/>
                <w:b w:val="1"/>
                <w:bCs w:val="1"/>
                <w:color w:val="auto"/>
                <w:w w:val="97"/>
              </w:rPr>
              <w:t>In Treasury</w:t>
            </w:r>
          </w:p>
        </w:tc>
        <w:tc>
          <w:tcPr>
            <w:tcW w:w="3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2"/>
              <w:spacing w:after="0" w:line="14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42"/>
              <w:spacing w:after="0" w:line="147"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1"/>
              <w:spacing w:after="0" w:line="147"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January 1, 2012</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11,639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(5,679)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28,860</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(3,557)</w:t>
            </w:r>
          </w:p>
        </w:tc>
        <w:tc>
          <w:tcPr>
            <w:tcW w:w="3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31,392</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unrealized gain on marketable securities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Pension and other postretirement benefit plans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Shares sold to optionees less shares exchanged</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center"/>
              <w:ind w:left="141"/>
              <w:spacing w:after="0"/>
              <w:rPr>
                <w:sz w:val="20"/>
                <w:szCs w:val="20"/>
                <w:color w:val="auto"/>
              </w:rPr>
            </w:pPr>
            <w:r>
              <w:rPr>
                <w:rFonts w:ascii="Times New Roman" w:cs="Times New Roman" w:eastAsia="Times New Roman" w:hAnsi="Times New Roman"/>
                <w:sz w:val="16"/>
                <w:szCs w:val="16"/>
                <w:color w:val="auto"/>
                <w:w w:val="99"/>
              </w:rPr>
              <w:t>16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repurchase program</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(972  )</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Stock-based compensation cost</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 of CE Franklin</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Dividends declared ($1.10 per share)</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(1,463)</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93"/>
        </w:trPr>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December 31, 2012</w:t>
            </w:r>
          </w:p>
        </w:tc>
        <w:tc>
          <w:tcPr>
            <w:tcW w:w="4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jc w:val="center"/>
              <w:ind w:left="161"/>
              <w:spacing w:after="0"/>
              <w:rPr>
                <w:sz w:val="20"/>
                <w:szCs w:val="20"/>
                <w:color w:val="auto"/>
              </w:rPr>
            </w:pPr>
            <w:r>
              <w:rPr>
                <w:rFonts w:ascii="Times New Roman" w:cs="Times New Roman" w:eastAsia="Times New Roman" w:hAnsi="Times New Roman"/>
                <w:sz w:val="16"/>
                <w:szCs w:val="16"/>
                <w:color w:val="auto"/>
                <w:w w:val="95"/>
              </w:rPr>
              <w:t>11,912</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(6,160)</w:t>
            </w:r>
          </w:p>
        </w:tc>
        <w:tc>
          <w:tcPr>
            <w:tcW w:w="3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32,887</w:t>
            </w: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34,858</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unrealized gain on marketable securities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Pension and other postretirement benefit plans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Shares sold to optionees less shares exchanged</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repurchase program</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(2,596)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Stock-based compensation cost</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declared ($1.25 per share)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(1,653)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2013</w:t>
            </w:r>
          </w:p>
        </w:tc>
        <w:tc>
          <w:tcPr>
            <w:tcW w:w="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color w:val="auto"/>
                <w:w w:val="99"/>
              </w:rPr>
              <w:t>12,192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(8,135)</w:t>
            </w: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37,966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39,635</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5,438</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5,506</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Change in unrealized gain on marketable securities</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Pension and other postretirement benefit plans</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sold to optionees less shares exchanged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Stock repurchase program</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(4,678)</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cost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Dividends declared ($1.60 per share)</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(2,071)</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issued for acquisition</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0"/>
        </w:trPr>
        <w:tc>
          <w:tcPr>
            <w:tcW w:w="3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9"/>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2014</w:t>
            </w:r>
          </w:p>
        </w:tc>
        <w:tc>
          <w:tcPr>
            <w:tcW w:w="4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color w:val="auto"/>
                <w:w w:val="99"/>
              </w:rPr>
              <w:t>12,495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(11,772)</w:t>
            </w:r>
          </w:p>
        </w:tc>
        <w:tc>
          <w:tcPr>
            <w:tcW w:w="3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520"/>
          </w:cols>
          <w:pgMar w:left="240" w:top="119" w:right="1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7"/>
        </w:trPr>
        <w:tc>
          <w:tcPr>
            <w:tcW w:w="7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33"/>
        </w:trPr>
        <w:tc>
          <w:tcPr>
            <w:tcW w:w="708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6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In Treasury</w:t>
            </w:r>
          </w:p>
        </w:tc>
        <w:tc>
          <w:tcPr>
            <w:tcW w:w="22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Borders>
              <w:bottom w:val="single" w:sz="8" w:color="CFF0FC"/>
            </w:tcBorders>
          </w:tcPr>
          <w:p>
            <w:pPr>
              <w:spacing w:after="0"/>
              <w:rPr>
                <w:sz w:val="20"/>
                <w:szCs w:val="20"/>
                <w:color w:val="auto"/>
              </w:rPr>
            </w:pPr>
          </w:p>
        </w:tc>
      </w:tr>
      <w:tr>
        <w:trPr>
          <w:trHeight w:val="23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152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1,434</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FF0FC"/>
          </w:tcPr>
          <w:p>
            <w:pPr>
              <w:spacing w:after="0"/>
              <w:rPr>
                <w:sz w:val="20"/>
                <w:szCs w:val="20"/>
                <w:color w:val="auto"/>
              </w:rPr>
            </w:pP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15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5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repurchase program Stock repurchase program</w:t>
            </w:r>
          </w:p>
        </w:tc>
        <w:tc>
          <w:tcPr>
            <w:tcW w:w="15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06"/>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1260" w:type="dxa"/>
            <w:vAlign w:val="bottom"/>
            <w:tcBorders>
              <w:top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3"/>
              </w:rPr>
              <w:t>1,434</w:t>
            </w:r>
          </w:p>
        </w:tc>
        <w:tc>
          <w:tcPr>
            <w:tcW w:w="26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5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 repurchase program</w:t>
            </w:r>
          </w:p>
        </w:tc>
        <w:tc>
          <w:tcPr>
            <w:tcW w:w="15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0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12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3"/>
              </w:rPr>
              <w:t>1,434</w:t>
            </w:r>
          </w:p>
        </w:tc>
        <w:tc>
          <w:tcPr>
            <w:tcW w:w="26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7"/>
                <w:szCs w:val="17"/>
                <w:color w:val="auto"/>
              </w:rPr>
            </w:pPr>
          </w:p>
        </w:tc>
      </w:tr>
      <w:tr>
        <w:trPr>
          <w:trHeight w:val="213"/>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15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5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for acquisition</w:t>
            </w: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 repurchase program</w:t>
            </w:r>
          </w:p>
        </w:tc>
        <w:tc>
          <w:tcPr>
            <w:tcW w:w="15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0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2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3"/>
              </w:rPr>
              <w:t>1,434</w:t>
            </w:r>
          </w:p>
        </w:tc>
        <w:tc>
          <w:tcPr>
            <w:tcW w:w="2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9"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65" w:lineRule="exact"/>
        <w:rPr>
          <w:sz w:val="20"/>
          <w:szCs w:val="20"/>
          <w:color w:val="auto"/>
        </w:rPr>
      </w:pPr>
    </w:p>
    <w:p>
      <w:pPr>
        <w:ind w:left="180" w:hanging="174"/>
        <w:spacing w:after="0"/>
        <w:tabs>
          <w:tab w:leader="none" w:pos="1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Description</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Schlumberger Limited (Schlumberger N.V., incorporated in Curaçao) and its consolidated subsidiaries (collectively, “Schlumberger”) comprise the world’s leading supplier of technology, integrated project management and information solutions to the international oil and gas exploration and production industry.</w:t>
      </w:r>
    </w:p>
    <w:p>
      <w:pPr>
        <w:spacing w:after="0" w:line="295" w:lineRule="exact"/>
        <w:rPr>
          <w:sz w:val="20"/>
          <w:szCs w:val="20"/>
          <w:color w:val="auto"/>
        </w:rPr>
      </w:pPr>
    </w:p>
    <w:p>
      <w:pPr>
        <w:ind w:left="180" w:hanging="174"/>
        <w:spacing w:after="0"/>
        <w:tabs>
          <w:tab w:leader="none" w:pos="1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Accounting Policies</w:t>
      </w:r>
    </w:p>
    <w:p>
      <w:pPr>
        <w:spacing w:after="0" w:line="1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of Schlumberger have been prepared in accordance with accounting principles generally accepted in the United States of America.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The accompanying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include the accounts of Schlumberger, its wholly-owned subsidiaries, and other subsidiaries over which it exercises a controlling financial interest. All significant intercompany transactions and balances have been eliminated.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disclosure of contingent liabilities at the date of the financial statements and the reported amounts of revenue and expenses during the reporting period. On an ongoing basis, Schlumberger evaluates its estimates, including those related to collectibility of accounts receivable; recoverability of fixed assets, goodwill, intangible assets, Schlumberger Production Management investments and investments in affiliates; income taxes; multiclient seismic data; contingencies and actuarial assumptions for employee benefit plans. Schlumberger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recognizes revenue based upon purchase orders, contracts or other persuasive evidence of an arrangement with the customer that include fixed or determinable prices provided that collectibility is reasonably assured. Revenue is recognized for services when they are rendered. Revenue is recognized for products upon delivery and when the customer assumes the risks and rewards of ownership.</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from seismic contract services performed on a dayrate basis is recognized as the service is performed. Revenue from other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from sales of completed multiclient data surveys is recognized upon obtaining a signed licensing agreement and providing customers with access to such data.</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Revenue is occasionally generated from contractual arrangements that include multiple deliverables. Revenue from these arrangements is recognized as each item is delivered based on their relative fair value, provided that the delivered items have stand-alone value to the customer.</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derived from the sale of licenses of Schlumberger software may include installation, maintenance, consulting and training services. 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Non-United States Currencies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functional currency of Schlumberger is primarily the US dollar. Assets and liabilities recorded in functional currencies other than US dollars are translated at period-end exchange rates. The resulting adjustments are charged or credited directly to the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section of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Revenue and expenses are translated at the weighted-average exchange rates for the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9" w:right="239" w:bottom="1440" w:gutter="0" w:footer="0" w:header="0"/>
        </w:sectPr>
      </w:pPr>
    </w:p>
    <w:bookmarkStart w:id="36" w:name="page37"/>
    <w:bookmarkEnd w:id="36"/>
    <w:p>
      <w:pPr>
        <w:jc w:val="both"/>
        <w:spacing w:after="0" w:line="275" w:lineRule="auto"/>
        <w:rPr>
          <w:sz w:val="20"/>
          <w:szCs w:val="20"/>
          <w:color w:val="auto"/>
        </w:rPr>
      </w:pPr>
      <w:r>
        <w:rPr>
          <w:rFonts w:ascii="Times New Roman" w:cs="Times New Roman" w:eastAsia="Times New Roman" w:hAnsi="Times New Roman"/>
          <w:sz w:val="18"/>
          <w:szCs w:val="18"/>
          <w:color w:val="auto"/>
        </w:rPr>
        <w:t>Realized and unrealized transaction gains and losses are included in income in the period in which they occur. Transaction losses of $67 million, $24 million and $37 million, net of hedging activities, were recognized in 2014, 2013 and 2012, respectively.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and Fixed Income Investments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Consolidated Balance Sheet</w:t>
      </w:r>
      <w:r>
        <w:rPr>
          <w:rFonts w:ascii="Times New Roman" w:cs="Times New Roman" w:eastAsia="Times New Roman" w:hAnsi="Times New Roman"/>
          <w:sz w:val="17"/>
          <w:szCs w:val="17"/>
          <w:color w:val="auto"/>
        </w:rPr>
        <w:t xml:space="preserve"> reflects the Schlumberger investment portfolio separated between current and long term, based on maturity. Both </w:t>
      </w:r>
      <w:r>
        <w:rPr>
          <w:rFonts w:ascii="Times New Roman" w:cs="Times New Roman" w:eastAsia="Times New Roman" w:hAnsi="Times New Roman"/>
          <w:sz w:val="17"/>
          <w:szCs w:val="17"/>
          <w:i w:val="1"/>
          <w:iCs w:val="1"/>
          <w:color w:val="auto"/>
        </w:rPr>
        <w:t>Short-term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investments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Fixed Income Investments, held to maturity </w:t>
      </w:r>
      <w:r>
        <w:rPr>
          <w:rFonts w:ascii="Times New Roman" w:cs="Times New Roman" w:eastAsia="Times New Roman" w:hAnsi="Times New Roman"/>
          <w:sz w:val="17"/>
          <w:szCs w:val="17"/>
          <w:color w:val="auto"/>
        </w:rPr>
        <w:t>are comprised primarily of money market funds, time deposits, certificates of deposit, commercial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paper, bonds and notes, substantially all of which are denominated in US dollars. Under normal circumstances Schlumberger intends to hold such investments until maturity, with the exception of $194 million of investments at December 31, 2013 that are considered trading. Short-term investments designated as trading are stated at fair value, which is estimated using quoted market prices for those or similar investments. All other investments are stated at cost plus accrued interest, which approximates market. The unrealized gains/losses on investments designated as trading were not significant at December 31, 2013.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the </w:t>
      </w:r>
      <w:r>
        <w:rPr>
          <w:rFonts w:ascii="Times New Roman" w:cs="Times New Roman" w:eastAsia="Times New Roman" w:hAnsi="Times New Roman"/>
          <w:sz w:val="18"/>
          <w:szCs w:val="18"/>
          <w:i w:val="1"/>
          <w:iCs w:val="1"/>
          <w:color w:val="auto"/>
        </w:rPr>
        <w:t>Consolidated Statement of Cash Flows</w:t>
      </w:r>
      <w:r>
        <w:rPr>
          <w:rFonts w:ascii="Times New Roman" w:cs="Times New Roman" w:eastAsia="Times New Roman" w:hAnsi="Times New Roman"/>
          <w:sz w:val="18"/>
          <w:szCs w:val="18"/>
          <w:color w:val="auto"/>
        </w:rPr>
        <w:t xml:space="preserve">, Schlumberger does not consider </w:t>
      </w: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xml:space="preserve"> to be cash equivalents.</w:t>
      </w:r>
    </w:p>
    <w:p>
      <w:pPr>
        <w:spacing w:after="0" w:line="21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Fixed Income Investments, held to maturity </w:t>
      </w:r>
      <w:r>
        <w:rPr>
          <w:rFonts w:ascii="Times New Roman" w:cs="Times New Roman" w:eastAsia="Times New Roman" w:hAnsi="Times New Roman"/>
          <w:sz w:val="18"/>
          <w:szCs w:val="18"/>
          <w:color w:val="auto"/>
        </w:rPr>
        <w:t>at December 31, 2014 of $442 million mature as follows: $49 million in 2016, $91 million in 2017, $298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$3 million in 2019 and $1 million in 2020.</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are stated at average cost or at market, whichever is lower. Costs included in</w:t>
      </w:r>
      <w:r>
        <w:rPr>
          <w:rFonts w:ascii="Times New Roman" w:cs="Times New Roman" w:eastAsia="Times New Roman" w:hAnsi="Times New Roman"/>
          <w:sz w:val="18"/>
          <w:szCs w:val="18"/>
          <w:i w:val="1"/>
          <w:iCs w:val="1"/>
          <w:color w:val="auto"/>
        </w:rPr>
        <w:t xml:space="preserve"> Inventories </w:t>
      </w:r>
      <w:r>
        <w:rPr>
          <w:rFonts w:ascii="Times New Roman" w:cs="Times New Roman" w:eastAsia="Times New Roman" w:hAnsi="Times New Roman"/>
          <w:sz w:val="18"/>
          <w:szCs w:val="18"/>
          <w:color w:val="auto"/>
        </w:rPr>
        <w:t>consist of materials, direct labor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overhead.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Affiliated Companies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xml:space="preserve">. Investments in privately held companies in which Schlumberger does not have the ability to exercise significant influence are accounted for using the cost method. Investments in publicly traded companies in which Schlumberger does not have significant influence are accounted for as available-for-sale marketable securities. These marketable securities are reported at fair value, based on quoted market prices, with unrealized gains and losses reported as a component of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loss</w:t>
      </w:r>
      <w:r>
        <w:rPr>
          <w:rFonts w:ascii="Times New Roman" w:cs="Times New Roman" w:eastAsia="Times New Roman" w:hAnsi="Times New Roman"/>
          <w:sz w:val="18"/>
          <w:szCs w:val="18"/>
          <w:color w:val="auto"/>
        </w:rPr>
        <w:t>. The fair value of these marketable securities was $91 million and $257 million at December 31, 2014 and 2013, respectively. The cost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these marketable securities was $81 million at both December 31, 2014 and 2013.</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Equity and cost method investments as well as investments in publicly traded companies are classified as </w:t>
      </w:r>
      <w:r>
        <w:rPr>
          <w:rFonts w:ascii="Times New Roman" w:cs="Times New Roman" w:eastAsia="Times New Roman" w:hAnsi="Times New Roman"/>
          <w:sz w:val="18"/>
          <w:szCs w:val="18"/>
          <w:i w:val="1"/>
          <w:iCs w:val="1"/>
          <w:color w:val="auto"/>
        </w:rPr>
        <w:t>Investments in Affiliated Companies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 and Depreciation</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balance sheet and the net amount, less proceeds from disposal, is charged or credited to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Multiclient Seismic Data</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multiclient library consists of completed and in-process seismic surveys that are licensed on a nonexclusive basis. Schlumberger capitalizes costs directly incurred in acquiring and processing the multiclient seismic data. Such costs are charged to </w:t>
      </w: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 amortized value.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 part of Schlumberger, would not be sufficient to recover the carrying value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2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surveys. Significant adverse changes in Schlumberger’s estimated future cash flows could result in impairment charges in a future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Schlumberger Production Management</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Schlumberger Production Management (SPM) projects are focused on developing and co-managing the production of Schlumberger customers’ assets under long-term agreements. Schlumberger will invest its own services,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compensated based upon cash flow generated or on a fee-per-barrel basis for any incremental production Schlumberger helps deliver above a mutually agreed baseline.</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Schlumberger capitalizes its cash investments in a project as well as the direct costs associated with providing services or products for which Schlumberger will be compensated if incremental production is achieved. Revenue is recognized as the incremental production is achieved. These capitalized investments are amortized to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as incremental oil production is achieved based on the units of production method, whereby each incremental unit produced is assigned a pro-rata portion of the unamortized costs based on estimated total incremental production, resulting in a matching of revenue with the applicable costs.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unamortized portion of Schlumberger’s investments in SPM projects was approximately $1.411 billion and $1.154 billion at December 31, 2014 and 2013, respectively. These amounts are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Schlumberger’s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In 2014, Schlumberger revised its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to present certain cash outflows relating to SPM activities as a separate line item within investing activities, referred to as</w:t>
      </w:r>
      <w:r>
        <w:rPr>
          <w:rFonts w:ascii="Times New Roman" w:cs="Times New Roman" w:eastAsia="Times New Roman" w:hAnsi="Times New Roman"/>
          <w:sz w:val="18"/>
          <w:szCs w:val="18"/>
          <w:i w:val="1"/>
          <w:iCs w:val="1"/>
          <w:color w:val="auto"/>
        </w:rPr>
        <w:t xml:space="preserve"> SPM investments</w:t>
      </w:r>
      <w:r>
        <w:rPr>
          <w:rFonts w:ascii="Times New Roman" w:cs="Times New Roman" w:eastAsia="Times New Roman" w:hAnsi="Times New Roman"/>
          <w:sz w:val="18"/>
          <w:szCs w:val="18"/>
          <w:color w:val="auto"/>
        </w:rPr>
        <w:t>. Schlumberger historically presented such cash outflows as an operating activity. This change was not material to prior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records the excess of purchase price over the fair value of the tangible and identifiable intangible assets acquired and liabilities assumed as goodwill. The goodwill relating to each of Schlumberger’s reporting units is tested for impairment annually as well as when an event, or change in circumstances, indicates an impairment may have occurred.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then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18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has the option to bypass the qualitative assessment for any reporting unit in any period and proceed directly to performing the first step of the two-step goodwill impairment test.</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performing the impairment test for goodwill, Schlumberger’s reporting units are its three Groups: Reservoir Characterization, Drilling and Production. Schlumberger elected to perform the qualitative assessment described above for purposes of its annual goodwill impairment test in 2014. Based on this assessment, Schlumberger concluded that it was more likely than not that the fair value of each of its reporting units was greater than its carrying amount. Accordingly, no further testing was required.</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Long-lived assets, including fixed assets, intangible assets and investments in SPM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technology/technical know-how and tradenames acquired in business combinations. Customer relationships are generally amortized over periods ranging from 15 to 28 years, acquired technology/technical know-how are generally amortized over periods ranging from 10 to 18 years, and tradenames are generally amortized over periods ranging from 15 to 30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34"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Schlumberger computes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8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Schlumberger generally does not provide income taxes relating to undistributed earnings, as the earnings either would not be taxable when remitted or are considered to be indefinitely reinvested.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Accounts receivable are spread over many countries and customers. Schlumberger maintains an allowance for uncollectible accounts receivable based on expected collectibility and performs ongoing credit evaluations of its customers’ financial condition. By using derivative financial instruments to hedge certain exposures,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Engineering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research and engineering expenditures are expensed as incurred.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earnings per share of Schlumberger from continuing operations is calculated by dividing income from continuing operations attributable to Schlumberger by the weighted average number of common shares outstanding during the year. Diluted earnings per share is calculated by dividing income from continuing operations attributable to Schlumberger by the sum of (i) unvested restricted stock units and (ii) the weighted average number of common shares outstanding assuming dilution. The weighted average number of common shares outstanding assuming dilution assumes that all in-the-money stock options are exercised at the beginning of the period and the related proceeds are used by Schlumberger to purchase shares of its common stock at the average market price for the period.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3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following is a reconciliation from basic to diluted earnings per share from continuing operations of Schlumberger for each of the last three years: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Earnings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Schlumberger</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Per Share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Income from</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from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Continuing</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Continuing</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Operations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Operations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5,643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1,295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60" w:type="dxa"/>
            <w:vAlign w:val="bottom"/>
            <w:tcBorders>
              <w:top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Assumed exercise of stock options</w:t>
            </w:r>
          </w:p>
        </w:tc>
        <w:tc>
          <w:tcPr>
            <w:tcW w:w="120" w:type="dxa"/>
            <w:vAlign w:val="bottom"/>
            <w:tcBorders>
              <w:top w:val="single" w:sz="8" w:color="CFF0FC"/>
            </w:tcBorders>
            <w:shd w:val="clear" w:color="auto" w:fill="CFF0FC"/>
          </w:tcPr>
          <w:p>
            <w:pPr>
              <w:spacing w:after="0"/>
              <w:rPr>
                <w:sz w:val="16"/>
                <w:szCs w:val="16"/>
                <w:color w:val="auto"/>
              </w:rPr>
            </w:pPr>
          </w:p>
        </w:tc>
        <w:tc>
          <w:tcPr>
            <w:tcW w:w="1380" w:type="dxa"/>
            <w:vAlign w:val="bottom"/>
            <w:tcBorders>
              <w:top w:val="single" w:sz="8" w:color="CFF0FC"/>
            </w:tcBorders>
            <w:gridSpan w:val="2"/>
            <w:shd w:val="clear" w:color="auto" w:fill="CFF0FC"/>
          </w:tcPr>
          <w:p>
            <w:pPr>
              <w:ind w:left="8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FF0FC"/>
            </w:tcBorders>
            <w:gridSpan w:val="2"/>
            <w:shd w:val="clear" w:color="auto" w:fill="CFF0FC"/>
          </w:tcPr>
          <w:p>
            <w:pPr>
              <w:jc w:val="right"/>
              <w:ind w:right="120"/>
              <w:spacing w:after="0" w:line="193" w:lineRule="exact"/>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restricted stock</w:t>
            </w:r>
          </w:p>
        </w:tc>
        <w:tc>
          <w:tcPr>
            <w:tcW w:w="120" w:type="dxa"/>
            <w:vAlign w:val="bottom"/>
          </w:tcPr>
          <w:p>
            <w:pPr>
              <w:spacing w:after="0"/>
              <w:rPr>
                <w:sz w:val="18"/>
                <w:szCs w:val="18"/>
                <w:color w:val="auto"/>
              </w:rPr>
            </w:pPr>
          </w:p>
        </w:tc>
        <w:tc>
          <w:tcPr>
            <w:tcW w:w="13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w w:val="93"/>
              </w:rPr>
              <w:t>5,643</w:t>
            </w: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6,801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60" w:type="dxa"/>
            <w:vAlign w:val="bottom"/>
            <w:tcBorders>
              <w:top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6"/>
                <w:szCs w:val="16"/>
                <w:color w:val="auto"/>
              </w:rPr>
            </w:pPr>
          </w:p>
        </w:tc>
        <w:tc>
          <w:tcPr>
            <w:tcW w:w="1380" w:type="dxa"/>
            <w:vAlign w:val="bottom"/>
            <w:tcBorders>
              <w:top w:val="single" w:sz="8" w:color="CFF0FC"/>
            </w:tcBorders>
            <w:gridSpan w:val="2"/>
            <w:shd w:val="clear" w:color="auto" w:fill="CFF0FC"/>
          </w:tcPr>
          <w:p>
            <w:pPr>
              <w:ind w:left="8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FF0FC"/>
            </w:tcBorders>
            <w:gridSpan w:val="2"/>
            <w:shd w:val="clear" w:color="auto" w:fill="CFF0FC"/>
          </w:tcPr>
          <w:p>
            <w:pPr>
              <w:jc w:val="right"/>
              <w:ind w:right="120"/>
              <w:spacing w:after="0" w:line="193"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0" w:type="dxa"/>
            <w:vAlign w:val="bottom"/>
          </w:tcPr>
          <w:p>
            <w:pPr>
              <w:spacing w:after="0"/>
              <w:rPr>
                <w:sz w:val="18"/>
                <w:szCs w:val="18"/>
                <w:color w:val="auto"/>
              </w:rPr>
            </w:pPr>
          </w:p>
        </w:tc>
        <w:tc>
          <w:tcPr>
            <w:tcW w:w="13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3"/>
              </w:rPr>
              <w:t>6,801</w:t>
            </w: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5,230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60" w:type="dxa"/>
            <w:vAlign w:val="bottom"/>
            <w:tcBorders>
              <w:top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6"/>
                <w:szCs w:val="16"/>
                <w:color w:val="auto"/>
              </w:rPr>
            </w:pPr>
          </w:p>
        </w:tc>
        <w:tc>
          <w:tcPr>
            <w:tcW w:w="1380" w:type="dxa"/>
            <w:vAlign w:val="bottom"/>
            <w:tcBorders>
              <w:top w:val="single" w:sz="8" w:color="CFF0FC"/>
            </w:tcBorders>
            <w:gridSpan w:val="2"/>
            <w:shd w:val="clear" w:color="auto" w:fill="CFF0FC"/>
          </w:tcPr>
          <w:p>
            <w:pPr>
              <w:ind w:left="8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FF0FC"/>
            </w:tcBorders>
            <w:gridSpan w:val="2"/>
            <w:shd w:val="clear" w:color="auto" w:fill="CFF0FC"/>
          </w:tcPr>
          <w:p>
            <w:pPr>
              <w:jc w:val="right"/>
              <w:ind w:right="120"/>
              <w:spacing w:after="0" w:line="193"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0" w:type="dxa"/>
            <w:vAlign w:val="bottom"/>
          </w:tcPr>
          <w:p>
            <w:pPr>
              <w:spacing w:after="0"/>
              <w:rPr>
                <w:sz w:val="18"/>
                <w:szCs w:val="18"/>
                <w:color w:val="auto"/>
              </w:rPr>
            </w:pPr>
          </w:p>
        </w:tc>
        <w:tc>
          <w:tcPr>
            <w:tcW w:w="13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3"/>
              </w:rPr>
              <w:t>5,230</w:t>
            </w: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 stock options to purchase 5 million, 12 million and 21 million shares of common stock at December 31, 2014, 2013 and 2012, respectively, were outstanding but not included in the computation of diluted earnings per share because the option exercise price was greater than the average market price of the common stock, and therefore the effect on diluted earnings per share would have been anti-dilutive.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This ASU amends the existing accounting standards for revenue recognition and is based on the principle that revenue should be recognized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depict the transfer of goods or services to a customer at an amount that reflects the consideration a company expects to receive in exchange for those goods or services. Schlumberger is required to adopt this ASU on January 1, 2017 and does not expect this ASU to have a material impact on its consolidated financial statements.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April 2014, the FASB issued ASU 2014-08, </w:t>
      </w:r>
      <w:r>
        <w:rPr>
          <w:rFonts w:ascii="Times New Roman" w:cs="Times New Roman" w:eastAsia="Times New Roman" w:hAnsi="Times New Roman"/>
          <w:sz w:val="18"/>
          <w:szCs w:val="18"/>
          <w:i w:val="1"/>
          <w:iCs w:val="1"/>
          <w:color w:val="auto"/>
        </w:rPr>
        <w:t>Presentation of Financial Statements and Property, Plant, and Equipment – Reporting Discontinued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Disclosures of Disposals of Components of an Entity, </w:t>
      </w:r>
      <w:r>
        <w:rPr>
          <w:rFonts w:ascii="Times New Roman" w:cs="Times New Roman" w:eastAsia="Times New Roman" w:hAnsi="Times New Roman"/>
          <w:sz w:val="18"/>
          <w:szCs w:val="18"/>
          <w:color w:val="auto"/>
        </w:rPr>
        <w:t>which amends the definition of a discontinued operation by raising the threshold for a disposal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a discontinued operation. The threshold under the ASU is defined as a strategic shift that has, or will have, a major effect on an entity’s operations and financial results such as a disposal of a major geographical area or a major line of business. Schlumberger adopted this ASU, on a prospective basis, effective January 1, 2015.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hanging="174"/>
        <w:spacing w:after="0"/>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recorded the following charges and credits in continuing operations during 2014, 2013 and 2012: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w:t>
      </w:r>
    </w:p>
    <w:p>
      <w:pPr>
        <w:spacing w:after="0" w:line="114" w:lineRule="exact"/>
        <w:rPr>
          <w:sz w:val="20"/>
          <w:szCs w:val="20"/>
          <w:color w:val="auto"/>
        </w:rPr>
      </w:pPr>
    </w:p>
    <w:p>
      <w:pPr>
        <w:jc w:val="both"/>
        <w:ind w:left="760" w:hanging="374"/>
        <w:spacing w:after="0" w:line="25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expectation of lower exploration spending as a result of lower commodity prices, during the fourth quarter of 2014, Schlumberger decided to restructure its WesternGeco marine seismic fleet in order to lower its operating costs. Three previous-generation acquisition vessels with lower towing capacity and higher operating costs will be converted to source vessels, allowing for the termination of two third-party source vessel leases and the retirement of two owned source vessels.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4" w:right="239" w:bottom="1440" w:gutter="0" w:footer="0" w:header="0"/>
        </w:sectPr>
      </w:pPr>
    </w:p>
    <w:bookmarkStart w:id="40" w:name="page41"/>
    <w:bookmarkEnd w:id="40"/>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a result of this restructuring, Schlumberger performed an impairment test and determined that the carrying values of certain of its vessels exceeded their respective fair values by $590 million. This impairment charge relates to the six Explorer-class vessels which were acquired at a premium in the 2007 purchase of Eastern Echo Holdings Plc. The fair value of these vessels was estimated primarily based on the replacement cost method, which was largely based on unobservable inputs that required significant judgments.</w:t>
      </w:r>
    </w:p>
    <w:p>
      <w:pPr>
        <w:spacing w:after="0" w:line="7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 addition to the $590 million impairment charge relating to these six vessels, Schlumberger also recorded an $85 million impairment charge relating to a seismic intangible asset and $131 million of other charges primarily related to lease termination costs and other seismic assets as a result of the restructuring. Schlumberger did not incur any significant cash expenditures as a result of these charges.</w:t>
      </w:r>
    </w:p>
    <w:p>
      <w:pPr>
        <w:spacing w:after="0" w:line="70" w:lineRule="exact"/>
        <w:rPr>
          <w:sz w:val="20"/>
          <w:szCs w:val="20"/>
          <w:color w:val="auto"/>
        </w:rPr>
      </w:pPr>
    </w:p>
    <w:p>
      <w:pPr>
        <w:jc w:val="both"/>
        <w:ind w:left="760" w:hanging="374"/>
        <w:spacing w:after="0" w:line="276"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2014, Venezuela enacted certain changes to its foreign exchange system such that, in addition to the official rate of 6.3 Venezuelan Bolivares fuertes per US dollar, there are currently two other legal exchange rates that may be obtained via different exchange rate mechanisms. These changes included the expansion of what is known as the SICAD I auction rate and the introduction of the SICAD II auction process. The SICAD I and SICAD II exchange rates were approximately 11 and 50 Venezuelan Bolivares fuertes to the US dollar, respectively, at December 31, 2014.</w:t>
      </w:r>
    </w:p>
    <w:p>
      <w:pPr>
        <w:spacing w:after="0" w:line="58" w:lineRule="exact"/>
        <w:rPr>
          <w:rFonts w:ascii="Times New Roman" w:cs="Times New Roman" w:eastAsia="Times New Roman" w:hAnsi="Times New Roman"/>
          <w:sz w:val="17"/>
          <w:szCs w:val="17"/>
          <w:color w:val="auto"/>
        </w:rPr>
      </w:pPr>
    </w:p>
    <w:p>
      <w:pPr>
        <w:ind w:left="760" w:right="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functional currency of Schlumberger’s operations in Venezuela is the US dollar, a portion of the transactions are denominated in local currency. Schlumberger has historically applied the official exchange rate to remeasure local currency transactions and balances into US dollars.</w:t>
      </w:r>
    </w:p>
    <w:p>
      <w:pPr>
        <w:spacing w:after="0" w:line="33" w:lineRule="exact"/>
        <w:rPr>
          <w:rFonts w:ascii="Times New Roman" w:cs="Times New Roman" w:eastAsia="Times New Roman" w:hAnsi="Times New Roman"/>
          <w:sz w:val="17"/>
          <w:szCs w:val="17"/>
          <w:color w:val="auto"/>
        </w:rPr>
      </w:pPr>
    </w:p>
    <w:p>
      <w:pPr>
        <w:jc w:val="both"/>
        <w:ind w:left="7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Effective December 31, 2014, Schlumberger concluded that it was appropriate to apply the SICAD II exchange rate as it now believes that this rate best represents the economics of Schlumberger’s business activity in Venezuela. As a result, Schlumberger recorded a $472 million devaluation charge during the fourth quarter of 2014.</w:t>
      </w:r>
    </w:p>
    <w:p>
      <w:pPr>
        <w:spacing w:after="0" w:line="69" w:lineRule="exact"/>
        <w:rPr>
          <w:rFonts w:ascii="Times New Roman" w:cs="Times New Roman" w:eastAsia="Times New Roman" w:hAnsi="Times New Roman"/>
          <w:sz w:val="17"/>
          <w:szCs w:val="17"/>
          <w:color w:val="auto"/>
        </w:rPr>
      </w:pPr>
    </w:p>
    <w:p>
      <w:pPr>
        <w:jc w:val="both"/>
        <w:ind w:left="7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Going forward, this change will result in a reduction in the US dollar reported amount of local currency denominated revenues, expenses and, consequently, income before taxes and net income. For example, if Schlumberger had applied an exchange rate of 50 Venezuelan Bolivares fuertes to the US dollar throughout 2014, it would have reduced Schlumberger earnings by approximately $0.08 per share.</w:t>
      </w:r>
    </w:p>
    <w:p>
      <w:pPr>
        <w:spacing w:after="0" w:line="69" w:lineRule="exact"/>
        <w:rPr>
          <w:rFonts w:ascii="Times New Roman" w:cs="Times New Roman" w:eastAsia="Times New Roman" w:hAnsi="Times New Roman"/>
          <w:sz w:val="17"/>
          <w:szCs w:val="17"/>
          <w:color w:val="auto"/>
        </w:rPr>
      </w:pPr>
    </w:p>
    <w:p>
      <w:pPr>
        <w:jc w:val="both"/>
        <w:ind w:left="760" w:right="20" w:hanging="374"/>
        <w:spacing w:after="0" w:line="25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lower commodity pricing and anticipated lower exploration and production spending in 2015, Schlumberger decided during the fourth quarter of 2014 to reduce its overall headcount primarily to better align with anticipated activity levels for 2015. As a result of these reductions, Schlumberger recorded a charge of $296 million in the fourth quarter of 2014. Depending on how the market situation evolves, further actions may be necessary, which could result in additional charges in future periods.</w:t>
      </w:r>
    </w:p>
    <w:p>
      <w:pPr>
        <w:spacing w:after="0" w:line="74" w:lineRule="exact"/>
        <w:rPr>
          <w:rFonts w:ascii="Times New Roman" w:cs="Times New Roman" w:eastAsia="Times New Roman" w:hAnsi="Times New Roman"/>
          <w:sz w:val="18"/>
          <w:szCs w:val="18"/>
          <w:color w:val="auto"/>
        </w:rPr>
      </w:pPr>
    </w:p>
    <w:p>
      <w:pPr>
        <w:jc w:val="both"/>
        <w:ind w:left="760" w:hanging="374"/>
        <w:spacing w:after="0" w:line="25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2014, Schlumberger determined that, primarily as a result of the recent decline in commodity prices, the carrying value of its investment in an SPM development project in the Eagle Ford Shale was in excess of its fair value. Accordingly, Schlumberger recorded a $199 million impairment charge. The fair value of this investment was estimated based on the projected present value of future cash flows, which included unobservable inputs that required significant judgments.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these charges: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313"/>
        </w:trPr>
        <w:tc>
          <w:tcPr>
            <w:tcW w:w="48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Pretax</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Tax</w:t>
            </w:r>
          </w:p>
        </w:tc>
        <w:tc>
          <w:tcPr>
            <w:tcW w:w="2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r>
      <w:tr>
        <w:trPr>
          <w:trHeight w:val="23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WesternGeco restructuring</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806</w:t>
            </w:r>
          </w:p>
        </w:tc>
        <w:tc>
          <w:tcPr>
            <w:tcW w:w="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FF0FC"/>
          </w:tcPr>
          <w:p>
            <w:pPr>
              <w:spacing w:after="0"/>
              <w:rPr>
                <w:sz w:val="20"/>
                <w:szCs w:val="20"/>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1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13"/>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Impairment of SPM project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FF0FC"/>
            </w:tcBorders>
          </w:tcPr>
          <w:p>
            <w:pPr>
              <w:spacing w:after="0"/>
              <w:rPr>
                <w:sz w:val="18"/>
                <w:szCs w:val="18"/>
                <w:color w:val="auto"/>
              </w:rPr>
            </w:pPr>
          </w:p>
        </w:tc>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06"/>
        </w:trPr>
        <w:tc>
          <w:tcPr>
            <w:tcW w:w="48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bottom w:val="single" w:sz="8" w:color="CFF0FC"/>
            </w:tcBorders>
            <w:shd w:val="clear" w:color="auto" w:fill="CFF0FC"/>
          </w:tcPr>
          <w:p>
            <w:pPr>
              <w:spacing w:after="0"/>
              <w:rPr>
                <w:sz w:val="17"/>
                <w:szCs w:val="17"/>
                <w:color w:val="auto"/>
              </w:rPr>
            </w:pPr>
          </w:p>
        </w:tc>
        <w:tc>
          <w:tcPr>
            <w:tcW w:w="3200" w:type="dxa"/>
            <w:vAlign w:val="bottom"/>
            <w:tcBorders>
              <w:bottom w:val="single" w:sz="8" w:color="CFF0FC"/>
            </w:tcBorders>
            <w:shd w:val="clear" w:color="auto" w:fill="CFF0FC"/>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w:t>
      </w:r>
    </w:p>
    <w:p>
      <w:pPr>
        <w:spacing w:after="0" w:line="114" w:lineRule="exact"/>
        <w:rPr>
          <w:sz w:val="20"/>
          <w:szCs w:val="20"/>
          <w:color w:val="auto"/>
        </w:rPr>
      </w:pPr>
    </w:p>
    <w:p>
      <w:pPr>
        <w:ind w:left="1040" w:right="20" w:hanging="368"/>
        <w:spacing w:after="0" w:line="238" w:lineRule="auto"/>
        <w:tabs>
          <w:tab w:leader="none" w:pos="10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During the fourth quarter, Schlumberger recorded a $152 million provision relating to accounts receivable from a client in Brazil that filed for bankruptcy.</w:t>
      </w:r>
    </w:p>
    <w:p>
      <w:pPr>
        <w:spacing w:after="0" w:line="87" w:lineRule="exact"/>
        <w:rPr>
          <w:sz w:val="20"/>
          <w:szCs w:val="20"/>
          <w:color w:val="auto"/>
        </w:rPr>
      </w:pPr>
    </w:p>
    <w:p>
      <w:pPr>
        <w:jc w:val="both"/>
        <w:ind w:left="1020" w:hanging="366"/>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Schlumberger recorded a $1.028 billion gain as a result of the deconsolidation of its subsea business in connection with the formation of the OneSubsea joint venture with Cameron International Corporation (“Cameron”). Refer to Note 4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28" w:right="239" w:bottom="1440" w:gutter="0" w:footer="0" w:header="0"/>
        </w:sectPr>
      </w:pPr>
    </w:p>
    <w:bookmarkStart w:id="41" w:name="page42"/>
    <w:bookmarkEnd w:id="41"/>
    <w:p>
      <w:pPr>
        <w:ind w:left="1020" w:right="20" w:hanging="366"/>
        <w:spacing w:after="0" w:line="27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Schlumberger recorded a $222 million impairment charge relating to an investment in a company involved in developing drilling-related technology and a $142 million impairment charge relating to an investment in a contract drilling business.</w:t>
      </w:r>
    </w:p>
    <w:p>
      <w:pPr>
        <w:spacing w:after="0" w:line="57" w:lineRule="exact"/>
        <w:rPr>
          <w:rFonts w:ascii="Times New Roman" w:cs="Times New Roman" w:eastAsia="Times New Roman" w:hAnsi="Times New Roman"/>
          <w:sz w:val="18"/>
          <w:szCs w:val="18"/>
          <w:color w:val="auto"/>
        </w:rPr>
      </w:pPr>
    </w:p>
    <w:p>
      <w:pPr>
        <w:ind w:left="1020" w:hanging="366"/>
        <w:spacing w:after="0" w:line="27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2013, Venezuela’s currency was devalued from the prior exchange rate of 4.3 Bolivar Fuertes per US dollar to 6.3 Bolivar fuertes per US dollar. As a result, Schlumberger recorded a $92 million devaluation charge during the first quarter of 2013.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these charges and credits: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313"/>
        </w:trPr>
        <w:tc>
          <w:tcPr>
            <w:tcW w:w="48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Pretax</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Tax</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r>
      <w:tr>
        <w:trPr>
          <w:trHeight w:val="23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formation of OneSubsea joint venture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(1,028)</w:t>
            </w:r>
          </w:p>
        </w:tc>
        <w:tc>
          <w:tcPr>
            <w:tcW w:w="760" w:type="dxa"/>
            <w:vAlign w:val="bottom"/>
            <w:gridSpan w:val="2"/>
            <w:shd w:val="clear" w:color="auto" w:fill="CFF0FC"/>
          </w:tcPr>
          <w:p>
            <w:pPr>
              <w:jc w:val="right"/>
              <w:ind w:right="4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FF0FC"/>
          </w:tcPr>
          <w:p>
            <w:pPr>
              <w:spacing w:after="0"/>
              <w:rPr>
                <w:sz w:val="20"/>
                <w:szCs w:val="20"/>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Gain on formation of OneSubsea</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equity-method investments</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1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accounts receivable</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r>
      <w:tr>
        <w:trPr>
          <w:trHeight w:val="213"/>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06"/>
        </w:trPr>
        <w:tc>
          <w:tcPr>
            <w:tcW w:w="48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FF0FC"/>
            </w:tcBorders>
            <w:shd w:val="clear" w:color="auto" w:fill="CFF0FC"/>
          </w:tcPr>
          <w:p>
            <w:pPr>
              <w:spacing w:after="0"/>
              <w:rPr>
                <w:sz w:val="17"/>
                <w:szCs w:val="17"/>
                <w:color w:val="auto"/>
              </w:rPr>
            </w:pPr>
          </w:p>
        </w:tc>
        <w:tc>
          <w:tcPr>
            <w:tcW w:w="3200" w:type="dxa"/>
            <w:vAlign w:val="bottom"/>
            <w:tcBorders>
              <w:bottom w:val="single" w:sz="8" w:color="CFF0FC"/>
            </w:tcBorders>
            <w:shd w:val="clear" w:color="auto" w:fill="CFF0FC"/>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w:t>
      </w:r>
    </w:p>
    <w:p>
      <w:pPr>
        <w:spacing w:after="0" w:line="114" w:lineRule="exact"/>
        <w:rPr>
          <w:sz w:val="20"/>
          <w:szCs w:val="20"/>
          <w:color w:val="auto"/>
        </w:rPr>
      </w:pPr>
    </w:p>
    <w:p>
      <w:pPr>
        <w:ind w:left="1020" w:right="20" w:hanging="360"/>
        <w:spacing w:after="0" w:line="27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recorded merger and integration-related charges throughout 2012 of $128 million in connection with its 2010 acquisitions of Smith International, Inc. and Geoservices.</w:t>
      </w:r>
    </w:p>
    <w:p>
      <w:pPr>
        <w:spacing w:after="0" w:line="57" w:lineRule="exact"/>
        <w:rPr>
          <w:rFonts w:ascii="Times New Roman" w:cs="Times New Roman" w:eastAsia="Times New Roman" w:hAnsi="Times New Roman"/>
          <w:sz w:val="18"/>
          <w:szCs w:val="18"/>
          <w:color w:val="auto"/>
        </w:rPr>
      </w:pPr>
    </w:p>
    <w:p>
      <w:pPr>
        <w:ind w:left="1020" w:right="20" w:hanging="366"/>
        <w:spacing w:after="0" w:line="27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Schlumberger recorded a charge of $33 million relating to severance in connection with an initiative to rationalize global overhead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these charges: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3200" w:type="dxa"/>
            <w:vAlign w:val="bottom"/>
          </w:tcPr>
          <w:p>
            <w:pPr>
              <w:spacing w:after="0"/>
              <w:rPr>
                <w:sz w:val="16"/>
                <w:szCs w:val="16"/>
                <w:color w:val="auto"/>
              </w:rPr>
            </w:pPr>
          </w:p>
        </w:tc>
      </w:tr>
      <w:tr>
        <w:trPr>
          <w:trHeight w:val="313"/>
        </w:trPr>
        <w:tc>
          <w:tcPr>
            <w:tcW w:w="48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Pretax</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Tax</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r>
      <w:tr>
        <w:trPr>
          <w:trHeight w:val="23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integration-related costs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780" w:type="dxa"/>
            <w:vAlign w:val="bottom"/>
            <w:gridSpan w:val="2"/>
            <w:shd w:val="clear" w:color="auto" w:fill="CFF0FC"/>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gridSpan w:val="2"/>
            <w:shd w:val="clear" w:color="auto" w:fill="CFF0FC"/>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Merger &amp; integration</w:t>
            </w:r>
          </w:p>
        </w:tc>
      </w:tr>
      <w:tr>
        <w:trPr>
          <w:trHeight w:val="213"/>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FF0FC"/>
            </w:tcBorders>
          </w:tcPr>
          <w:p>
            <w:pPr>
              <w:spacing w:after="0"/>
              <w:rPr>
                <w:sz w:val="18"/>
                <w:szCs w:val="18"/>
                <w:color w:val="auto"/>
              </w:rPr>
            </w:pPr>
          </w:p>
        </w:tc>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Impairments &amp; other</w:t>
            </w:r>
          </w:p>
        </w:tc>
      </w:tr>
      <w:tr>
        <w:trPr>
          <w:trHeight w:val="206"/>
        </w:trPr>
        <w:tc>
          <w:tcPr>
            <w:tcW w:w="48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FF0FC"/>
            </w:tcBorders>
            <w:shd w:val="clear" w:color="auto" w:fill="CFF0FC"/>
          </w:tcPr>
          <w:p>
            <w:pPr>
              <w:spacing w:after="0"/>
              <w:rPr>
                <w:sz w:val="17"/>
                <w:szCs w:val="17"/>
                <w:color w:val="auto"/>
              </w:rPr>
            </w:pPr>
          </w:p>
        </w:tc>
        <w:tc>
          <w:tcPr>
            <w:tcW w:w="3200" w:type="dxa"/>
            <w:vAlign w:val="bottom"/>
            <w:tcBorders>
              <w:bottom w:val="single" w:sz="8" w:color="CFF0FC"/>
            </w:tcBorders>
            <w:shd w:val="clear" w:color="auto" w:fill="CFF0FC"/>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0" w:hanging="174"/>
        <w:spacing w:after="0"/>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Formation of OneSubsea Joint Venture</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June 30, 2013, Schlumberger and Cameron completed the formation of OneSubsea, a joint venture to manufacture and develop products, systems and services for the subsea oil and gas market. Schlumberger and Cameron each contributed all of their respective subsea businesses to the joint venture and Schlumberger made a $600 million cash payment to Cameron. Schlumberger owns 40% of OneSubsea and accounts for this investment under the equity method. Schlumberger recognized a pretax and after-tax gain of $1.028 billion, which is classified as </w:t>
      </w:r>
      <w:r>
        <w:rPr>
          <w:rFonts w:ascii="Times New Roman" w:cs="Times New Roman" w:eastAsia="Times New Roman" w:hAnsi="Times New Roman"/>
          <w:sz w:val="18"/>
          <w:szCs w:val="18"/>
          <w:i w:val="1"/>
          <w:iCs w:val="1"/>
          <w:color w:val="auto"/>
        </w:rPr>
        <w:t>Gain on formation of OneSubsea</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of Income</w:t>
      </w:r>
      <w:r>
        <w:rPr>
          <w:rFonts w:ascii="Times New Roman" w:cs="Times New Roman" w:eastAsia="Times New Roman" w:hAnsi="Times New Roman"/>
          <w:sz w:val="18"/>
          <w:szCs w:val="18"/>
          <w:color w:val="auto"/>
        </w:rPr>
        <w:t>, as a result of the deconsolidation of its subsea business. This gain is equal to the difference between the fair value of the Schlumberger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subsea business, which was determined based on the present value of its estimated future cash flows, and its carrying value at the time of closing.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made other acquisitions and investments for cash payments, net of cash acquired, of $1.008 billion during 2014, $610 million during 2013, and $845 million during 2012. Additionally, during 2014, Schlumberger issued 2.1 million shares of its common stock, valued at $213 million, in connection with an acquisition. None of these transactions were significant to Schlumberger’s consolidated financial statements, individually or in the aggregate.</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20, 2015, Schlumberger announced that it has entered into an agreement to acquire a minority ownership of approximately 45% in Eurasia Drilling Company Limited, the largest provider of onshore drilling services in Russia. The total cost of this transaction, including an option which will allow Schlumberger, at its election, to purchase the remaining shares during a two-year period commencing on the third anniversary of the closing of the transaction, is approximately $1.7 billion in cash. This transaction is expected to close during the first quarter of 2015.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u w:val="single" w:color="auto"/>
          <w:color w:val="auto"/>
        </w:rPr>
        <w:t>Inventories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99"/>
        </w:trPr>
        <w:tc>
          <w:tcPr>
            <w:tcW w:w="1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53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2013</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2,666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13"/>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3"/>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Fixed Assets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65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fixed assets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53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2013</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3"/>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&amp; improvements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213"/>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31,937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29,332</w:t>
            </w:r>
          </w:p>
        </w:tc>
        <w:tc>
          <w:tcPr>
            <w:tcW w:w="0" w:type="dxa"/>
            <w:vAlign w:val="bottom"/>
          </w:tcPr>
          <w:p>
            <w:pPr>
              <w:spacing w:after="0"/>
              <w:rPr>
                <w:sz w:val="1"/>
                <w:szCs w:val="1"/>
                <w:color w:val="auto"/>
              </w:rPr>
            </w:pPr>
          </w:p>
        </w:tc>
      </w:tr>
      <w:tr>
        <w:trPr>
          <w:trHeight w:val="213"/>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Seismic vessels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06"/>
        </w:trPr>
        <w:tc>
          <w:tcPr>
            <w:tcW w:w="1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shd w:val="clear" w:color="auto" w:fill="CFF0FC"/>
          </w:tcPr>
          <w:p>
            <w:pPr>
              <w:spacing w:after="0"/>
              <w:rPr>
                <w:sz w:val="17"/>
                <w:szCs w:val="17"/>
                <w:color w:val="auto"/>
              </w:rPr>
            </w:pPr>
          </w:p>
        </w:tc>
        <w:tc>
          <w:tcPr>
            <w:tcW w:w="53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36,964</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35,164</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21,568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20,068</w:t>
            </w:r>
          </w:p>
        </w:tc>
        <w:tc>
          <w:tcPr>
            <w:tcW w:w="0" w:type="dxa"/>
            <w:vAlign w:val="bottom"/>
          </w:tcPr>
          <w:p>
            <w:pPr>
              <w:spacing w:after="0"/>
              <w:rPr>
                <w:sz w:val="1"/>
                <w:szCs w:val="1"/>
                <w:color w:val="auto"/>
              </w:rPr>
            </w:pPr>
          </w:p>
        </w:tc>
      </w:tr>
      <w:tr>
        <w:trPr>
          <w:trHeight w:val="206"/>
        </w:trPr>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940" w:type="dxa"/>
            <w:vAlign w:val="bottom"/>
            <w:tcBorders>
              <w:top w:val="single" w:sz="8" w:color="CFF0FC"/>
              <w:bottom w:val="single" w:sz="8" w:color="CFF0FC"/>
            </w:tcBorders>
            <w:shd w:val="clear" w:color="auto" w:fill="CFF0FC"/>
          </w:tcPr>
          <w:p>
            <w:pPr>
              <w:spacing w:after="0"/>
              <w:rPr>
                <w:sz w:val="17"/>
                <w:szCs w:val="17"/>
                <w:color w:val="auto"/>
              </w:rPr>
            </w:pPr>
          </w:p>
        </w:tc>
        <w:tc>
          <w:tcPr>
            <w:tcW w:w="53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15,396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estimated useful lives of Buildings &amp; improvements are primarily 25 to 30 years. The estimated useful lives of Machinery &amp; equipment are primarily 5 to 10 years. Seismic vessels are depreciated over periods ranging from 20 to 30 years.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relating to fixed assets was $3.2 billion, $3.1 billion and $2.9 billion in 2014, 2013 and 2012, respectively.</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b w:val="1"/>
          <w:bCs w:val="1"/>
          <w:u w:val="single" w:color="auto"/>
          <w:color w:val="auto"/>
        </w:rPr>
        <w:t>Multiclient Seismic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is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4280" w:type="dxa"/>
            <w:vAlign w:val="bottom"/>
            <w:tcBorders>
              <w:bottom w:val="single" w:sz="8" w:color="CFF0FC"/>
            </w:tcBorders>
          </w:tcPr>
          <w:p>
            <w:pPr>
              <w:spacing w:after="0"/>
              <w:rPr>
                <w:sz w:val="24"/>
                <w:szCs w:val="24"/>
                <w:color w:val="auto"/>
              </w:rPr>
            </w:pPr>
          </w:p>
        </w:tc>
        <w:tc>
          <w:tcPr>
            <w:tcW w:w="224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020" w:type="dxa"/>
            <w:vAlign w:val="bottom"/>
            <w:gridSpan w:val="2"/>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667</w:t>
            </w:r>
          </w:p>
        </w:tc>
        <w:tc>
          <w:tcPr>
            <w:tcW w:w="24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20"/>
                <w:szCs w:val="20"/>
                <w:color w:val="auto"/>
              </w:rPr>
            </w:pPr>
          </w:p>
        </w:tc>
      </w:tr>
      <w:tr>
        <w:trPr>
          <w:trHeight w:val="21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 year</w:t>
            </w:r>
          </w:p>
        </w:tc>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r>
      <w:tr>
        <w:trPr>
          <w:trHeight w:val="21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2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r>
      <w:tr>
        <w:trPr>
          <w:trHeight w:val="206"/>
        </w:trPr>
        <w:tc>
          <w:tcPr>
            <w:tcW w:w="4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ind w:left="180" w:hanging="174"/>
        <w:spacing w:after="0"/>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reporting unit were as follows: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Reservoir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79"/>
        </w:trPr>
        <w:tc>
          <w:tcPr>
            <w:tcW w:w="3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420" w:type="dxa"/>
            <w:vAlign w:val="bottom"/>
            <w:tcBorders>
              <w:bottom w:val="single" w:sz="8" w:color="CFF0FC"/>
            </w:tcBorders>
          </w:tcPr>
          <w:p>
            <w:pPr>
              <w:spacing w:after="0"/>
              <w:rPr>
                <w:sz w:val="20"/>
                <w:szCs w:val="20"/>
                <w:color w:val="auto"/>
              </w:rPr>
            </w:pPr>
          </w:p>
        </w:tc>
        <w:tc>
          <w:tcPr>
            <w:tcW w:w="13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7"/>
              </w:rPr>
              <w:t>Characterization</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Drilling</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Production</w:t>
            </w:r>
          </w:p>
        </w:tc>
        <w:tc>
          <w:tcPr>
            <w:tcW w:w="26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2013</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3,760</w:t>
            </w:r>
          </w:p>
        </w:tc>
        <w:tc>
          <w:tcPr>
            <w:tcW w:w="3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8,337</w:t>
            </w:r>
          </w:p>
        </w:tc>
        <w:tc>
          <w:tcPr>
            <w:tcW w:w="2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14,585</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Divestiture of business</w:t>
            </w: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6"/>
        </w:trPr>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13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Reallocation</w:t>
            </w: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6"/>
        </w:trPr>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3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9"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b w:val="1"/>
          <w:bCs w:val="1"/>
          <w:u w:val="single" w:color="auto"/>
          <w:color w:val="auto"/>
        </w:rPr>
        <w:t>Intangible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2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40"/>
              <w:spacing w:after="0" w:line="188" w:lineRule="exact"/>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color w:val="auto"/>
                <w:w w:val="97"/>
              </w:rPr>
              <w:t>Accumulated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11"/>
              <w:spacing w:after="0" w:line="188" w:lineRule="exact"/>
              <w:rPr>
                <w:sz w:val="20"/>
                <w:szCs w:val="20"/>
                <w:color w:val="auto"/>
              </w:rPr>
            </w:pPr>
            <w:r>
              <w:rPr>
                <w:rFonts w:ascii="Times New Roman" w:cs="Times New Roman" w:eastAsia="Times New Roman" w:hAnsi="Times New Roman"/>
                <w:sz w:val="18"/>
                <w:szCs w:val="18"/>
                <w:color w:val="auto"/>
              </w:rPr>
              <w:t>Net Book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w w:val="97"/>
              </w:rPr>
              <w:t>Accumulated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Net Book</w:t>
            </w:r>
          </w:p>
        </w:tc>
        <w:tc>
          <w:tcPr>
            <w:tcW w:w="120" w:type="dxa"/>
            <w:vAlign w:val="bottom"/>
          </w:tcPr>
          <w:p>
            <w:pPr>
              <w:spacing w:after="0"/>
              <w:rPr>
                <w:sz w:val="16"/>
                <w:szCs w:val="16"/>
                <w:color w:val="auto"/>
              </w:rPr>
            </w:pPr>
          </w:p>
        </w:tc>
      </w:tr>
      <w:tr>
        <w:trPr>
          <w:trHeight w:val="231"/>
        </w:trPr>
        <w:tc>
          <w:tcPr>
            <w:tcW w:w="288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7"/>
              </w:rPr>
              <w:t>Book Value</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7"/>
              </w:rPr>
              <w:t>Amortization</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7"/>
              </w:rPr>
              <w:t>Book Value</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7"/>
              </w:rPr>
              <w:t>Amortization</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CFF0FC"/>
            </w:tcBorders>
          </w:tcPr>
          <w:p>
            <w:pPr>
              <w:spacing w:after="0"/>
              <w:rPr>
                <w:sz w:val="20"/>
                <w:szCs w:val="20"/>
                <w:color w:val="auto"/>
              </w:rPr>
            </w:pPr>
          </w:p>
        </w:tc>
      </w:tr>
      <w:tr>
        <w:trPr>
          <w:trHeight w:val="233"/>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1,747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1,212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1,960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597</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FF0FC"/>
          </w:tcPr>
          <w:p>
            <w:pPr>
              <w:spacing w:after="0"/>
              <w:rPr>
                <w:sz w:val="20"/>
                <w:szCs w:val="20"/>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1,322</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8"/>
                <w:szCs w:val="18"/>
                <w:color w:val="auto"/>
              </w:rPr>
            </w:pPr>
          </w:p>
        </w:tc>
      </w:tr>
      <w:tr>
        <w:trPr>
          <w:trHeight w:val="213"/>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2,531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shd w:val="clear" w:color="auto" w:fill="CFF0FC"/>
          </w:tcPr>
          <w:p>
            <w:pPr>
              <w:spacing w:after="0"/>
              <w:rPr>
                <w:sz w:val="18"/>
                <w:szCs w:val="18"/>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112</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06"/>
        </w:trPr>
        <w:tc>
          <w:tcPr>
            <w:tcW w:w="288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4,654</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$344 million in 2014, $330 million in 2013 and $331 million in 2012.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carrying value of intangible assets at December 31, 2014, amortization expense for the subsequent five years is estimated to be as follows: 2015: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$349 million, 2016: $338 million, 2017: $329 million, 2018: $319 million and 2019: $307 million.</w:t>
      </w:r>
    </w:p>
    <w:p>
      <w:pPr>
        <w:spacing w:after="0" w:line="331" w:lineRule="exact"/>
        <w:rPr>
          <w:sz w:val="20"/>
          <w:szCs w:val="20"/>
          <w:color w:val="auto"/>
        </w:rPr>
      </w:pPr>
    </w:p>
    <w:p>
      <w:pPr>
        <w:ind w:left="280" w:hanging="274"/>
        <w:spacing w:after="0"/>
        <w:tabs>
          <w:tab w:leader="none" w:pos="2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 and Debt Facility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consists of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480" w:type="dxa"/>
            <w:vAlign w:val="bottom"/>
            <w:tcBorders>
              <w:bottom w:val="single" w:sz="8" w:color="CFF0FC"/>
            </w:tcBorders>
          </w:tcPr>
          <w:p>
            <w:pPr>
              <w:spacing w:after="0"/>
              <w:rPr>
                <w:sz w:val="24"/>
                <w:szCs w:val="24"/>
                <w:color w:val="auto"/>
              </w:rPr>
            </w:pPr>
          </w:p>
        </w:tc>
        <w:tc>
          <w:tcPr>
            <w:tcW w:w="60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3"/>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3.30%</w:t>
            </w:r>
          </w:p>
        </w:tc>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1,597</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FF0FC"/>
          </w:tcPr>
          <w:p>
            <w:pPr>
              <w:spacing w:after="0"/>
              <w:rPr>
                <w:sz w:val="20"/>
                <w:szCs w:val="20"/>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3.65%</w:t>
            </w: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8"/>
                <w:szCs w:val="18"/>
                <w:color w:val="auto"/>
              </w:rPr>
            </w:pPr>
          </w:p>
        </w:tc>
      </w:tr>
      <w:tr>
        <w:trPr>
          <w:trHeight w:val="213"/>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2.75%</w:t>
            </w:r>
          </w:p>
        </w:tc>
        <w:tc>
          <w:tcPr>
            <w:tcW w:w="6020" w:type="dxa"/>
            <w:vAlign w:val="bottom"/>
            <w:shd w:val="clear" w:color="auto" w:fill="CFF0FC"/>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Guaranteed Notes due 2015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FF0FC"/>
          </w:tcPr>
          <w:p>
            <w:pPr>
              <w:spacing w:after="0"/>
              <w:rPr>
                <w:sz w:val="18"/>
                <w:szCs w:val="18"/>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1.95%</w:t>
            </w: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2016</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8"/>
                <w:szCs w:val="18"/>
                <w:color w:val="auto"/>
              </w:rPr>
            </w:pPr>
          </w:p>
        </w:tc>
      </w:tr>
      <w:tr>
        <w:trPr>
          <w:trHeight w:val="213"/>
        </w:trPr>
        <w:tc>
          <w:tcPr>
            <w:tcW w:w="480" w:type="dxa"/>
            <w:vAlign w:val="bottom"/>
            <w:shd w:val="clear" w:color="auto" w:fill="CFF0FC"/>
          </w:tcPr>
          <w:p>
            <w:pPr>
              <w:spacing w:after="0" w:line="200" w:lineRule="exact"/>
              <w:rPr>
                <w:sz w:val="20"/>
                <w:szCs w:val="20"/>
                <w:color w:val="auto"/>
              </w:rPr>
            </w:pPr>
            <w:r>
              <w:rPr>
                <w:rFonts w:ascii="Times New Roman" w:cs="Times New Roman" w:eastAsia="Times New Roman" w:hAnsi="Times New Roman"/>
                <w:sz w:val="18"/>
                <w:szCs w:val="18"/>
                <w:color w:val="auto"/>
                <w:w w:val="98"/>
              </w:rPr>
              <w:t>4.20%</w:t>
            </w:r>
          </w:p>
        </w:tc>
        <w:tc>
          <w:tcPr>
            <w:tcW w:w="6020" w:type="dxa"/>
            <w:vAlign w:val="bottom"/>
            <w:shd w:val="clear" w:color="auto" w:fill="CFF0FC"/>
          </w:tcPr>
          <w:p>
            <w:pPr>
              <w:ind w:left="20"/>
              <w:spacing w:after="0" w:line="200" w:lineRule="exact"/>
              <w:rPr>
                <w:sz w:val="20"/>
                <w:szCs w:val="20"/>
                <w:color w:val="auto"/>
              </w:rPr>
            </w:pPr>
            <w:r>
              <w:rPr>
                <w:rFonts w:ascii="Times New Roman" w:cs="Times New Roman" w:eastAsia="Times New Roman" w:hAnsi="Times New Roman"/>
                <w:sz w:val="18"/>
                <w:szCs w:val="18"/>
                <w:color w:val="auto"/>
              </w:rPr>
              <w:t>Senior Notes due 2021</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line="200" w:lineRule="exact"/>
              <w:rPr>
                <w:sz w:val="20"/>
                <w:szCs w:val="20"/>
                <w:color w:val="auto"/>
              </w:rPr>
            </w:pPr>
            <w:r>
              <w:rPr>
                <w:rFonts w:ascii="Times New Roman" w:cs="Times New Roman" w:eastAsia="Times New Roman" w:hAnsi="Times New Roman"/>
                <w:sz w:val="18"/>
                <w:szCs w:val="18"/>
                <w:b w:val="1"/>
                <w:bCs w:val="1"/>
                <w:color w:val="auto"/>
              </w:rPr>
              <w:t>1,100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line="200" w:lineRule="exact"/>
              <w:rPr>
                <w:sz w:val="20"/>
                <w:szCs w:val="20"/>
                <w:color w:val="auto"/>
              </w:rPr>
            </w:pPr>
            <w:r>
              <w:rPr>
                <w:rFonts w:ascii="Times New Roman" w:cs="Times New Roman" w:eastAsia="Times New Roman" w:hAnsi="Times New Roman"/>
                <w:sz w:val="18"/>
                <w:szCs w:val="18"/>
                <w:color w:val="auto"/>
              </w:rPr>
              <w:t>1,099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1.25%</w:t>
            </w: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2017</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8"/>
                <w:szCs w:val="18"/>
                <w:color w:val="auto"/>
              </w:rPr>
            </w:pPr>
          </w:p>
        </w:tc>
      </w:tr>
      <w:tr>
        <w:trPr>
          <w:trHeight w:val="213"/>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2.40%</w:t>
            </w:r>
          </w:p>
        </w:tc>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FF0FC"/>
          </w:tcPr>
          <w:p>
            <w:pPr>
              <w:spacing w:after="0"/>
              <w:rPr>
                <w:sz w:val="18"/>
                <w:szCs w:val="18"/>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1.50%</w:t>
            </w:r>
          </w:p>
        </w:tc>
        <w:tc>
          <w:tcPr>
            <w:tcW w:w="602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color w:val="auto"/>
              </w:rPr>
              <w:t>Guaranteed Notes due 2019</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r>
      <w:tr>
        <w:trPr>
          <w:trHeight w:val="213"/>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2.65%</w:t>
            </w:r>
          </w:p>
        </w:tc>
        <w:tc>
          <w:tcPr>
            <w:tcW w:w="6020" w:type="dxa"/>
            <w:vAlign w:val="bottom"/>
            <w:shd w:val="clear" w:color="auto" w:fill="CFF0FC"/>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Senior Notes due 2016 </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r>
      <w:tr>
        <w:trPr>
          <w:trHeight w:val="21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FF0FC"/>
          </w:tcPr>
          <w:p>
            <w:pPr>
              <w:spacing w:after="0"/>
              <w:rPr>
                <w:sz w:val="18"/>
                <w:szCs w:val="18"/>
                <w:color w:val="auto"/>
              </w:rPr>
            </w:pPr>
          </w:p>
        </w:tc>
      </w:tr>
      <w:tr>
        <w:trPr>
          <w:trHeight w:val="206"/>
        </w:trPr>
        <w:tc>
          <w:tcPr>
            <w:tcW w:w="48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10,565</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00" w:hanging="394"/>
        <w:spacing w:after="0" w:line="221" w:lineRule="auto"/>
        <w:tabs>
          <w:tab w:leader="none" w:pos="40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Schlumberger maintains a €5.0 billion Guaranteed Euro Medium Term Note program that provides for the issuance of various types of debt instruments such as fixed or floating rate notes in euro, US dollar or other currencies. The following is a summary of outstanding debt that was issued under this program:</w:t>
      </w:r>
    </w:p>
    <w:p>
      <w:pPr>
        <w:spacing w:after="0" w:line="88" w:lineRule="exact"/>
        <w:rPr>
          <w:rFonts w:ascii="Times New Roman" w:cs="Times New Roman" w:eastAsia="Times New Roman" w:hAnsi="Times New Roman"/>
          <w:sz w:val="26"/>
          <w:szCs w:val="26"/>
          <w:color w:val="auto"/>
          <w:vertAlign w:val="superscript"/>
        </w:rPr>
      </w:pPr>
    </w:p>
    <w:p>
      <w:pPr>
        <w:jc w:val="both"/>
        <w:ind w:left="1140" w:hanging="284"/>
        <w:spacing w:after="0" w:line="214" w:lineRule="auto"/>
        <w:tabs>
          <w:tab w:leader="none" w:pos="1140" w:val="left"/>
        </w:tabs>
        <w:numPr>
          <w:ilvl w:val="1"/>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Schlumberger issued €0.5 billion 1.50% Guaranteed Notes due 2019 in the fourth quarter of 2013. Schlumberger entered into agreements to swap these euro notes for US dollars on the date of issue until maturity, effectively making this a US dollar denominated debt on which Schlumberger will pay interest in US dollars at a rate equal to three-month LIBOR plus approximately 64 basis points.</w:t>
      </w:r>
    </w:p>
    <w:p>
      <w:pPr>
        <w:spacing w:after="0" w:line="88" w:lineRule="exact"/>
        <w:rPr>
          <w:rFonts w:ascii="Times New Roman" w:cs="Times New Roman" w:eastAsia="Times New Roman" w:hAnsi="Times New Roman"/>
          <w:sz w:val="28"/>
          <w:szCs w:val="28"/>
          <w:color w:val="auto"/>
          <w:vertAlign w:val="superscript"/>
        </w:rPr>
      </w:pPr>
    </w:p>
    <w:p>
      <w:pPr>
        <w:jc w:val="both"/>
        <w:ind w:left="1140" w:hanging="284"/>
        <w:spacing w:after="0" w:line="214" w:lineRule="auto"/>
        <w:tabs>
          <w:tab w:leader="none" w:pos="1140" w:val="left"/>
        </w:tabs>
        <w:numPr>
          <w:ilvl w:val="1"/>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Schlumberger issued €1.0 billion 2.75% Guaranteed Notes due 2015 in the fourth quarter of 2010. Schlumberger entered into agreements to swap these euro notes for US dollars on the date of issue until maturity, effectively making this a US dollar denominated debt on which Schlumberger will pay interest in US dollars at a rate of 2.56%.</w:t>
      </w:r>
    </w:p>
    <w:p>
      <w:pPr>
        <w:spacing w:after="0" w:line="88" w:lineRule="exact"/>
        <w:rPr>
          <w:rFonts w:ascii="Times New Roman" w:cs="Times New Roman" w:eastAsia="Times New Roman" w:hAnsi="Times New Roman"/>
          <w:sz w:val="28"/>
          <w:szCs w:val="28"/>
          <w:color w:val="auto"/>
          <w:vertAlign w:val="superscript"/>
        </w:rPr>
      </w:pPr>
    </w:p>
    <w:p>
      <w:pPr>
        <w:ind w:left="400" w:hanging="394"/>
        <w:spacing w:after="0" w:line="211" w:lineRule="auto"/>
        <w:tabs>
          <w:tab w:leader="none" w:pos="40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Schlumberger entered into agreements to swap these dollar notes for euros on the date of issue until maturity, effectively making this a euro-denominated debt on which Schlumberger pays interest in euros at a rate of 2.39%.</w:t>
      </w:r>
    </w:p>
    <w:p>
      <w:pPr>
        <w:spacing w:after="0" w:line="19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Schlumberger Limited fully and unconditionally guarantees the securities issued by certain of its subsidiaries, including securities issued by Schlumberger Investment SA, a wholly-owned finance subsidiary of Schlumberger.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91" w:right="2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2014, Schlumberger had separate committed debt facility agreements aggregating $3.9 billion with commercial banks, of which $2.3 billion was available and unused. This included $3.5 billion of committed facilities which supports commercial paper programs, of which $250 million mature in July 2016, $1.75 billion mature in July 2018 and $1.5 billion mature in November 2018. Interest rates and other terms of borrowing under these lines of credit vary from country to country.</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Commercial paper borrowings are classified as long-term debt to the extent of their backup by available and unused committed credit facilities maturing in more than one year and to the extent it is Schlumberger’s intent to maintain these obligations for longer than one year. Borrowings under the commercial paper program at December 31, 2014 were $1.5 billion, all of which were classified within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At December 31, 2013, borrowings under the commercial paper program were $95 million, all of which were classified within </w:t>
      </w:r>
      <w:r>
        <w:rPr>
          <w:rFonts w:ascii="Times New Roman" w:cs="Times New Roman" w:eastAsia="Times New Roman" w:hAnsi="Times New Roman"/>
          <w:sz w:val="18"/>
          <w:szCs w:val="18"/>
          <w:i w:val="1"/>
          <w:iCs w:val="1"/>
          <w:color w:val="auto"/>
        </w:rPr>
        <w:t>Long-term debt – current portion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variable rate debt as of December 31, 2014 was 1.3%.</w:t>
      </w:r>
    </w:p>
    <w:p>
      <w:pPr>
        <w:spacing w:after="0" w:line="2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December 31, 2014, is due as follows: $1.6 billion in 2016, $1.0 billion in 2017, $1.9 billion in 2018, $0.9 billion in 2019, $2.7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$1.0 billion in 2022 and $1.5 billion in 2023.</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The fair value of Schlumberger’s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at December 31, 2014 and December 31, 2013 was $10.7 billion and $10.4 billion, respectively, and was estimated based on quoted market prices.</w:t>
      </w:r>
    </w:p>
    <w:p>
      <w:pPr>
        <w:spacing w:after="0" w:line="266" w:lineRule="exact"/>
        <w:rPr>
          <w:sz w:val="20"/>
          <w:szCs w:val="20"/>
          <w:color w:val="auto"/>
        </w:rPr>
      </w:pPr>
    </w:p>
    <w:p>
      <w:pPr>
        <w:ind w:left="260" w:hanging="254"/>
        <w:spacing w:after="0"/>
        <w:tabs>
          <w:tab w:leader="none" w:pos="2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Schlumberger is exposed to market risks related to fluctuations in interest rates and foreign currency exchange rates. To mitigate these risks, Schlumberger utilizes derivative instruments. Schlumberger does not enter into derivative transactions for speculative purposes.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16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At December 31, 2014, Schlumberger had fixed rate debt aggregating $9.0 billion and variable rate debt aggregating $4.3 billion, after taking into account the effect of the swap.</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Fixed income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held to maturity</w:t>
      </w:r>
      <w:r>
        <w:rPr>
          <w:rFonts w:ascii="Times New Roman" w:cs="Times New Roman" w:eastAsia="Times New Roman" w:hAnsi="Times New Roman"/>
          <w:sz w:val="18"/>
          <w:szCs w:val="18"/>
          <w:color w:val="auto"/>
        </w:rPr>
        <w:t>, totaled $4.8 billion at December 31, 2014. The carrying value of these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approximated fair value, which was estimated using quoted market prices for those or similar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Schlumberger conducts its business in approximately 85 countries. Schlumberger’s functional currency is primarily the US dollar. Approximately 81% of Schlumberger’s revenues in 2014 was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Times New Roman" w:cs="Times New Roman" w:eastAsia="Times New Roman" w:hAnsi="Times New Roman"/>
          <w:sz w:val="17"/>
          <w:szCs w:val="17"/>
          <w:i w:val="1"/>
          <w:iCs w:val="1"/>
          <w:color w:val="auto"/>
        </w:rPr>
        <w:t>Consolidated Balance Sheet</w:t>
      </w:r>
      <w:r>
        <w:rPr>
          <w:rFonts w:ascii="Times New Roman" w:cs="Times New Roman" w:eastAsia="Times New Roman" w:hAnsi="Times New Roman"/>
          <w:sz w:val="17"/>
          <w:szCs w:val="17"/>
          <w:color w:val="auto"/>
        </w:rPr>
        <w:t xml:space="preserve"> and in </w:t>
      </w:r>
      <w:r>
        <w:rPr>
          <w:rFonts w:ascii="Times New Roman" w:cs="Times New Roman" w:eastAsia="Times New Roman" w:hAnsi="Times New Roman"/>
          <w:sz w:val="17"/>
          <w:szCs w:val="17"/>
          <w:i w:val="1"/>
          <w:iCs w:val="1"/>
          <w:color w:val="auto"/>
        </w:rPr>
        <w:t>Accumulated Other Comprehensive Loss.</w:t>
      </w:r>
      <w:r>
        <w:rPr>
          <w:rFonts w:ascii="Times New Roman" w:cs="Times New Roman" w:eastAsia="Times New Roman" w:hAnsi="Times New Roman"/>
          <w:sz w:val="17"/>
          <w:szCs w:val="17"/>
          <w:color w:val="auto"/>
        </w:rPr>
        <w:t xml:space="preserve"> Amounts recorded in </w:t>
      </w:r>
      <w:r>
        <w:rPr>
          <w:rFonts w:ascii="Times New Roman" w:cs="Times New Roman" w:eastAsia="Times New Roman" w:hAnsi="Times New Roman"/>
          <w:sz w:val="17"/>
          <w:szCs w:val="17"/>
          <w:i w:val="1"/>
          <w:iCs w:val="1"/>
          <w:color w:val="auto"/>
        </w:rPr>
        <w:t>Accumulated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4" w:right="239" w:bottom="1440" w:gutter="0" w:footer="0" w:header="0"/>
        </w:sectPr>
      </w:pPr>
    </w:p>
    <w:bookmarkStart w:id="45" w:name="page46"/>
    <w:bookmarkEnd w:id="45"/>
    <w:p>
      <w:pPr>
        <w:jc w:val="both"/>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Other Comprehensive Loss </w:t>
      </w:r>
      <w:r>
        <w:rPr>
          <w:rFonts w:ascii="Times New Roman" w:cs="Times New Roman" w:eastAsia="Times New Roman" w:hAnsi="Times New Roman"/>
          <w:sz w:val="18"/>
          <w:szCs w:val="18"/>
          <w:color w:val="auto"/>
        </w:rPr>
        <w:t>are reclassified into earnings in the same period or periods that the hedged item is recognized in earnings. The ineffective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fair value of hedging instruments, if any, is recorded directly to earnings.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At December 31, 2014, Schlumberger recognized a cumulative net $96 million loss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 is exposed to changes in the fair value of assets and liabilities which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are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changes in the fair value are recognized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as are changes in fair value of the hedged item.</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2014, contracts were outstanding for the US dollar equivalent of $6.8 billion in various foreign currencies, of which $2.5 billion relate to hedges of debt denominated in currencies other than the functional currency.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outstanding derivative instruments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w w:val="99"/>
              </w:rPr>
              <w:t>Fair Value of Derivatives</w:t>
            </w:r>
          </w:p>
        </w:tc>
        <w:tc>
          <w:tcPr>
            <w:tcW w:w="22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 Classification</w:t>
            </w:r>
          </w:p>
        </w:tc>
        <w:tc>
          <w:tcPr>
            <w:tcW w:w="0" w:type="dxa"/>
            <w:vAlign w:val="bottom"/>
          </w:tcPr>
          <w:p>
            <w:pPr>
              <w:spacing w:after="0"/>
              <w:rPr>
                <w:sz w:val="1"/>
                <w:szCs w:val="1"/>
                <w:color w:val="auto"/>
              </w:rPr>
            </w:pPr>
          </w:p>
        </w:tc>
      </w:tr>
      <w:tr>
        <w:trPr>
          <w:trHeight w:val="419"/>
        </w:trPr>
        <w:tc>
          <w:tcPr>
            <w:tcW w:w="4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Borders>
              <w:top w:val="single" w:sz="8" w:color="auto"/>
              <w:bottom w:val="single" w:sz="8" w:color="CFF0FC"/>
            </w:tcBorders>
          </w:tcPr>
          <w:p>
            <w:pPr>
              <w:spacing w:after="0"/>
              <w:rPr>
                <w:sz w:val="24"/>
                <w:szCs w:val="24"/>
                <w:color w:val="auto"/>
              </w:rPr>
            </w:pPr>
          </w:p>
        </w:tc>
        <w:tc>
          <w:tcPr>
            <w:tcW w:w="180" w:type="dxa"/>
            <w:vAlign w:val="bottom"/>
            <w:tcBorders>
              <w:top w:val="single" w:sz="8" w:color="auto"/>
              <w:bottom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260" w:type="dxa"/>
            <w:vAlign w:val="bottom"/>
            <w:tcBorders>
              <w:top w:val="single" w:sz="8" w:color="auto"/>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0" w:type="dxa"/>
            <w:vAlign w:val="bottom"/>
          </w:tcPr>
          <w:p>
            <w:pPr>
              <w:spacing w:after="0"/>
              <w:rPr>
                <w:sz w:val="1"/>
                <w:szCs w:val="1"/>
                <w:color w:val="auto"/>
              </w:rPr>
            </w:pPr>
          </w:p>
        </w:tc>
      </w:tr>
      <w:tr>
        <w:trPr>
          <w:trHeight w:val="213"/>
        </w:trPr>
        <w:tc>
          <w:tcPr>
            <w:tcW w:w="4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0" w:type="dxa"/>
            <w:vAlign w:val="bottom"/>
          </w:tcPr>
          <w:p>
            <w:pPr>
              <w:spacing w:after="0"/>
              <w:rPr>
                <w:sz w:val="1"/>
                <w:szCs w:val="1"/>
                <w:color w:val="auto"/>
              </w:rPr>
            </w:pPr>
          </w:p>
        </w:tc>
      </w:tr>
      <w:tr>
        <w:trPr>
          <w:trHeight w:val="213"/>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Cross currency swap</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0" w:type="dxa"/>
            <w:vAlign w:val="bottom"/>
          </w:tcPr>
          <w:p>
            <w:pPr>
              <w:spacing w:after="0"/>
              <w:rPr>
                <w:sz w:val="1"/>
                <w:szCs w:val="1"/>
                <w:color w:val="auto"/>
              </w:rPr>
            </w:pPr>
          </w:p>
        </w:tc>
      </w:tr>
      <w:tr>
        <w:trPr>
          <w:trHeight w:val="213"/>
        </w:trPr>
        <w:tc>
          <w:tcPr>
            <w:tcW w:w="4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0" w:type="dxa"/>
            <w:vAlign w:val="bottom"/>
          </w:tcPr>
          <w:p>
            <w:pPr>
              <w:spacing w:after="0"/>
              <w:rPr>
                <w:sz w:val="1"/>
                <w:szCs w:val="1"/>
                <w:color w:val="auto"/>
              </w:rPr>
            </w:pPr>
          </w:p>
        </w:tc>
      </w:tr>
      <w:tr>
        <w:trPr>
          <w:trHeight w:val="206"/>
        </w:trPr>
        <w:tc>
          <w:tcPr>
            <w:tcW w:w="47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2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w:t>
            </w:r>
          </w:p>
        </w:tc>
        <w:tc>
          <w:tcPr>
            <w:tcW w:w="3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13"/>
        </w:trPr>
        <w:tc>
          <w:tcPr>
            <w:tcW w:w="4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0" w:type="dxa"/>
            <w:vAlign w:val="bottom"/>
          </w:tcPr>
          <w:p>
            <w:pPr>
              <w:spacing w:after="0"/>
              <w:rPr>
                <w:sz w:val="1"/>
                <w:szCs w:val="1"/>
                <w:color w:val="auto"/>
              </w:rPr>
            </w:pPr>
          </w:p>
        </w:tc>
      </w:tr>
      <w:tr>
        <w:trPr>
          <w:trHeight w:val="213"/>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Cross currency swap</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0" w:type="dxa"/>
            <w:vAlign w:val="bottom"/>
          </w:tcPr>
          <w:p>
            <w:pPr>
              <w:spacing w:after="0"/>
              <w:rPr>
                <w:sz w:val="1"/>
                <w:szCs w:val="1"/>
                <w:color w:val="auto"/>
              </w:rPr>
            </w:pPr>
          </w:p>
        </w:tc>
      </w:tr>
      <w:tr>
        <w:trPr>
          <w:trHeight w:val="206"/>
        </w:trPr>
        <w:tc>
          <w:tcPr>
            <w:tcW w:w="47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06"/>
        </w:trPr>
        <w:tc>
          <w:tcPr>
            <w:tcW w:w="47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2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 of all outstanding derivatives is determined using a model with inputs that are observable in the market or can be derived from or corroborated by observable data.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2"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 xml:space="preserve">The effect of derivative instruments designated as fair value hedges and those not designated as hedges on the </w:t>
      </w:r>
      <w:r>
        <w:rPr>
          <w:rFonts w:ascii="Times New Roman" w:cs="Times New Roman" w:eastAsia="Times New Roman" w:hAnsi="Times New Roman"/>
          <w:sz w:val="17"/>
          <w:szCs w:val="17"/>
          <w:i w:val="1"/>
          <w:iCs w:val="1"/>
          <w:color w:val="auto"/>
        </w:rPr>
        <w:t>Consolidated Statement of Income</w:t>
      </w:r>
      <w:r>
        <w:rPr>
          <w:rFonts w:ascii="Times New Roman" w:cs="Times New Roman" w:eastAsia="Times New Roman" w:hAnsi="Times New Roman"/>
          <w:sz w:val="17"/>
          <w:szCs w:val="17"/>
          <w:color w:val="auto"/>
        </w:rPr>
        <w:t xml:space="preserve">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140" w:type="dxa"/>
            <w:vAlign w:val="bottom"/>
            <w:tcBorders>
              <w:bottom w:val="single" w:sz="8" w:color="auto"/>
            </w:tcBorders>
            <w:gridSpan w:val="8"/>
          </w:tcPr>
          <w:p>
            <w:pPr>
              <w:jc w:val="right"/>
              <w:ind w:right="157"/>
              <w:spacing w:after="0"/>
              <w:rPr>
                <w:sz w:val="20"/>
                <w:szCs w:val="20"/>
                <w:color w:val="auto"/>
              </w:rPr>
            </w:pPr>
            <w:r>
              <w:rPr>
                <w:rFonts w:ascii="Times New Roman" w:cs="Times New Roman" w:eastAsia="Times New Roman" w:hAnsi="Times New Roman"/>
                <w:sz w:val="18"/>
                <w:szCs w:val="18"/>
                <w:color w:val="auto"/>
              </w:rPr>
              <w:t>Gain (Loss) Recognized in Income</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Statement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Classification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1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Cross currency swap</w:t>
            </w: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(82)</w:t>
            </w:r>
          </w:p>
        </w:tc>
        <w:tc>
          <w:tcPr>
            <w:tcW w:w="66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940" w:type="dxa"/>
            <w:vAlign w:val="bottom"/>
            <w:gridSpan w:val="2"/>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324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74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1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(95)</w:t>
            </w:r>
          </w:p>
        </w:tc>
        <w:tc>
          <w:tcPr>
            <w:tcW w:w="66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3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Commodity contracts</w:t>
            </w:r>
          </w:p>
        </w:tc>
        <w:tc>
          <w:tcPr>
            <w:tcW w:w="66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8"/>
                <w:szCs w:val="18"/>
                <w:color w:val="auto"/>
              </w:rPr>
            </w:pP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324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tcBorders>
              <w:top w:val="single" w:sz="8" w:color="CFF0FC"/>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(95)</w:t>
            </w:r>
          </w:p>
        </w:tc>
        <w:tc>
          <w:tcPr>
            <w:tcW w:w="320" w:type="dxa"/>
            <w:vAlign w:val="bottom"/>
            <w:tcBorders>
              <w:top w:val="single" w:sz="8" w:color="CFF0FC"/>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1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hanging="274"/>
        <w:spacing w:after="0"/>
        <w:tabs>
          <w:tab w:leader="none" w:pos="2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is authorized to issue 4,500,000,000 shares of common stock, par value $0.01 per share, of which 1,275,312,404 and 1,307,330,369 shares were outstanding on December 31, 2014 and 2013, respectively. Holders of common stock are entitled to one vote for each share of stock held. Schlumberger is also authorized to issue 200,000,000 shares of preferred stock, par value $0.01 per share, which may be issued in series with terms and conditions determined by the Board of Directors. No shares of preferred stock have been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consists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i w:val="1"/>
                <w:iCs w:val="1"/>
                <w:color w:val="auto"/>
              </w:rPr>
              <w:t>(Stated in millions)</w:t>
            </w:r>
          </w:p>
        </w:tc>
      </w:tr>
      <w:tr>
        <w:trPr>
          <w:trHeight w:val="359"/>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Pension and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Unrealized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0"/>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Currency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Gains 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Translation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Cash Flow</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Postretirement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Marketable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0"/>
        </w:trPr>
        <w:tc>
          <w:tcPr>
            <w:tcW w:w="40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color w:val="auto"/>
                <w:w w:val="97"/>
              </w:rPr>
              <w:t>Adjustments</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Hedges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w w:val="98"/>
              </w:rPr>
              <w:t>Benefit Plans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rPr>
              <w:t>Securities</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CFF0FC"/>
            </w:tcBorders>
          </w:tcPr>
          <w:p>
            <w:pPr>
              <w:spacing w:after="0"/>
              <w:rPr>
                <w:sz w:val="19"/>
                <w:szCs w:val="19"/>
                <w:color w:val="auto"/>
              </w:rPr>
            </w:pPr>
          </w:p>
        </w:tc>
      </w:tr>
      <w:tr>
        <w:trPr>
          <w:trHeight w:val="234"/>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January 1, 2012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(993)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(2,538)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(3,557)</w:t>
            </w:r>
          </w:p>
        </w:tc>
      </w:tr>
      <w:tr>
        <w:trPr>
          <w:trHeight w:val="178"/>
        </w:trPr>
        <w:tc>
          <w:tcPr>
            <w:tcW w:w="4080" w:type="dxa"/>
            <w:vAlign w:val="bottom"/>
          </w:tcPr>
          <w:p>
            <w:pPr>
              <w:ind w:left="440"/>
              <w:spacing w:after="0" w:line="178" w:lineRule="exact"/>
              <w:rPr>
                <w:sz w:val="20"/>
                <w:szCs w:val="20"/>
                <w:color w:val="auto"/>
              </w:rPr>
            </w:pPr>
            <w:r>
              <w:rPr>
                <w:rFonts w:ascii="Times New Roman" w:cs="Times New Roman" w:eastAsia="Times New Roman" w:hAnsi="Times New Roman"/>
                <w:sz w:val="17"/>
                <w:szCs w:val="17"/>
                <w:color w:val="auto"/>
              </w:rPr>
              <w:t>Other comprehensive income (loss) before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0"/>
        </w:trPr>
        <w:tc>
          <w:tcPr>
            <w:tcW w:w="40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(707)</w:t>
            </w:r>
          </w:p>
        </w:tc>
      </w:tr>
      <w:tr>
        <w:trPr>
          <w:trHeight w:val="179"/>
        </w:trPr>
        <w:tc>
          <w:tcPr>
            <w:tcW w:w="4080" w:type="dxa"/>
            <w:vAlign w:val="bottom"/>
            <w:shd w:val="clear" w:color="auto" w:fill="CFF0FC"/>
          </w:tcPr>
          <w:p>
            <w:pPr>
              <w:ind w:left="440"/>
              <w:spacing w:after="0" w:line="180" w:lineRule="exact"/>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21"/>
        </w:trPr>
        <w:tc>
          <w:tcPr>
            <w:tcW w:w="40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7"/>
                <w:szCs w:val="17"/>
                <w:color w:val="auto"/>
              </w:rPr>
              <w:t>comprehensive loss</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276</w:t>
            </w:r>
          </w:p>
        </w:tc>
      </w:tr>
      <w:tr>
        <w:trPr>
          <w:trHeight w:val="200"/>
        </w:trPr>
        <w:tc>
          <w:tcPr>
            <w:tcW w:w="4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r>
      <w:tr>
        <w:trPr>
          <w:trHeight w:val="193"/>
        </w:trPr>
        <w:tc>
          <w:tcPr>
            <w:tcW w:w="4080" w:type="dxa"/>
            <w:vAlign w:val="bottom"/>
            <w:tcBorders>
              <w:top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Balance, December 31, 2012</w:t>
            </w:r>
          </w:p>
        </w:tc>
        <w:tc>
          <w:tcPr>
            <w:tcW w:w="14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(917)</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30</w:t>
            </w: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(3,142)</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(3,888)</w:t>
            </w:r>
          </w:p>
        </w:tc>
        <w:tc>
          <w:tcPr>
            <w:tcW w:w="180" w:type="dxa"/>
            <w:vAlign w:val="bottom"/>
            <w:tcBorders>
              <w:top w:val="single" w:sz="8" w:color="CFF0FC"/>
            </w:tcBorders>
            <w:shd w:val="clear" w:color="auto" w:fill="CFF0FC"/>
          </w:tcPr>
          <w:p>
            <w:pPr>
              <w:spacing w:after="0"/>
              <w:rPr>
                <w:sz w:val="16"/>
                <w:szCs w:val="16"/>
                <w:color w:val="auto"/>
              </w:rPr>
            </w:pPr>
          </w:p>
        </w:tc>
      </w:tr>
      <w:tr>
        <w:trPr>
          <w:trHeight w:val="178"/>
        </w:trPr>
        <w:tc>
          <w:tcPr>
            <w:tcW w:w="4080" w:type="dxa"/>
            <w:vAlign w:val="bottom"/>
          </w:tcPr>
          <w:p>
            <w:pPr>
              <w:ind w:left="440"/>
              <w:spacing w:after="0" w:line="178" w:lineRule="exact"/>
              <w:rPr>
                <w:sz w:val="20"/>
                <w:szCs w:val="20"/>
                <w:color w:val="auto"/>
              </w:rPr>
            </w:pPr>
            <w:r>
              <w:rPr>
                <w:rFonts w:ascii="Times New Roman" w:cs="Times New Roman" w:eastAsia="Times New Roman" w:hAnsi="Times New Roman"/>
                <w:sz w:val="17"/>
                <w:szCs w:val="17"/>
                <w:color w:val="auto"/>
              </w:rPr>
              <w:t>Other comprehensive income (loss) before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0"/>
        </w:trPr>
        <w:tc>
          <w:tcPr>
            <w:tcW w:w="40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1,261</w:t>
            </w:r>
          </w:p>
        </w:tc>
      </w:tr>
      <w:tr>
        <w:trPr>
          <w:trHeight w:val="179"/>
        </w:trPr>
        <w:tc>
          <w:tcPr>
            <w:tcW w:w="4080" w:type="dxa"/>
            <w:vAlign w:val="bottom"/>
            <w:shd w:val="clear" w:color="auto" w:fill="CFF0FC"/>
          </w:tcPr>
          <w:p>
            <w:pPr>
              <w:ind w:left="440"/>
              <w:spacing w:after="0" w:line="180" w:lineRule="exact"/>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21"/>
        </w:trPr>
        <w:tc>
          <w:tcPr>
            <w:tcW w:w="40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7"/>
                <w:szCs w:val="17"/>
                <w:color w:val="auto"/>
              </w:rPr>
              <w:t>comprehensive loss</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425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375</w:t>
            </w:r>
          </w:p>
        </w:tc>
      </w:tr>
      <w:tr>
        <w:trPr>
          <w:trHeight w:val="200"/>
        </w:trPr>
        <w:tc>
          <w:tcPr>
            <w:tcW w:w="4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(302)</w:t>
            </w:r>
          </w:p>
        </w:tc>
      </w:tr>
      <w:tr>
        <w:trPr>
          <w:trHeight w:val="193"/>
        </w:trPr>
        <w:tc>
          <w:tcPr>
            <w:tcW w:w="4080" w:type="dxa"/>
            <w:vAlign w:val="bottom"/>
            <w:tcBorders>
              <w:top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7"/>
                <w:szCs w:val="17"/>
                <w:color w:val="auto"/>
              </w:rPr>
              <w:t>Balance, December 31, 2013</w:t>
            </w:r>
          </w:p>
        </w:tc>
        <w:tc>
          <w:tcPr>
            <w:tcW w:w="14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(1,068)</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29</w:t>
            </w: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(1,691)</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7"/>
                <w:szCs w:val="17"/>
                <w:color w:val="auto"/>
              </w:rPr>
              <w:t>(2,554)</w:t>
            </w:r>
          </w:p>
        </w:tc>
        <w:tc>
          <w:tcPr>
            <w:tcW w:w="180" w:type="dxa"/>
            <w:vAlign w:val="bottom"/>
            <w:tcBorders>
              <w:top w:val="single" w:sz="8" w:color="CFF0FC"/>
            </w:tcBorders>
            <w:shd w:val="clear" w:color="auto" w:fill="CFF0FC"/>
          </w:tcPr>
          <w:p>
            <w:pPr>
              <w:spacing w:after="0"/>
              <w:rPr>
                <w:sz w:val="16"/>
                <w:szCs w:val="16"/>
                <w:color w:val="auto"/>
              </w:rPr>
            </w:pPr>
          </w:p>
        </w:tc>
      </w:tr>
      <w:tr>
        <w:trPr>
          <w:trHeight w:val="178"/>
        </w:trPr>
        <w:tc>
          <w:tcPr>
            <w:tcW w:w="4080" w:type="dxa"/>
            <w:vAlign w:val="bottom"/>
          </w:tcPr>
          <w:p>
            <w:pPr>
              <w:ind w:left="440"/>
              <w:spacing w:after="0" w:line="178" w:lineRule="exact"/>
              <w:rPr>
                <w:sz w:val="20"/>
                <w:szCs w:val="20"/>
                <w:color w:val="auto"/>
              </w:rPr>
            </w:pPr>
            <w:r>
              <w:rPr>
                <w:rFonts w:ascii="Times New Roman" w:cs="Times New Roman" w:eastAsia="Times New Roman" w:hAnsi="Times New Roman"/>
                <w:sz w:val="17"/>
                <w:szCs w:val="17"/>
                <w:color w:val="auto"/>
              </w:rPr>
              <w:t>Other comprehensive income (loss) before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0"/>
        </w:trPr>
        <w:tc>
          <w:tcPr>
            <w:tcW w:w="40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(2,152)</w:t>
            </w:r>
          </w:p>
        </w:tc>
      </w:tr>
      <w:tr>
        <w:trPr>
          <w:trHeight w:val="179"/>
        </w:trPr>
        <w:tc>
          <w:tcPr>
            <w:tcW w:w="4080" w:type="dxa"/>
            <w:vAlign w:val="bottom"/>
            <w:shd w:val="clear" w:color="auto" w:fill="CFF0FC"/>
          </w:tcPr>
          <w:p>
            <w:pPr>
              <w:ind w:left="440"/>
              <w:spacing w:after="0" w:line="180" w:lineRule="exact"/>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21"/>
        </w:trPr>
        <w:tc>
          <w:tcPr>
            <w:tcW w:w="40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7"/>
                <w:szCs w:val="17"/>
                <w:color w:val="auto"/>
              </w:rPr>
              <w:t>comprehensive loss</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418</w:t>
            </w:r>
          </w:p>
        </w:tc>
      </w:tr>
      <w:tr>
        <w:trPr>
          <w:trHeight w:val="200"/>
        </w:trPr>
        <w:tc>
          <w:tcPr>
            <w:tcW w:w="4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82</w:t>
            </w:r>
          </w:p>
        </w:tc>
      </w:tr>
      <w:tr>
        <w:trPr>
          <w:trHeight w:val="206"/>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December 31, 2014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(4,206)</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was $1.652 billion in 2014 and $331 million in 2012. Other comprehensive income was $1.334 billion in 2013.</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2" w:right="239" w:bottom="1440" w:gutter="0" w:footer="0" w:header="0"/>
        </w:sectPr>
      </w:pPr>
    </w:p>
    <w:bookmarkStart w:id="47" w:name="page48"/>
    <w:bookmarkEnd w:id="47"/>
    <w:p>
      <w:pPr>
        <w:ind w:left="280" w:hanging="274"/>
        <w:spacing w:after="0"/>
        <w:tabs>
          <w:tab w:leader="none" w:pos="2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Stock-based Compensation Plans</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has three types of stock-based compensation programs: (i) stock options, (ii) a restricted stock, restricted stock unit and performance share unit program (collectively referred to as “restricted stock”) and (iii) a discounted stock purchase plan (“DSPP”).</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Key employees are granted stock options under Schlumberger stock option plans. For all of the stock options granted, the exercise price equals the average of the high and low sales prices of Schlumberger stock on the date of grant; an option’s maximum term is ten years, and options generally vest in increments over five years.</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Borders>
              <w:bottom w:val="single" w:sz="8" w:color="CFF0FC"/>
            </w:tcBorders>
          </w:tcPr>
          <w:p>
            <w:pPr>
              <w:spacing w:after="0"/>
              <w:rPr>
                <w:sz w:val="20"/>
                <w:szCs w:val="20"/>
                <w:color w:val="auto"/>
              </w:rPr>
            </w:pPr>
          </w:p>
        </w:tc>
      </w:tr>
      <w:tr>
        <w:trPr>
          <w:trHeight w:val="23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w:t>
            </w: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37%</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21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w:t>
            </w: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r>
      <w:tr>
        <w:trPr>
          <w:trHeight w:val="21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per share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34.20</w:t>
            </w: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    23.93</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20" w:type="dxa"/>
            <w:vAlign w:val="bottom"/>
            <w:shd w:val="clear" w:color="auto" w:fill="CFF0FC"/>
          </w:tcPr>
          <w:p>
            <w:pPr>
              <w:spacing w:after="0"/>
              <w:rPr>
                <w:sz w:val="18"/>
                <w:szCs w:val="18"/>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concerning options outstanding and options exercisable as of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7"/>
          </w:tcPr>
          <w:p>
            <w:pPr>
              <w:ind w:left="1080"/>
              <w:spacing w:after="0"/>
              <w:rPr>
                <w:sz w:val="20"/>
                <w:szCs w:val="20"/>
                <w:color w:val="auto"/>
              </w:rPr>
            </w:pPr>
            <w:r>
              <w:rPr>
                <w:rFonts w:ascii="Times New Roman" w:cs="Times New Roman" w:eastAsia="Times New Roman" w:hAnsi="Times New Roman"/>
                <w:sz w:val="14"/>
                <w:szCs w:val="14"/>
                <w:i w:val="1"/>
                <w:iCs w:val="1"/>
                <w:color w:val="auto"/>
              </w:rPr>
              <w:t>(Shares stated in thousands)</w:t>
            </w:r>
          </w:p>
        </w:tc>
      </w:tr>
      <w:tr>
        <w:trPr>
          <w:trHeight w:val="317"/>
        </w:trPr>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Options Outstanding</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188"/>
        </w:trPr>
        <w:tc>
          <w:tcPr>
            <w:tcW w:w="5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5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average</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Weighted-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3"/>
        </w:trPr>
        <w:tc>
          <w:tcPr>
            <w:tcW w:w="5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remaining</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average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3"/>
        </w:trPr>
        <w:tc>
          <w:tcPr>
            <w:tcW w:w="5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8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contractual life</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exercise</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Options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exercise</w:t>
            </w:r>
          </w:p>
        </w:tc>
      </w:tr>
      <w:tr>
        <w:trPr>
          <w:trHeight w:val="231"/>
        </w:trPr>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Exercise prices range</w:t>
            </w:r>
          </w:p>
        </w:tc>
        <w:tc>
          <w:tcPr>
            <w:tcW w:w="24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Outstanding</w:t>
            </w: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4"/>
              </w:rPr>
              <w:t>price</w:t>
            </w:r>
          </w:p>
        </w:tc>
        <w:tc>
          <w:tcPr>
            <w:tcW w:w="22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Exercisable</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price</w:t>
            </w:r>
          </w:p>
        </w:tc>
        <w:tc>
          <w:tcPr>
            <w:tcW w:w="100" w:type="dxa"/>
            <w:vAlign w:val="bottom"/>
            <w:tcBorders>
              <w:bottom w:val="single" w:sz="8" w:color="CFF0FC"/>
            </w:tcBorders>
            <w:gridSpan w:val="2"/>
          </w:tcPr>
          <w:p>
            <w:pPr>
              <w:spacing w:after="0"/>
              <w:rPr>
                <w:sz w:val="20"/>
                <w:szCs w:val="20"/>
                <w:color w:val="auto"/>
              </w:rPr>
            </w:pPr>
          </w:p>
        </w:tc>
      </w:tr>
      <w:tr>
        <w:trPr>
          <w:trHeight w:val="233"/>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$32.45 - $67.87</w:t>
            </w:r>
          </w:p>
        </w:tc>
        <w:tc>
          <w:tcPr>
            <w:tcW w:w="2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6,553</w:t>
            </w:r>
          </w:p>
        </w:tc>
        <w:tc>
          <w:tcPr>
            <w:tcW w:w="16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51.50</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6,295</w:t>
            </w:r>
          </w:p>
        </w:tc>
        <w:tc>
          <w:tcPr>
            <w:tcW w:w="1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51.03</w:t>
            </w:r>
          </w:p>
        </w:tc>
        <w:tc>
          <w:tcPr>
            <w:tcW w:w="80" w:type="dxa"/>
            <w:vAlign w:val="bottom"/>
            <w:shd w:val="clear" w:color="auto" w:fill="CFF0FC"/>
          </w:tcPr>
          <w:p>
            <w:pPr>
              <w:spacing w:after="0"/>
              <w:rPr>
                <w:sz w:val="20"/>
                <w:szCs w:val="20"/>
                <w:color w:val="auto"/>
              </w:rPr>
            </w:pPr>
          </w:p>
        </w:tc>
      </w:tr>
      <w:tr>
        <w:trPr>
          <w:trHeight w:val="21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$68.51</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$70.93</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8,346</w:t>
            </w: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3,648</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69.02</w:t>
            </w:r>
          </w:p>
        </w:tc>
        <w:tc>
          <w:tcPr>
            <w:tcW w:w="80" w:type="dxa"/>
            <w:vAlign w:val="bottom"/>
          </w:tcPr>
          <w:p>
            <w:pPr>
              <w:spacing w:after="0"/>
              <w:rPr>
                <w:sz w:val="18"/>
                <w:szCs w:val="18"/>
                <w:color w:val="auto"/>
              </w:rPr>
            </w:pPr>
          </w:p>
        </w:tc>
      </w:tr>
      <w:tr>
        <w:trPr>
          <w:trHeight w:val="213"/>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$72.11 - $78.31</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7,553</w:t>
            </w:r>
          </w:p>
        </w:tc>
        <w:tc>
          <w:tcPr>
            <w:tcW w:w="16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72.56</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1,915</w:t>
            </w:r>
          </w:p>
        </w:tc>
        <w:tc>
          <w:tcPr>
            <w:tcW w:w="1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72.47</w:t>
            </w:r>
          </w:p>
        </w:tc>
        <w:tc>
          <w:tcPr>
            <w:tcW w:w="80" w:type="dxa"/>
            <w:vAlign w:val="bottom"/>
            <w:shd w:val="clear" w:color="auto" w:fill="CFF0FC"/>
          </w:tcPr>
          <w:p>
            <w:pPr>
              <w:spacing w:after="0"/>
              <w:rPr>
                <w:sz w:val="18"/>
                <w:szCs w:val="18"/>
                <w:color w:val="auto"/>
              </w:rPr>
            </w:pPr>
          </w:p>
        </w:tc>
      </w:tr>
      <w:tr>
        <w:trPr>
          <w:trHeight w:val="21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$83.88</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$84.93</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8,045</w:t>
            </w: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5,118</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84.34</w:t>
            </w:r>
          </w:p>
        </w:tc>
        <w:tc>
          <w:tcPr>
            <w:tcW w:w="80" w:type="dxa"/>
            <w:vAlign w:val="bottom"/>
          </w:tcPr>
          <w:p>
            <w:pPr>
              <w:spacing w:after="0"/>
              <w:rPr>
                <w:sz w:val="18"/>
                <w:szCs w:val="18"/>
                <w:color w:val="auto"/>
              </w:rPr>
            </w:pPr>
          </w:p>
        </w:tc>
      </w:tr>
      <w:tr>
        <w:trPr>
          <w:trHeight w:val="213"/>
        </w:trPr>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$88.61</w:t>
            </w:r>
          </w:p>
        </w:tc>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$114.83</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8,086</w:t>
            </w:r>
          </w:p>
        </w:tc>
        <w:tc>
          <w:tcPr>
            <w:tcW w:w="16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97.78</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1,566</w:t>
            </w:r>
          </w:p>
        </w:tc>
        <w:tc>
          <w:tcPr>
            <w:tcW w:w="1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95.92</w:t>
            </w:r>
          </w:p>
        </w:tc>
        <w:tc>
          <w:tcPr>
            <w:tcW w:w="80" w:type="dxa"/>
            <w:vAlign w:val="bottom"/>
            <w:shd w:val="clear" w:color="auto" w:fill="CFF0FC"/>
          </w:tcPr>
          <w:p>
            <w:pPr>
              <w:spacing w:after="0"/>
              <w:rPr>
                <w:sz w:val="18"/>
                <w:szCs w:val="18"/>
                <w:color w:val="auto"/>
              </w:rPr>
            </w:pPr>
          </w:p>
        </w:tc>
      </w:tr>
      <w:tr>
        <w:trPr>
          <w:trHeight w:val="206"/>
        </w:trPr>
        <w:tc>
          <w:tcPr>
            <w:tcW w:w="5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life of stock options exercisable as of December 31, 2014 was 4.2 years.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years ended December 31, 2014, 2013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6"/>
          </w:tcPr>
          <w:p>
            <w:pPr>
              <w:ind w:left="860"/>
              <w:spacing w:after="0"/>
              <w:rPr>
                <w:sz w:val="20"/>
                <w:szCs w:val="20"/>
                <w:color w:val="auto"/>
              </w:rPr>
            </w:pPr>
            <w:r>
              <w:rPr>
                <w:rFonts w:ascii="Times New Roman" w:cs="Times New Roman" w:eastAsia="Times New Roman" w:hAnsi="Times New Roman"/>
                <w:sz w:val="14"/>
                <w:szCs w:val="14"/>
                <w:i w:val="1"/>
                <w:iCs w:val="1"/>
                <w:color w:val="auto"/>
              </w:rPr>
              <w:t>(Shares stated in thousands)</w:t>
            </w:r>
          </w:p>
        </w:tc>
      </w:tr>
      <w:tr>
        <w:trPr>
          <w:trHeight w:val="317"/>
        </w:trPr>
        <w:tc>
          <w:tcPr>
            <w:tcW w:w="3320" w:type="dxa"/>
            <w:vAlign w:val="bottom"/>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1"/>
              <w:spacing w:after="0" w:line="188" w:lineRule="exact"/>
              <w:rPr>
                <w:sz w:val="20"/>
                <w:szCs w:val="20"/>
                <w:color w:val="auto"/>
              </w:rPr>
            </w:pPr>
            <w:r>
              <w:rPr>
                <w:rFonts w:ascii="Times New Roman" w:cs="Times New Roman" w:eastAsia="Times New Roman" w:hAnsi="Times New Roman"/>
                <w:sz w:val="18"/>
                <w:szCs w:val="18"/>
                <w:color w:val="auto"/>
                <w:w w:val="97"/>
              </w:rPr>
              <w:t>Weighted-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1"/>
              <w:spacing w:after="0" w:line="188" w:lineRule="exact"/>
              <w:rPr>
                <w:sz w:val="20"/>
                <w:szCs w:val="20"/>
                <w:color w:val="auto"/>
              </w:rPr>
            </w:pPr>
            <w:r>
              <w:rPr>
                <w:rFonts w:ascii="Times New Roman" w:cs="Times New Roman" w:eastAsia="Times New Roman" w:hAnsi="Times New Roman"/>
                <w:sz w:val="18"/>
                <w:szCs w:val="18"/>
                <w:color w:val="auto"/>
                <w:w w:val="97"/>
              </w:rPr>
              <w:t>Weighted-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1"/>
              <w:spacing w:after="0" w:line="188"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6"/>
                <w:szCs w:val="16"/>
                <w:color w:val="auto"/>
              </w:rPr>
            </w:pPr>
          </w:p>
        </w:tc>
      </w:tr>
      <w:tr>
        <w:trPr>
          <w:trHeight w:val="213"/>
        </w:trPr>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average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average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average</w:t>
            </w:r>
          </w:p>
        </w:tc>
      </w:tr>
      <w:tr>
        <w:trPr>
          <w:trHeight w:val="213"/>
        </w:trPr>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exercise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exercise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exercise</w:t>
            </w:r>
          </w:p>
        </w:tc>
      </w:tr>
      <w:tr>
        <w:trPr>
          <w:trHeight w:val="231"/>
        </w:trPr>
        <w:tc>
          <w:tcPr>
            <w:tcW w:w="332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price</w:t>
            </w:r>
          </w:p>
        </w:tc>
        <w:tc>
          <w:tcPr>
            <w:tcW w:w="24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price</w:t>
            </w:r>
          </w:p>
        </w:tc>
        <w:tc>
          <w:tcPr>
            <w:tcW w:w="24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4"/>
              </w:rPr>
              <w:t>price</w:t>
            </w:r>
          </w:p>
        </w:tc>
        <w:tc>
          <w:tcPr>
            <w:tcW w:w="100" w:type="dxa"/>
            <w:vAlign w:val="bottom"/>
            <w:tcBorders>
              <w:bottom w:val="single" w:sz="8" w:color="CFF0FC"/>
            </w:tcBorders>
          </w:tcPr>
          <w:p>
            <w:pPr>
              <w:spacing w:after="0"/>
              <w:rPr>
                <w:sz w:val="20"/>
                <w:szCs w:val="20"/>
                <w:color w:val="auto"/>
              </w:rPr>
            </w:pPr>
          </w:p>
        </w:tc>
      </w:tr>
      <w:tr>
        <w:trPr>
          <w:trHeight w:val="23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41,939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70.33</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42,059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67.77</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40,027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63.84</w:t>
            </w: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6,105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99.04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6,570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72.16</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72.04</w:t>
            </w:r>
          </w:p>
        </w:tc>
      </w:tr>
      <w:tr>
        <w:trPr>
          <w:trHeight w:val="21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(8,269)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64.19</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(5,168)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51.73</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(4,171)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39.07</w:t>
            </w: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(1,192)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73.56</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70.57</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67.50</w:t>
            </w:r>
          </w:p>
        </w:tc>
      </w:tr>
      <w:tr>
        <w:trPr>
          <w:trHeight w:val="206"/>
        </w:trPr>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year-end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38,583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76.10</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stock options outstanding as of December 31, 2014 was $459 million.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stock options exercisable as of December 31, 2014 was $306 million.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9" w:right="239" w:bottom="1440" w:gutter="0" w:footer="0" w:header="0"/>
        </w:sectPr>
      </w:pPr>
    </w:p>
    <w:bookmarkStart w:id="48" w:name="page49"/>
    <w:bookmarkEnd w:id="48"/>
    <w:p>
      <w:pPr>
        <w:jc w:val="both"/>
        <w:spacing w:after="0" w:line="275"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2014, 2013 and 2012 was $314 million, $176 million and $142 million, respectively.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2013, Schlumberger began granting performance share units to certain executives. The number of shares earned is determined at the end of each performance period, which is generally three years, based on Schlumberger’s achievement of a predefined return on capital employed (“ROCE”), as defined in the underlying performance share unit agreement. In the event the ROCE exceeds the predefined target, shares for up to the maximum of 250% of the target award may be granted. In the event the ROCE falls below the predefined target, a reduced number of shares may be granted. If the ROCE falls below the threshold award performance level, no shares will be granted. As of December 31, 2014, performance share units of 0.6 million were outstanding based on the achievement of 100% of target.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restricted stock awards generally vest at the end of three years.</w:t>
      </w:r>
    </w:p>
    <w:p>
      <w:pPr>
        <w:spacing w:after="0" w:line="21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Restricted stock awards do not pay dividends or allow voting rights during the performance period. Accordingly, the fair value of the restricted stock award is the quoted market price of Schlumberger’s stock on the date of grant less the present value of the expected dividends not received during the vesting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all restricted stock transactions: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6"/>
          </w:tcPr>
          <w:p>
            <w:pPr>
              <w:ind w:left="860"/>
              <w:spacing w:after="0"/>
              <w:rPr>
                <w:sz w:val="20"/>
                <w:szCs w:val="20"/>
                <w:color w:val="auto"/>
              </w:rPr>
            </w:pPr>
            <w:r>
              <w:rPr>
                <w:rFonts w:ascii="Times New Roman" w:cs="Times New Roman" w:eastAsia="Times New Roman" w:hAnsi="Times New Roman"/>
                <w:sz w:val="14"/>
                <w:szCs w:val="14"/>
                <w:i w:val="1"/>
                <w:iCs w:val="1"/>
                <w:color w:val="auto"/>
              </w:rPr>
              <w:t>(Shares stated in thousands)</w:t>
            </w:r>
          </w:p>
        </w:tc>
      </w:tr>
      <w:tr>
        <w:trPr>
          <w:trHeight w:val="317"/>
        </w:trPr>
        <w:tc>
          <w:tcPr>
            <w:tcW w:w="3320" w:type="dxa"/>
            <w:vAlign w:val="bottom"/>
          </w:tcPr>
          <w:p>
            <w:pPr>
              <w:spacing w:after="0"/>
              <w:rPr>
                <w:sz w:val="24"/>
                <w:szCs w:val="24"/>
                <w:color w:val="auto"/>
              </w:rPr>
            </w:pPr>
          </w:p>
        </w:tc>
        <w:tc>
          <w:tcPr>
            <w:tcW w:w="154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1"/>
              <w:spacing w:after="0" w:line="188" w:lineRule="exact"/>
              <w:rPr>
                <w:sz w:val="20"/>
                <w:szCs w:val="20"/>
                <w:color w:val="auto"/>
              </w:rPr>
            </w:pPr>
            <w:r>
              <w:rPr>
                <w:rFonts w:ascii="Times New Roman" w:cs="Times New Roman" w:eastAsia="Times New Roman" w:hAnsi="Times New Roman"/>
                <w:sz w:val="18"/>
                <w:szCs w:val="18"/>
                <w:color w:val="auto"/>
                <w:w w:val="94"/>
              </w:rPr>
              <w:t>Weighted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1"/>
              <w:spacing w:after="0" w:line="188" w:lineRule="exact"/>
              <w:rPr>
                <w:sz w:val="20"/>
                <w:szCs w:val="20"/>
                <w:color w:val="auto"/>
              </w:rPr>
            </w:pPr>
            <w:r>
              <w:rPr>
                <w:rFonts w:ascii="Times New Roman" w:cs="Times New Roman" w:eastAsia="Times New Roman" w:hAnsi="Times New Roman"/>
                <w:sz w:val="18"/>
                <w:szCs w:val="18"/>
                <w:color w:val="auto"/>
                <w:w w:val="94"/>
              </w:rPr>
              <w:t>Weighted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1"/>
              <w:spacing w:after="0" w:line="188" w:lineRule="exact"/>
              <w:rPr>
                <w:sz w:val="20"/>
                <w:szCs w:val="20"/>
                <w:color w:val="auto"/>
              </w:rPr>
            </w:pPr>
            <w:r>
              <w:rPr>
                <w:rFonts w:ascii="Times New Roman" w:cs="Times New Roman" w:eastAsia="Times New Roman" w:hAnsi="Times New Roman"/>
                <w:sz w:val="18"/>
                <w:szCs w:val="18"/>
                <w:color w:val="auto"/>
                <w:w w:val="94"/>
              </w:rPr>
              <w:t>Weighted</w:t>
            </w:r>
          </w:p>
        </w:tc>
        <w:tc>
          <w:tcPr>
            <w:tcW w:w="120" w:type="dxa"/>
            <w:vAlign w:val="bottom"/>
          </w:tcPr>
          <w:p>
            <w:pPr>
              <w:spacing w:after="0"/>
              <w:rPr>
                <w:sz w:val="16"/>
                <w:szCs w:val="16"/>
                <w:color w:val="auto"/>
              </w:rPr>
            </w:pPr>
          </w:p>
        </w:tc>
      </w:tr>
      <w:tr>
        <w:trPr>
          <w:trHeight w:val="213"/>
        </w:trPr>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5"/>
              </w:rPr>
              <w:t>Average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5"/>
              </w:rPr>
              <w:t>Average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3"/>
        </w:trPr>
        <w:tc>
          <w:tcPr>
            <w:tcW w:w="33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Restricted</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Grant Date</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Restricted</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Grant Date</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Restricted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31"/>
        </w:trPr>
        <w:tc>
          <w:tcPr>
            <w:tcW w:w="332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6"/>
              </w:rPr>
              <w:t>Fair Value</w:t>
            </w:r>
          </w:p>
        </w:tc>
        <w:tc>
          <w:tcPr>
            <w:tcW w:w="24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6"/>
              </w:rPr>
              <w:t>Fair Value</w:t>
            </w:r>
          </w:p>
        </w:tc>
        <w:tc>
          <w:tcPr>
            <w:tcW w:w="24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6"/>
              </w:rPr>
              <w:t>Fair Value</w:t>
            </w:r>
          </w:p>
        </w:tc>
        <w:tc>
          <w:tcPr>
            <w:tcW w:w="120" w:type="dxa"/>
            <w:vAlign w:val="bottom"/>
            <w:tcBorders>
              <w:bottom w:val="single" w:sz="8" w:color="CFF0FC"/>
            </w:tcBorders>
          </w:tcPr>
          <w:p>
            <w:pPr>
              <w:spacing w:after="0"/>
              <w:rPr>
                <w:sz w:val="20"/>
                <w:szCs w:val="20"/>
                <w:color w:val="auto"/>
              </w:rPr>
            </w:pPr>
          </w:p>
        </w:tc>
      </w:tr>
      <w:tr>
        <w:trPr>
          <w:trHeight w:val="23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4,171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76.01</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3,566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2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20" w:type="dxa"/>
            <w:vAlign w:val="bottom"/>
            <w:shd w:val="clear" w:color="auto" w:fill="CFF0FC"/>
          </w:tcPr>
          <w:p>
            <w:pPr>
              <w:spacing w:after="0"/>
              <w:rPr>
                <w:sz w:val="20"/>
                <w:szCs w:val="20"/>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1,341</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96.08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Pr>
          <w:p>
            <w:pPr>
              <w:spacing w:after="0"/>
              <w:rPr>
                <w:sz w:val="18"/>
                <w:szCs w:val="18"/>
                <w:color w:val="auto"/>
              </w:rPr>
            </w:pPr>
          </w:p>
        </w:tc>
      </w:tr>
      <w:tr>
        <w:trPr>
          <w:trHeight w:val="21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(1,186)</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81.59</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20" w:type="dxa"/>
            <w:vAlign w:val="bottom"/>
            <w:shd w:val="clear" w:color="auto" w:fill="CFF0FC"/>
          </w:tcPr>
          <w:p>
            <w:pPr>
              <w:spacing w:after="0"/>
              <w:rPr>
                <w:sz w:val="18"/>
                <w:szCs w:val="18"/>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(188)</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78.68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2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20" w:type="dxa"/>
            <w:vAlign w:val="bottom"/>
          </w:tcPr>
          <w:p>
            <w:pPr>
              <w:spacing w:after="0"/>
              <w:rPr>
                <w:sz w:val="18"/>
                <w:szCs w:val="18"/>
                <w:color w:val="auto"/>
              </w:rPr>
            </w:pPr>
          </w:p>
        </w:tc>
      </w:tr>
      <w:tr>
        <w:trPr>
          <w:trHeight w:val="206"/>
        </w:trPr>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end of year</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4,138</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80.80</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Discounted Stock Purchase Plan</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 of the employees’ purchase rights under the DSPP was estimated using the Black-Scholes model with the following assumptions and resulting weighted average fair value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60" w:type="dxa"/>
            <w:vAlign w:val="bottom"/>
            <w:tcBorders>
              <w:bottom w:val="single" w:sz="8" w:color="CFF0FC"/>
            </w:tcBorders>
          </w:tcPr>
          <w:p>
            <w:pPr>
              <w:spacing w:after="0"/>
              <w:rPr>
                <w:sz w:val="20"/>
                <w:szCs w:val="20"/>
                <w:color w:val="auto"/>
              </w:rPr>
            </w:pPr>
          </w:p>
        </w:tc>
        <w:tc>
          <w:tcPr>
            <w:tcW w:w="2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tcBorders>
              <w:bottom w:val="single" w:sz="8" w:color="CFF0FC"/>
            </w:tcBorders>
          </w:tcPr>
          <w:p>
            <w:pPr>
              <w:spacing w:after="0"/>
              <w:rPr>
                <w:sz w:val="20"/>
                <w:szCs w:val="20"/>
                <w:color w:val="auto"/>
              </w:rPr>
            </w:pPr>
          </w:p>
        </w:tc>
      </w:tr>
      <w:tr>
        <w:trPr>
          <w:trHeight w:val="23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per share</w:t>
            </w: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12.67</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spacing w:after="0"/>
              <w:rPr>
                <w:sz w:val="20"/>
                <w:szCs w:val="20"/>
                <w:color w:val="auto"/>
              </w:rPr>
            </w:pPr>
          </w:p>
        </w:tc>
      </w:tr>
      <w:tr>
        <w:trPr>
          <w:trHeight w:val="405"/>
        </w:trPr>
        <w:tc>
          <w:tcPr>
            <w:tcW w:w="4160" w:type="dxa"/>
            <w:vAlign w:val="bottom"/>
          </w:tcPr>
          <w:p>
            <w:pPr>
              <w:spacing w:after="0"/>
              <w:rPr>
                <w:sz w:val="24"/>
                <w:szCs w:val="24"/>
                <w:color w:val="auto"/>
              </w:rPr>
            </w:pPr>
          </w:p>
        </w:tc>
        <w:tc>
          <w:tcPr>
            <w:tcW w:w="220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334"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Total Stock-based Compensation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stock-based compensation expense recognized in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6"/>
          </w:tcPr>
          <w:p>
            <w:pPr>
              <w:ind w:lef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17"/>
        </w:trPr>
        <w:tc>
          <w:tcPr>
            <w:tcW w:w="3720" w:type="dxa"/>
            <w:vAlign w:val="bottom"/>
            <w:tcBorders>
              <w:bottom w:val="single" w:sz="8" w:color="CFF0FC"/>
            </w:tcBorders>
          </w:tcPr>
          <w:p>
            <w:pPr>
              <w:spacing w:after="0"/>
              <w:rPr>
                <w:sz w:val="24"/>
                <w:szCs w:val="24"/>
                <w:color w:val="auto"/>
              </w:rPr>
            </w:pPr>
          </w:p>
        </w:tc>
        <w:tc>
          <w:tcPr>
            <w:tcW w:w="2560" w:type="dxa"/>
            <w:vAlign w:val="bottom"/>
            <w:tcBorders>
              <w:bottom w:val="single" w:sz="8" w:color="CFF0FC"/>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r>
      <w:tr>
        <w:trPr>
          <w:trHeight w:val="23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320" w:type="dxa"/>
            <w:vAlign w:val="bottom"/>
            <w:gridSpan w:val="2"/>
            <w:shd w:val="clear" w:color="auto" w:fill="CFF0FC"/>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177</w:t>
            </w:r>
          </w:p>
        </w:tc>
        <w:tc>
          <w:tcPr>
            <w:tcW w:w="880" w:type="dxa"/>
            <w:vAlign w:val="bottom"/>
            <w:gridSpan w:val="2"/>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165</w:t>
            </w:r>
          </w:p>
        </w:tc>
        <w:tc>
          <w:tcPr>
            <w:tcW w:w="420" w:type="dxa"/>
            <w:vAlign w:val="bottom"/>
            <w:gridSpan w:val="3"/>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FF0FC"/>
          </w:tcPr>
          <w:p>
            <w:pPr>
              <w:spacing w:after="0"/>
              <w:rPr>
                <w:sz w:val="20"/>
                <w:szCs w:val="20"/>
                <w:color w:val="auto"/>
              </w:rPr>
            </w:pP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r>
      <w:tr>
        <w:trPr>
          <w:trHeight w:val="21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DSPP</w:t>
            </w:r>
          </w:p>
        </w:tc>
        <w:tc>
          <w:tcPr>
            <w:tcW w:w="2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FF0FC"/>
          </w:tcPr>
          <w:p>
            <w:pPr>
              <w:spacing w:after="0"/>
              <w:rPr>
                <w:sz w:val="18"/>
                <w:szCs w:val="18"/>
                <w:color w:val="auto"/>
              </w:rPr>
            </w:pPr>
          </w:p>
        </w:tc>
      </w:tr>
      <w:tr>
        <w:trPr>
          <w:trHeight w:val="206"/>
        </w:trPr>
        <w:tc>
          <w:tcPr>
            <w:tcW w:w="37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6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315</w:t>
            </w:r>
          </w:p>
        </w:tc>
        <w:tc>
          <w:tcPr>
            <w:tcW w:w="1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At December 31, 2014, there was $514 million of total unrecognized compensation cost related to nonvested stock-based compensation arrangements, of which $238 million is expected to be recognized in 2015, $152 million in 2016, $73 million in 2017, $43 million in 2018 and $8 million in 2019.</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As of December 31, 2014, approximately 33 million shares of Schlumberger common stock were available for future grants under Schlumberger’s stock-based compensation programs.</w:t>
      </w:r>
    </w:p>
    <w:p>
      <w:pPr>
        <w:spacing w:after="0" w:line="309" w:lineRule="exact"/>
        <w:rPr>
          <w:sz w:val="20"/>
          <w:szCs w:val="20"/>
          <w:color w:val="auto"/>
        </w:rPr>
      </w:pPr>
    </w:p>
    <w:p>
      <w:pPr>
        <w:ind w:left="320" w:hanging="314"/>
        <w:spacing w:after="0"/>
        <w:tabs>
          <w:tab w:leader="none" w:pos="3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operates in more than 100 tax jurisdictions, where statutory tax rates generally vary from 0% to 40%.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Income from continuing operations before taxes </w:t>
      </w:r>
      <w:r>
        <w:rPr>
          <w:rFonts w:ascii="Times New Roman" w:cs="Times New Roman" w:eastAsia="Times New Roman" w:hAnsi="Times New Roman"/>
          <w:sz w:val="18"/>
          <w:szCs w:val="18"/>
          <w:color w:val="auto"/>
        </w:rPr>
        <w:t>which were subject to United States and non-United States income taxes for each of the three years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were as follows:</w:t>
      </w: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54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FF0FC"/>
            </w:tcBorders>
          </w:tcPr>
          <w:p>
            <w:pPr>
              <w:spacing w:after="0"/>
              <w:rPr>
                <w:sz w:val="24"/>
                <w:szCs w:val="24"/>
                <w:color w:val="auto"/>
              </w:rPr>
            </w:pPr>
          </w:p>
        </w:tc>
      </w:tr>
      <w:tr>
        <w:trPr>
          <w:trHeight w:val="23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1,990</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1,904</w:t>
            </w:r>
          </w:p>
        </w:tc>
        <w:tc>
          <w:tcPr>
            <w:tcW w:w="38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1,980</w:t>
            </w:r>
          </w:p>
        </w:tc>
      </w:tr>
      <w:tr>
        <w:trPr>
          <w:trHeight w:val="21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5,649</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4,979</w:t>
            </w:r>
          </w:p>
        </w:tc>
      </w:tr>
      <w:tr>
        <w:trPr>
          <w:trHeight w:val="206"/>
        </w:trPr>
        <w:tc>
          <w:tcPr>
            <w:tcW w:w="54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Schlumberger recorded pretax charges of $1.773 billion in 2014 ($289 million in the US and $1.484 billion outside of the US). Schlumberger recorded net pretax credits of $420 million in 2013 ($53 million of charges in the US and $473 million of net credits outside the US) and $161 million of pretax charges in 2012 ($52 million in the US and $109 million outside the US). These charges and credits are included in the table above and are more fully described in Note 3</w:t>
      </w: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deferred tax assets (liabilities)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55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Borders>
              <w:bottom w:val="single" w:sz="8" w:color="CFF0FC"/>
            </w:tcBorders>
          </w:tcPr>
          <w:p>
            <w:pPr>
              <w:spacing w:after="0"/>
              <w:rPr>
                <w:sz w:val="24"/>
                <w:szCs w:val="24"/>
                <w:color w:val="auto"/>
              </w:rPr>
            </w:pPr>
          </w:p>
        </w:tc>
      </w:tr>
      <w:tr>
        <w:trPr>
          <w:trHeight w:val="23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327</w:t>
            </w:r>
          </w:p>
        </w:tc>
        <w:tc>
          <w:tcPr>
            <w:tcW w:w="34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r>
      <w:tr>
        <w:trPr>
          <w:trHeight w:val="21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w:t>
            </w:r>
          </w:p>
        </w:tc>
      </w:tr>
      <w:tr>
        <w:trPr>
          <w:trHeight w:val="21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non-US subsidiaries</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r>
      <w:tr>
        <w:trPr>
          <w:trHeight w:val="206"/>
        </w:trPr>
        <w:tc>
          <w:tcPr>
            <w:tcW w:w="55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above deferred tax balances at December 31, 2014 and 2013 were net of valuation allowances relating to net operating losses in certain countries of $190 million and $238 million, respectively.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36"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Taxes on income</w:t>
      </w:r>
      <w:r>
        <w:rPr>
          <w:rFonts w:ascii="Times New Roman" w:cs="Times New Roman" w:eastAsia="Times New Roman" w:hAnsi="Times New Roman"/>
          <w:sz w:val="18"/>
          <w:szCs w:val="18"/>
          <w:color w:val="auto"/>
        </w:rPr>
        <w:t xml:space="preserve"> were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54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0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 Federal</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718</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8"/>
                <w:szCs w:val="18"/>
                <w:color w:val="auto"/>
              </w:rPr>
            </w:pPr>
          </w:p>
        </w:tc>
      </w:tr>
      <w:tr>
        <w:trPr>
          <w:trHeight w:val="213"/>
        </w:trPr>
        <w:tc>
          <w:tcPr>
            <w:tcW w:w="5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United States - State</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51</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Outside United States</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1,380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r>
      <w:tr>
        <w:trPr>
          <w:trHeight w:val="206"/>
        </w:trPr>
        <w:tc>
          <w:tcPr>
            <w:tcW w:w="54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2,149</w:t>
            </w: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United States - Federal</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(194)</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r>
        <w:trPr>
          <w:trHeight w:val="21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 State</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3"/>
        </w:trPr>
        <w:tc>
          <w:tcPr>
            <w:tcW w:w="5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Outside United States</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54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top w:val="single" w:sz="8" w:color="CFF0FC"/>
            </w:tcBorders>
            <w:gridSpan w:val="2"/>
            <w:shd w:val="clear" w:color="auto" w:fill="CFF0FC"/>
          </w:tcPr>
          <w:p>
            <w:pPr>
              <w:spacing w:after="0"/>
              <w:rPr>
                <w:sz w:val="17"/>
                <w:szCs w:val="17"/>
                <w:color w:val="auto"/>
              </w:rPr>
            </w:pPr>
          </w:p>
        </w:tc>
      </w:tr>
      <w:tr>
        <w:trPr>
          <w:trHeight w:val="206"/>
        </w:trPr>
        <w:tc>
          <w:tcPr>
            <w:tcW w:w="5480" w:type="dxa"/>
            <w:vAlign w:val="bottom"/>
          </w:tcPr>
          <w:p>
            <w:pPr>
              <w:spacing w:after="0"/>
              <w:rPr>
                <w:sz w:val="17"/>
                <w:szCs w:val="17"/>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United States statutory federal tax rate (35%) to the consolidated effective tax rate is: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2014</w:t>
            </w:r>
          </w:p>
        </w:tc>
        <w:tc>
          <w:tcPr>
            <w:tcW w:w="3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2013</w:t>
            </w:r>
          </w:p>
        </w:tc>
        <w:tc>
          <w:tcPr>
            <w:tcW w:w="3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Borders>
              <w:bottom w:val="single" w:sz="8" w:color="CFF0FC"/>
            </w:tcBorders>
          </w:tcPr>
          <w:p>
            <w:pPr>
              <w:spacing w:after="0"/>
              <w:rPr>
                <w:sz w:val="20"/>
                <w:szCs w:val="20"/>
                <w:color w:val="auto"/>
              </w:rPr>
            </w:pPr>
          </w:p>
        </w:tc>
      </w:tr>
      <w:tr>
        <w:trPr>
          <w:trHeight w:val="23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statutory federal rate</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Non-US income taxed at different rates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Charges and credits (</w:t>
            </w:r>
            <w:r>
              <w:rPr>
                <w:rFonts w:ascii="Times New Roman" w:cs="Times New Roman" w:eastAsia="Times New Roman" w:hAnsi="Times New Roman"/>
                <w:sz w:val="18"/>
                <w:szCs w:val="18"/>
                <w:i w:val="1"/>
                <w:iCs w:val="1"/>
                <w:color w:val="auto"/>
              </w:rPr>
              <w:t>See Note 3</w:t>
            </w: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w:t>
            </w: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5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6"/>
        </w:trPr>
        <w:tc>
          <w:tcPr>
            <w:tcW w:w="55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number of the jurisdictions in which Schlumberger operates have tax laws that are not fully defined and are evolving. Schlumberger’s tax filings are subject to regular audit by the tax authorities. Tax liabilities are recorded based on estimates of additional taxes which will be due upon the conclusion of these audits.</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reconciliation of the beginning and ending amount of liabilities associated with uncertain tax positions for the years ended December 31, 2014, 2013 and 2012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54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FF0FC"/>
            </w:tcBorders>
          </w:tcPr>
          <w:p>
            <w:pPr>
              <w:spacing w:after="0"/>
              <w:rPr>
                <w:sz w:val="24"/>
                <w:szCs w:val="24"/>
                <w:color w:val="auto"/>
              </w:rPr>
            </w:pPr>
          </w:p>
        </w:tc>
      </w:tr>
      <w:tr>
        <w:trPr>
          <w:trHeight w:val="23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1,452</w:t>
            </w:r>
          </w:p>
        </w:tc>
        <w:tc>
          <w:tcPr>
            <w:tcW w:w="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1,453</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1,353</w:t>
            </w: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r>
      <w:tr>
        <w:trPr>
          <w:trHeight w:val="21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8"/>
                <w:szCs w:val="18"/>
                <w:color w:val="auto"/>
              </w:rPr>
            </w:pP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acquisitions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changes in exchange rates</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the lapse of the applicable statute of limitations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06"/>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amounts above exclude accrued interest and penalties of $243 million, $253 million and $250 million at December 31, 2014, 2013 and 2012, respectively.</w:t>
      </w:r>
    </w:p>
    <w:p>
      <w:pPr>
        <w:spacing w:after="0" w:line="22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 xml:space="preserve">Schlumberger classifies interest and penalties relating to uncertain tax positions within </w:t>
      </w:r>
      <w:r>
        <w:rPr>
          <w:rFonts w:ascii="Times New Roman" w:cs="Times New Roman" w:eastAsia="Times New Roman" w:hAnsi="Times New Roman"/>
          <w:sz w:val="18"/>
          <w:szCs w:val="18"/>
          <w:i w:val="1"/>
          <w:iCs w:val="1"/>
          <w:color w:val="auto"/>
        </w:rPr>
        <w:t>Taxes on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During 2014, 2013 and 2012, Schlumberger recognized $19 million, $30 million and $21 million in interest and penalties, respectively.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32" w:right="239" w:bottom="1440" w:gutter="0" w:footer="0" w:header="0"/>
        </w:sectPr>
      </w:pPr>
    </w:p>
    <w:bookmarkStart w:id="51" w:name="page52"/>
    <w:bookmarkEnd w:id="51"/>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Brazil</w:t>
            </w:r>
          </w:p>
        </w:tc>
        <w:tc>
          <w:tcPr>
            <w:tcW w:w="3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2009 - 2014</w:t>
            </w:r>
          </w:p>
        </w:tc>
      </w:tr>
      <w:tr>
        <w:trPr>
          <w:trHeight w:val="21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2007 - 2014</w:t>
            </w:r>
          </w:p>
        </w:tc>
      </w:tr>
      <w:tr>
        <w:trPr>
          <w:trHeight w:val="21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Ecuador</w:t>
            </w:r>
          </w:p>
        </w:tc>
        <w:tc>
          <w:tcPr>
            <w:tcW w:w="3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2001 - 2014</w:t>
            </w:r>
          </w:p>
        </w:tc>
      </w:tr>
      <w:tr>
        <w:trPr>
          <w:trHeight w:val="21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3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2007 - 2014</w:t>
            </w:r>
          </w:p>
        </w:tc>
      </w:tr>
      <w:tr>
        <w:trPr>
          <w:trHeight w:val="21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Norway</w:t>
            </w:r>
          </w:p>
        </w:tc>
        <w:tc>
          <w:tcPr>
            <w:tcW w:w="3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2013 - 2014</w:t>
            </w:r>
          </w:p>
        </w:tc>
      </w:tr>
      <w:tr>
        <w:trPr>
          <w:trHeight w:val="21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c>
          <w:tcPr>
            <w:tcW w:w="3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2011 - 2014</w:t>
            </w:r>
          </w:p>
        </w:tc>
      </w:tr>
      <w:tr>
        <w:trPr>
          <w:trHeight w:val="21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3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2001 - 2014</w:t>
            </w:r>
          </w:p>
        </w:tc>
      </w:tr>
      <w:tr>
        <w:trPr>
          <w:trHeight w:val="21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2009 - 2014</w:t>
            </w:r>
          </w:p>
        </w:tc>
      </w:tr>
      <w:tr>
        <w:trPr>
          <w:trHeight w:val="21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2011 - 2014</w:t>
            </w:r>
          </w:p>
        </w:tc>
      </w:tr>
    </w:tbl>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of the jurisdictions noted above, Schlumberger operates through more than one legal entity, each of which may have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326" w:lineRule="exact"/>
        <w:rPr>
          <w:sz w:val="20"/>
          <w:szCs w:val="20"/>
          <w:color w:val="auto"/>
        </w:rPr>
      </w:pPr>
    </w:p>
    <w:p>
      <w:pPr>
        <w:ind w:left="280" w:hanging="274"/>
        <w:spacing w:after="0"/>
        <w:tabs>
          <w:tab w:leader="none" w:pos="2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 and Lease Commitments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rental expense was $2.1 billion in 2014, $1.9 billion in 2013, and $1.9 billion in 2012.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commitments under noncancelable operating leases for each of the next five years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660" w:type="dxa"/>
            <w:vAlign w:val="bottom"/>
            <w:gridSpan w:val="4"/>
          </w:tcPr>
          <w:p>
            <w:pPr>
              <w:ind w:left="24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w:t>
            </w:r>
          </w:p>
        </w:tc>
        <w:tc>
          <w:tcPr>
            <w:tcW w:w="284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tcBorders>
              <w:top w:val="single" w:sz="8" w:color="CFF0FC"/>
              <w:bottom w:val="single" w:sz="8" w:color="CFF0FC"/>
            </w:tcBorders>
            <w:shd w:val="clear" w:color="auto" w:fill="CFF0FC"/>
          </w:tcPr>
          <w:p>
            <w:pPr>
              <w:spacing w:after="0"/>
              <w:rPr>
                <w:sz w:val="17"/>
                <w:szCs w:val="17"/>
                <w:color w:val="auto"/>
              </w:rPr>
            </w:pPr>
          </w:p>
        </w:tc>
        <w:tc>
          <w:tcPr>
            <w:tcW w:w="24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280" w:hanging="274"/>
        <w:spacing w:after="0"/>
        <w:tabs>
          <w:tab w:leader="none" w:pos="2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2009, United States officials began a grand jury investigation and an associated regulatory inquiry, both related to certain historical Schlumberger operations in countrieswhere Schlumberger no longer operates that are subject to United States trade and economic sanctions. Governmental agencies and authorities have a broad range of civil and criminal penalties that they may seek to impose for violations of trade and economic sanction laws including, but not limited to, disgorgement, fines, penalties and modifications to business practices. In recent years, these agencies and authorities have obtained a wide range of penalties in settlements with companies arising from trade and economic sanction investigations, including in some cases forfeitures, fines and other penalties in the tens and hundreds of millions of dollars. Schlumberger continues to cooperate and has been discussing the resolution of this matter with the governmental authorities. During the second quarter of 2014, these discussions progressed to a point whereby Schlumberger determined that it was appropriate to increase its liability for this contingency. Accordingly, Schlumberger recorded a $205 million charge, which is reflected within </w:t>
      </w:r>
      <w:r>
        <w:rPr>
          <w:rFonts w:ascii="Times New Roman" w:cs="Times New Roman" w:eastAsia="Times New Roman" w:hAnsi="Times New Roman"/>
          <w:sz w:val="18"/>
          <w:szCs w:val="18"/>
          <w:i w:val="1"/>
          <w:iCs w:val="1"/>
          <w:color w:val="auto"/>
        </w:rPr>
        <w:t>Loss from discontinued operations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However, no certainty exists that a settlement will be reached or if so, the amount of any such settlement. Therefore,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 loss could be greater or less than the amount accrued.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with respect to these other legal proceedings is remote. However, litigation is inherently uncertain and it is not possible to predict the ultimate disposition of any of these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34" w:right="239" w:bottom="1440" w:gutter="0" w:footer="0" w:header="0"/>
        </w:sectPr>
      </w:pPr>
    </w:p>
    <w:bookmarkStart w:id="52" w:name="page53"/>
    <w:bookmarkEnd w:id="52"/>
    <w:p>
      <w:pPr>
        <w:ind w:left="280" w:hanging="274"/>
        <w:spacing w:after="0"/>
        <w:tabs>
          <w:tab w:leader="none" w:pos="2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segments are as follows:</w:t>
      </w:r>
    </w:p>
    <w:p>
      <w:pPr>
        <w:spacing w:after="0" w:line="108" w:lineRule="exact"/>
        <w:rPr>
          <w:sz w:val="20"/>
          <w:szCs w:val="20"/>
          <w:color w:val="auto"/>
        </w:rPr>
      </w:pPr>
    </w:p>
    <w:p>
      <w:pPr>
        <w:ind w:left="1020" w:hanging="366"/>
        <w:spacing w:after="0" w:line="280"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Reservoir Characterization Group </w:t>
      </w:r>
      <w:r>
        <w:rPr>
          <w:rFonts w:ascii="Times New Roman" w:cs="Times New Roman" w:eastAsia="Times New Roman" w:hAnsi="Times New Roman"/>
          <w:sz w:val="18"/>
          <w:szCs w:val="18"/>
          <w:color w:val="auto"/>
        </w:rPr>
        <w:t>– Consists of the principal technologies involved in finding and defining hydrocarbon resources.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WesternGeco, Wireline, Testing Services, Schlumberger Information Services and PetroTechnical Services.</w:t>
      </w:r>
    </w:p>
    <w:p>
      <w:pPr>
        <w:spacing w:after="0" w:line="49" w:lineRule="exact"/>
        <w:rPr>
          <w:rFonts w:ascii="Times New Roman" w:cs="Times New Roman" w:eastAsia="Times New Roman" w:hAnsi="Times New Roman"/>
          <w:sz w:val="18"/>
          <w:szCs w:val="18"/>
          <w:color w:val="auto"/>
        </w:rPr>
      </w:pPr>
    </w:p>
    <w:p>
      <w:pPr>
        <w:jc w:val="both"/>
        <w:ind w:left="1020" w:right="20" w:hanging="360"/>
        <w:spacing w:after="0" w:line="263"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Drilling Group </w:t>
      </w:r>
      <w:r>
        <w:rPr>
          <w:rFonts w:ascii="Times New Roman" w:cs="Times New Roman" w:eastAsia="Times New Roman" w:hAnsi="Times New Roman"/>
          <w:sz w:val="18"/>
          <w:szCs w:val="18"/>
          <w:color w:val="auto"/>
        </w:rPr>
        <w:t>– Consists of the principal technologies involved in the drilling and positioning of oil and gas wells. These include Bits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Technologies, M-I SWACO, Geoservices, Drilling &amp; Measurements, Drilling Tools &amp; Remedial Services, Saxon Rig Services and Integrated Project Management well construction projects.</w:t>
      </w:r>
    </w:p>
    <w:p>
      <w:pPr>
        <w:spacing w:after="0" w:line="64" w:lineRule="exact"/>
        <w:rPr>
          <w:rFonts w:ascii="Times New Roman" w:cs="Times New Roman" w:eastAsia="Times New Roman" w:hAnsi="Times New Roman"/>
          <w:sz w:val="18"/>
          <w:szCs w:val="18"/>
          <w:color w:val="auto"/>
        </w:rPr>
      </w:pPr>
    </w:p>
    <w:p>
      <w:pPr>
        <w:jc w:val="both"/>
        <w:ind w:left="1020" w:right="20" w:hanging="360"/>
        <w:spacing w:after="0" w:line="263"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Production Group </w:t>
      </w:r>
      <w:r>
        <w:rPr>
          <w:rFonts w:ascii="Times New Roman" w:cs="Times New Roman" w:eastAsia="Times New Roman" w:hAnsi="Times New Roman"/>
          <w:sz w:val="18"/>
          <w:szCs w:val="18"/>
          <w:color w:val="auto"/>
        </w:rPr>
        <w:t>– Consists of the principal technologies involved in the lifetime production of oil and gas reservoirs. These include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Completions, Artificial Lift, Well Intervention, Water Services, and the Schlumberger Production Management field production projects.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the years ended December 31, 2014, 2013 and 2012, by segment,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1"/>
        </w:trPr>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color w:val="auto"/>
                <w:w w:val="99"/>
              </w:rPr>
              <w:t>Income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before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Capital</w:t>
            </w:r>
          </w:p>
        </w:tc>
      </w:tr>
      <w:tr>
        <w:trPr>
          <w:trHeight w:val="231"/>
        </w:trPr>
        <w:tc>
          <w:tcPr>
            <w:tcW w:w="46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7"/>
              </w:rPr>
              <w:t>taxes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7"/>
              </w:rPr>
              <w:t>Amortization</w:t>
            </w:r>
          </w:p>
        </w:tc>
        <w:tc>
          <w:tcPr>
            <w:tcW w:w="100" w:type="dxa"/>
            <w:vAlign w:val="bottom"/>
            <w:tcBorders>
              <w:bottom w:val="single" w:sz="8" w:color="CFF0FC"/>
            </w:tcBorders>
            <w:gridSpan w:val="2"/>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Expenditures</w:t>
            </w:r>
          </w:p>
        </w:tc>
        <w:tc>
          <w:tcPr>
            <w:tcW w:w="100" w:type="dxa"/>
            <w:vAlign w:val="bottom"/>
            <w:tcBorders>
              <w:bottom w:val="single" w:sz="8" w:color="CFF0FC"/>
            </w:tcBorders>
          </w:tcPr>
          <w:p>
            <w:pPr>
              <w:spacing w:after="0"/>
              <w:rPr>
                <w:sz w:val="20"/>
                <w:szCs w:val="20"/>
                <w:color w:val="auto"/>
              </w:rPr>
            </w:pPr>
          </w:p>
        </w:tc>
      </w:tr>
      <w:tr>
        <w:trPr>
          <w:trHeight w:val="23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12,224</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3,607</w:t>
            </w:r>
          </w:p>
        </w:tc>
        <w:tc>
          <w:tcPr>
            <w:tcW w:w="3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1,391</w:t>
            </w:r>
          </w:p>
        </w:tc>
        <w:tc>
          <w:tcPr>
            <w:tcW w:w="8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100" w:type="dxa"/>
            <w:vAlign w:val="bottom"/>
            <w:shd w:val="clear" w:color="auto" w:fill="CFF0FC"/>
          </w:tcPr>
          <w:p>
            <w:pPr>
              <w:spacing w:after="0"/>
              <w:rPr>
                <w:sz w:val="20"/>
                <w:szCs w:val="20"/>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18,462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11,378</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100" w:type="dxa"/>
            <w:vAlign w:val="bottom"/>
          </w:tcPr>
          <w:p>
            <w:pPr>
              <w:spacing w:after="0"/>
              <w:rPr>
                <w:sz w:val="18"/>
                <w:szCs w:val="18"/>
                <w:color w:val="auto"/>
              </w:rPr>
            </w:pPr>
          </w:p>
        </w:tc>
      </w:tr>
      <w:tr>
        <w:trPr>
          <w:trHeight w:val="21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18,111</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3,227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11,848</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100" w:type="dxa"/>
            <w:vAlign w:val="bottom"/>
            <w:shd w:val="clear" w:color="auto" w:fill="CFF0FC"/>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(217)</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1,577</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Pr>
          <w:p>
            <w:pPr>
              <w:spacing w:after="0"/>
              <w:rPr>
                <w:sz w:val="18"/>
                <w:szCs w:val="18"/>
                <w:color w:val="auto"/>
              </w:rPr>
            </w:pPr>
          </w:p>
        </w:tc>
      </w:tr>
      <w:tr>
        <w:trPr>
          <w:trHeight w:val="206"/>
        </w:trPr>
        <w:tc>
          <w:tcPr>
            <w:tcW w:w="468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10,576</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20,142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2,185</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46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11,178</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income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46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Charges &amp; credits </w:t>
            </w:r>
            <w:r>
              <w:rPr>
                <w:rFonts w:ascii="Times New Roman" w:cs="Times New Roman" w:eastAsia="Times New Roman" w:hAnsi="Times New Roman"/>
                <w:sz w:val="24"/>
                <w:szCs w:val="24"/>
                <w:color w:val="auto"/>
                <w:vertAlign w:val="superscript"/>
              </w:rPr>
              <w:t>(4)</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(1,773)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6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48,580</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2"/>
              </w:rPr>
              <w:t>66,904</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10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1"/>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17"/>
        </w:trPr>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color w:val="auto"/>
                <w:w w:val="99"/>
              </w:rPr>
              <w:t>Income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color w:val="auto"/>
                <w:w w:val="98"/>
              </w:rPr>
              <w:t>Depreciation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before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r>
      <w:tr>
        <w:trPr>
          <w:trHeight w:val="231"/>
        </w:trPr>
        <w:tc>
          <w:tcPr>
            <w:tcW w:w="46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7"/>
              </w:rPr>
              <w:t>taxes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Amortization</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Expenditures</w:t>
            </w:r>
          </w:p>
        </w:tc>
        <w:tc>
          <w:tcPr>
            <w:tcW w:w="100" w:type="dxa"/>
            <w:vAlign w:val="bottom"/>
            <w:tcBorders>
              <w:bottom w:val="single" w:sz="8" w:color="CFF0FC"/>
            </w:tcBorders>
          </w:tcPr>
          <w:p>
            <w:pPr>
              <w:spacing w:after="0"/>
              <w:rPr>
                <w:sz w:val="20"/>
                <w:szCs w:val="20"/>
                <w:color w:val="auto"/>
              </w:rPr>
            </w:pPr>
          </w:p>
        </w:tc>
      </w:tr>
      <w:tr>
        <w:trPr>
          <w:trHeight w:val="23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12,463</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3,660</w:t>
            </w:r>
          </w:p>
        </w:tc>
        <w:tc>
          <w:tcPr>
            <w:tcW w:w="3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FF0FC"/>
          </w:tcPr>
          <w:p>
            <w:pPr>
              <w:spacing w:after="0"/>
              <w:rPr>
                <w:sz w:val="20"/>
                <w:szCs w:val="20"/>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17,099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8"/>
                <w:szCs w:val="18"/>
                <w:color w:val="auto"/>
              </w:rPr>
            </w:pPr>
          </w:p>
        </w:tc>
      </w:tr>
      <w:tr>
        <w:trPr>
          <w:trHeight w:val="21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15,927</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2"/>
              </w:rPr>
              <w:t>11,185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FF0FC"/>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06"/>
        </w:trPr>
        <w:tc>
          <w:tcPr>
            <w:tcW w:w="468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46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12,050</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income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46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Charges &amp; credits </w:t>
            </w:r>
            <w:r>
              <w:rPr>
                <w:rFonts w:ascii="Times New Roman" w:cs="Times New Roman" w:eastAsia="Times New Roman" w:hAnsi="Times New Roman"/>
                <w:sz w:val="24"/>
                <w:szCs w:val="24"/>
                <w:color w:val="auto"/>
                <w:vertAlign w:val="superscript"/>
              </w:rPr>
              <w:t>(4)</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6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2"/>
              </w:rPr>
              <w:t>67,100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3,879</w:t>
            </w:r>
          </w:p>
        </w:tc>
        <w:tc>
          <w:tcPr>
            <w:tcW w:w="8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9"/>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19"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97"/>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color w:val="auto"/>
                <w:w w:val="99"/>
              </w:rPr>
              <w:t>Income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color w:val="auto"/>
                <w:w w:val="98"/>
              </w:rPr>
              <w:t>Depreciation</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before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and</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Capital</w:t>
            </w:r>
          </w:p>
        </w:tc>
        <w:tc>
          <w:tcPr>
            <w:tcW w:w="0" w:type="dxa"/>
            <w:vAlign w:val="bottom"/>
          </w:tcPr>
          <w:p>
            <w:pPr>
              <w:spacing w:after="0"/>
              <w:rPr>
                <w:sz w:val="1"/>
                <w:szCs w:val="1"/>
                <w:color w:val="auto"/>
              </w:rPr>
            </w:pPr>
          </w:p>
        </w:tc>
      </w:tr>
      <w:tr>
        <w:trPr>
          <w:trHeight w:val="231"/>
        </w:trPr>
        <w:tc>
          <w:tcPr>
            <w:tcW w:w="46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7"/>
              </w:rPr>
              <w:t>taxes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7"/>
              </w:rPr>
              <w:t>Amortization</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Expenditures</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2"/>
              </w:rPr>
              <w:t>11,360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3,080</w:t>
            </w:r>
          </w:p>
        </w:tc>
        <w:tc>
          <w:tcPr>
            <w:tcW w:w="3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15,691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14,802</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2,327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tcPr>
          <w:p>
            <w:pPr>
              <w:spacing w:after="0"/>
              <w:rPr>
                <w:sz w:val="18"/>
                <w:szCs w:val="18"/>
                <w:color w:val="auto"/>
              </w:rPr>
            </w:pP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6"/>
        </w:trPr>
        <w:tc>
          <w:tcPr>
            <w:tcW w:w="468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Discontinued operations assets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income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Charges &amp; credits </w:t>
            </w:r>
            <w:r>
              <w:rPr>
                <w:rFonts w:ascii="Times New Roman" w:cs="Times New Roman" w:eastAsia="Times New Roman" w:hAnsi="Times New Roman"/>
                <w:sz w:val="24"/>
                <w:szCs w:val="24"/>
                <w:color w:val="auto"/>
                <w:vertAlign w:val="superscript"/>
              </w:rPr>
              <w:t>(4)</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2"/>
              </w:rPr>
              <w:t>41,731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400" w:hanging="394"/>
        <w:spacing w:after="0" w:line="221" w:lineRule="auto"/>
        <w:tabs>
          <w:tab w:leader="none" w:pos="40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Comprised principally of certain corporate expenses not allocated to the segments, interest on postretirement medical benefits, stock-based compensation costs, amortization expense associated with certain intangible and other nonoperating items. Corporate assets consist of cash, short-term investments, fixed income investments, held to maturity and investments in affiliates.</w:t>
      </w:r>
    </w:p>
    <w:p>
      <w:pPr>
        <w:spacing w:after="0" w:line="21" w:lineRule="exact"/>
        <w:rPr>
          <w:rFonts w:ascii="Times New Roman" w:cs="Times New Roman" w:eastAsia="Times New Roman" w:hAnsi="Times New Roman"/>
          <w:sz w:val="26"/>
          <w:szCs w:val="26"/>
          <w:color w:val="auto"/>
          <w:vertAlign w:val="superscript"/>
        </w:rPr>
      </w:pPr>
    </w:p>
    <w:p>
      <w:pPr>
        <w:ind w:left="400" w:hanging="394"/>
        <w:spacing w:after="0"/>
        <w:tabs>
          <w:tab w:leader="none" w:pos="40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Interest income excludes amounts which are included in the segments’ income (2014: $20 million; 2013: $11 million; 2012: $- million).</w:t>
      </w:r>
    </w:p>
    <w:p>
      <w:pPr>
        <w:spacing w:after="0" w:line="107" w:lineRule="exact"/>
        <w:rPr>
          <w:rFonts w:ascii="Times New Roman" w:cs="Times New Roman" w:eastAsia="Times New Roman" w:hAnsi="Times New Roman"/>
          <w:sz w:val="26"/>
          <w:szCs w:val="26"/>
          <w:color w:val="auto"/>
          <w:vertAlign w:val="superscript"/>
        </w:rPr>
      </w:pPr>
    </w:p>
    <w:p>
      <w:pPr>
        <w:ind w:left="400" w:hanging="394"/>
        <w:spacing w:after="0" w:line="192" w:lineRule="auto"/>
        <w:tabs>
          <w:tab w:leader="none" w:pos="40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Interest expense excludes amounts which are included in the segments’ income (2014: $22 million; 2013: $22 million; 2012: $9 million).</w:t>
      </w:r>
    </w:p>
    <w:p>
      <w:pPr>
        <w:spacing w:after="0" w:line="107" w:lineRule="exact"/>
        <w:rPr>
          <w:rFonts w:ascii="Times New Roman" w:cs="Times New Roman" w:eastAsia="Times New Roman" w:hAnsi="Times New Roman"/>
          <w:sz w:val="23"/>
          <w:szCs w:val="23"/>
          <w:color w:val="auto"/>
          <w:vertAlign w:val="superscript"/>
        </w:rPr>
      </w:pPr>
    </w:p>
    <w:p>
      <w:pPr>
        <w:ind w:left="400" w:hanging="394"/>
        <w:spacing w:after="0" w:line="192" w:lineRule="auto"/>
        <w:tabs>
          <w:tab w:leader="none" w:pos="40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See Note 3 – </w:t>
      </w:r>
      <w:r>
        <w:rPr>
          <w:rFonts w:ascii="Times New Roman" w:cs="Times New Roman" w:eastAsia="Times New Roman" w:hAnsi="Times New Roman"/>
          <w:sz w:val="16"/>
          <w:szCs w:val="16"/>
          <w:i w:val="1"/>
          <w:iCs w:val="1"/>
          <w:color w:val="auto"/>
        </w:rPr>
        <w:t>Charges and Credits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 of receivables, inventories, fixed assets, multiclient seismic data and SPM investments.</w:t>
      </w:r>
    </w:p>
    <w:p>
      <w:pPr>
        <w:spacing w:after="0" w:line="2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Depreciation and amortization includes depreciation of property, plant and equipment and amortization of intangible assets, multiclient seismic data costs and SPM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by geographic area for the years ended December 31, 2014, 2013 and 2012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5"/>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17"/>
        </w:trPr>
        <w:tc>
          <w:tcPr>
            <w:tcW w:w="54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16,151</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13,897</w:t>
            </w:r>
          </w:p>
        </w:tc>
        <w:tc>
          <w:tcPr>
            <w:tcW w:w="38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13,535</w:t>
            </w:r>
          </w:p>
        </w:tc>
        <w:tc>
          <w:tcPr>
            <w:tcW w:w="100" w:type="dxa"/>
            <w:vAlign w:val="bottom"/>
            <w:shd w:val="clear" w:color="auto" w:fill="CFF0FC"/>
          </w:tcPr>
          <w:p>
            <w:pPr>
              <w:spacing w:after="0"/>
              <w:rPr>
                <w:sz w:val="20"/>
                <w:szCs w:val="20"/>
                <w:color w:val="auto"/>
              </w:rPr>
            </w:pPr>
          </w:p>
        </w:tc>
      </w:tr>
      <w:tr>
        <w:trPr>
          <w:trHeight w:val="21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7,699</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Pr>
          <w:p>
            <w:pPr>
              <w:spacing w:after="0"/>
              <w:rPr>
                <w:sz w:val="18"/>
                <w:szCs w:val="18"/>
                <w:color w:val="auto"/>
              </w:rPr>
            </w:pPr>
          </w:p>
        </w:tc>
      </w:tr>
      <w:tr>
        <w:trPr>
          <w:trHeight w:val="21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12,515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12,411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shd w:val="clear" w:color="auto" w:fill="CFF0FC"/>
          </w:tcPr>
          <w:p>
            <w:pPr>
              <w:spacing w:after="0"/>
              <w:rPr>
                <w:sz w:val="18"/>
                <w:szCs w:val="18"/>
                <w:color w:val="auto"/>
              </w:rPr>
            </w:pPr>
          </w:p>
        </w:tc>
      </w:tr>
      <w:tr>
        <w:trPr>
          <w:trHeight w:val="21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11,875</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8,717</w:t>
            </w:r>
          </w:p>
        </w:tc>
        <w:tc>
          <w:tcPr>
            <w:tcW w:w="100" w:type="dxa"/>
            <w:vAlign w:val="bottom"/>
          </w:tcPr>
          <w:p>
            <w:pPr>
              <w:spacing w:after="0"/>
              <w:rPr>
                <w:sz w:val="18"/>
                <w:szCs w:val="18"/>
                <w:color w:val="auto"/>
              </w:rPr>
            </w:pPr>
          </w:p>
        </w:tc>
      </w:tr>
      <w:tr>
        <w:trPr>
          <w:trHeight w:val="21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340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18"/>
                <w:szCs w:val="18"/>
                <w:color w:val="auto"/>
              </w:rPr>
            </w:pPr>
          </w:p>
        </w:tc>
      </w:tr>
      <w:tr>
        <w:trPr>
          <w:trHeight w:val="206"/>
        </w:trPr>
        <w:tc>
          <w:tcPr>
            <w:tcW w:w="54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48,580</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based on the location where services are provided.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three years ended December 31, 2014, 2013 and 2012, no single customer exceeded 10% of consolidated revenue.</w:t>
      </w:r>
    </w:p>
    <w:p>
      <w:pPr>
        <w:spacing w:after="0" w:line="2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Schlumberger did not have revenue from third-party customers in its country of domicile during the last three years. Revenue in the United States in 2014, 2013 and 2012 was $14.0 billion, $12.0 billion and $11.8 billion, respectively.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6"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 xml:space="preserve">Fixed Assets less accumulated depreciation </w:t>
      </w:r>
      <w:r>
        <w:rPr>
          <w:rFonts w:ascii="Times New Roman" w:cs="Times New Roman" w:eastAsia="Times New Roman" w:hAnsi="Times New Roman"/>
          <w:sz w:val="18"/>
          <w:szCs w:val="18"/>
          <w:color w:val="auto"/>
        </w:rPr>
        <w:t>by geographic area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5"/>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17"/>
        </w:trPr>
        <w:tc>
          <w:tcPr>
            <w:tcW w:w="54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4,885</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4,858</w:t>
            </w:r>
          </w:p>
        </w:tc>
        <w:tc>
          <w:tcPr>
            <w:tcW w:w="38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shd w:val="clear" w:color="auto" w:fill="CFF0FC"/>
          </w:tcPr>
          <w:p>
            <w:pPr>
              <w:spacing w:after="0"/>
              <w:rPr>
                <w:sz w:val="20"/>
                <w:szCs w:val="20"/>
                <w:color w:val="auto"/>
              </w:rPr>
            </w:pPr>
          </w:p>
        </w:tc>
      </w:tr>
      <w:tr>
        <w:trPr>
          <w:trHeight w:val="21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1,969</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8"/>
                <w:szCs w:val="18"/>
                <w:color w:val="auto"/>
              </w:rPr>
            </w:pPr>
          </w:p>
        </w:tc>
      </w:tr>
      <w:tr>
        <w:trPr>
          <w:trHeight w:val="21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3,640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3,452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FF0FC"/>
          </w:tcPr>
          <w:p>
            <w:pPr>
              <w:spacing w:after="0"/>
              <w:rPr>
                <w:sz w:val="18"/>
                <w:szCs w:val="18"/>
                <w:color w:val="auto"/>
              </w:rPr>
            </w:pPr>
          </w:p>
        </w:tc>
      </w:tr>
      <w:tr>
        <w:trPr>
          <w:trHeight w:val="21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3,446</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18"/>
                <w:szCs w:val="18"/>
                <w:color w:val="auto"/>
              </w:rPr>
            </w:pPr>
          </w:p>
        </w:tc>
      </w:tr>
      <w:tr>
        <w:trPr>
          <w:trHeight w:val="213"/>
        </w:trPr>
        <w:tc>
          <w:tcPr>
            <w:tcW w:w="54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Unallocated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1,456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1,906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FF0FC"/>
          </w:tcPr>
          <w:p>
            <w:pPr>
              <w:spacing w:after="0"/>
              <w:rPr>
                <w:sz w:val="18"/>
                <w:szCs w:val="18"/>
                <w:color w:val="auto"/>
              </w:rPr>
            </w:pPr>
          </w:p>
        </w:tc>
      </w:tr>
      <w:tr>
        <w:trPr>
          <w:trHeight w:val="206"/>
        </w:trPr>
        <w:tc>
          <w:tcPr>
            <w:tcW w:w="54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15,396</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 w:lineRule="exact"/>
        <w:rPr>
          <w:sz w:val="20"/>
          <w:szCs w:val="20"/>
          <w:color w:val="auto"/>
        </w:rPr>
      </w:pPr>
    </w:p>
    <w:p>
      <w:pPr>
        <w:ind w:left="400" w:hanging="394"/>
        <w:spacing w:after="0"/>
        <w:tabs>
          <w:tab w:leader="none" w:pos="40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Represents seismic vessels, including the related on-board equipment, which frequently transition between geographic areas.</w:t>
      </w:r>
    </w:p>
    <w:p>
      <w:pPr>
        <w:spacing w:after="0" w:line="338" w:lineRule="exact"/>
        <w:rPr>
          <w:sz w:val="20"/>
          <w:szCs w:val="20"/>
          <w:color w:val="auto"/>
        </w:rPr>
      </w:pPr>
    </w:p>
    <w:p>
      <w:pPr>
        <w:ind w:left="280" w:hanging="274"/>
        <w:spacing w:after="0"/>
        <w:tabs>
          <w:tab w:leader="none" w:pos="2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Benefit Plans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addition to the United States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weighted-average assumed discount rate, compensation increases and the expected long-term rate of return on plan assets used to determine the net pension cost for the US and International plans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center"/>
              <w:ind w:right="64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8"/>
                <w:szCs w:val="18"/>
                <w:color w:val="auto"/>
                <w:w w:val="97"/>
              </w:rPr>
              <w:t>International</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2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4"/>
              </w:rPr>
              <w:t>2013</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9"/>
              </w:rPr>
              <w:t>2012</w:t>
            </w: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4.85%</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4"/>
            <w:shd w:val="clear" w:color="auto" w:fill="CFF0FC"/>
          </w:tcPr>
          <w:p>
            <w:pPr>
              <w:jc w:val="center"/>
              <w:ind w:left="191"/>
              <w:spacing w:after="0"/>
              <w:rPr>
                <w:sz w:val="20"/>
                <w:szCs w:val="20"/>
                <w:color w:val="auto"/>
              </w:rPr>
            </w:pPr>
            <w:r>
              <w:rPr>
                <w:rFonts w:ascii="Times New Roman" w:cs="Times New Roman" w:eastAsia="Times New Roman" w:hAnsi="Times New Roman"/>
                <w:sz w:val="18"/>
                <w:szCs w:val="18"/>
                <w:color w:val="auto"/>
                <w:w w:val="94"/>
              </w:rPr>
              <w:t>4.95%</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center"/>
              <w:ind w:left="191"/>
              <w:spacing w:after="0"/>
              <w:rPr>
                <w:sz w:val="20"/>
                <w:szCs w:val="20"/>
                <w:color w:val="auto"/>
              </w:rPr>
            </w:pPr>
            <w:r>
              <w:rPr>
                <w:rFonts w:ascii="Times New Roman" w:cs="Times New Roman" w:eastAsia="Times New Roman" w:hAnsi="Times New Roman"/>
                <w:sz w:val="18"/>
                <w:szCs w:val="18"/>
                <w:color w:val="auto"/>
                <w:w w:val="94"/>
              </w:rPr>
              <w:t>4.91%</w:t>
            </w:r>
          </w:p>
        </w:tc>
        <w:tc>
          <w:tcPr>
            <w:tcW w:w="0" w:type="dxa"/>
            <w:vAlign w:val="bottom"/>
          </w:tcPr>
          <w:p>
            <w:pPr>
              <w:spacing w:after="0"/>
              <w:rPr>
                <w:sz w:val="1"/>
                <w:szCs w:val="1"/>
                <w:color w:val="auto"/>
              </w:rPr>
            </w:pPr>
          </w:p>
        </w:tc>
      </w:tr>
      <w:tr>
        <w:trPr>
          <w:trHeight w:val="21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Return on plan assets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7.25%</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gridSpan w:val="4"/>
            <w:shd w:val="clear" w:color="auto" w:fill="CFF0FC"/>
          </w:tcPr>
          <w:p>
            <w:pPr>
              <w:jc w:val="center"/>
              <w:ind w:left="191"/>
              <w:spacing w:after="0"/>
              <w:rPr>
                <w:sz w:val="20"/>
                <w:szCs w:val="20"/>
                <w:color w:val="auto"/>
              </w:rPr>
            </w:pPr>
            <w:r>
              <w:rPr>
                <w:rFonts w:ascii="Times New Roman" w:cs="Times New Roman" w:eastAsia="Times New Roman" w:hAnsi="Times New Roman"/>
                <w:sz w:val="18"/>
                <w:szCs w:val="18"/>
                <w:color w:val="auto"/>
                <w:w w:val="94"/>
              </w:rPr>
              <w:t>7.50%</w:t>
            </w:r>
          </w:p>
        </w:tc>
        <w:tc>
          <w:tcPr>
            <w:tcW w:w="0" w:type="dxa"/>
            <w:vAlign w:val="bottom"/>
          </w:tcPr>
          <w:p>
            <w:pPr>
              <w:spacing w:after="0"/>
              <w:rPr>
                <w:sz w:val="1"/>
                <w:szCs w:val="1"/>
                <w:color w:val="auto"/>
              </w:rPr>
            </w:pPr>
          </w:p>
        </w:tc>
      </w:tr>
      <w:tr>
        <w:trPr>
          <w:trHeight w:val="427"/>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Net pension cost for 2014, 2013 and 2012 included the following components: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7"/>
              </w:rPr>
              <w:t>International</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2014</w:t>
            </w: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2013</w:t>
            </w: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 - benefits earned during the period</w:t>
            </w:r>
          </w:p>
        </w:tc>
        <w:tc>
          <w:tcPr>
            <w:tcW w:w="4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gridSpan w:val="4"/>
            <w:shd w:val="clear" w:color="auto" w:fill="CFF0FC"/>
          </w:tcPr>
          <w:p>
            <w:pPr>
              <w:jc w:val="center"/>
              <w:ind w:left="211"/>
              <w:spacing w:after="0"/>
              <w:rPr>
                <w:sz w:val="20"/>
                <w:szCs w:val="20"/>
                <w:color w:val="auto"/>
              </w:rPr>
            </w:pPr>
            <w:r>
              <w:rPr>
                <w:rFonts w:ascii="Times New Roman" w:cs="Times New Roman" w:eastAsia="Times New Roman" w:hAnsi="Times New Roman"/>
                <w:sz w:val="18"/>
                <w:szCs w:val="18"/>
                <w:color w:val="auto"/>
                <w:w w:val="97"/>
              </w:rPr>
              <w:t>(328)</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center"/>
              <w:ind w:left="271"/>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tcPr>
          <w:p>
            <w:pPr>
              <w:jc w:val="center"/>
              <w:ind w:left="291"/>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weighted-average assumed discount rate and compensation increases used to determine the projected benefit obligations for the US and International plans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06"/>
        </w:trPr>
        <w:tc>
          <w:tcPr>
            <w:tcW w:w="3680" w:type="dxa"/>
            <w:vAlign w:val="bottom"/>
            <w:tcBorders>
              <w:bottom w:val="single" w:sz="8" w:color="CFF0FC"/>
            </w:tcBorders>
          </w:tcPr>
          <w:p>
            <w:pPr>
              <w:spacing w:after="0"/>
              <w:rPr>
                <w:sz w:val="17"/>
                <w:szCs w:val="17"/>
                <w:color w:val="auto"/>
              </w:rPr>
            </w:pPr>
          </w:p>
        </w:tc>
        <w:tc>
          <w:tcPr>
            <w:tcW w:w="2840" w:type="dxa"/>
            <w:vAlign w:val="bottom"/>
            <w:tcBorders>
              <w:bottom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2014</w:t>
            </w:r>
          </w:p>
        </w:tc>
        <w:tc>
          <w:tcPr>
            <w:tcW w:w="360" w:type="dxa"/>
            <w:vAlign w:val="bottom"/>
            <w:tcBorders>
              <w:top w:val="single" w:sz="8" w:color="auto"/>
              <w:bottom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2013</w:t>
            </w:r>
          </w:p>
        </w:tc>
        <w:tc>
          <w:tcPr>
            <w:tcW w:w="340" w:type="dxa"/>
            <w:vAlign w:val="bottom"/>
            <w:tcBorders>
              <w:bottom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top w:val="single" w:sz="8" w:color="auto"/>
              <w:bottom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FF0FC"/>
            </w:tcBorders>
          </w:tcPr>
          <w:p>
            <w:pPr>
              <w:spacing w:after="0"/>
              <w:rPr>
                <w:sz w:val="17"/>
                <w:szCs w:val="17"/>
                <w:color w:val="auto"/>
              </w:rPr>
            </w:pPr>
          </w:p>
        </w:tc>
      </w:tr>
      <w:tr>
        <w:trPr>
          <w:trHeight w:val="23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140" w:type="dxa"/>
            <w:vAlign w:val="bottom"/>
            <w:gridSpan w:val="3"/>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4.15%</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4.85%</w:t>
            </w:r>
          </w:p>
        </w:tc>
        <w:tc>
          <w:tcPr>
            <w:tcW w:w="12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rPr>
              <w:t>4.07%</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increases</w:t>
            </w:r>
          </w:p>
        </w:tc>
        <w:tc>
          <w:tcPr>
            <w:tcW w:w="414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4.00%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4.79%</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r>
      <w:tr>
        <w:trPr>
          <w:trHeight w:val="405"/>
        </w:trPr>
        <w:tc>
          <w:tcPr>
            <w:tcW w:w="3680" w:type="dxa"/>
            <w:vAlign w:val="bottom"/>
          </w:tcPr>
          <w:p>
            <w:pPr>
              <w:spacing w:after="0"/>
              <w:rPr>
                <w:sz w:val="24"/>
                <w:szCs w:val="24"/>
                <w:color w:val="auto"/>
              </w:rPr>
            </w:pPr>
          </w:p>
        </w:tc>
        <w:tc>
          <w:tcPr>
            <w:tcW w:w="284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332"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changes in the projected benefit obligation, plan assets and funded status of the plans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99"/>
        </w:trPr>
        <w:tc>
          <w:tcPr>
            <w:tcW w:w="5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w w:val="95"/>
              </w:rPr>
              <w:t>US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International</w:t>
            </w:r>
          </w:p>
        </w:tc>
        <w:tc>
          <w:tcPr>
            <w:tcW w:w="0" w:type="dxa"/>
            <w:vAlign w:val="bottom"/>
          </w:tcPr>
          <w:p>
            <w:pPr>
              <w:spacing w:after="0"/>
              <w:rPr>
                <w:sz w:val="1"/>
                <w:szCs w:val="1"/>
                <w:color w:val="auto"/>
              </w:rPr>
            </w:pPr>
          </w:p>
        </w:tc>
      </w:tr>
      <w:tr>
        <w:trPr>
          <w:trHeight w:val="206"/>
        </w:trPr>
        <w:tc>
          <w:tcPr>
            <w:tcW w:w="564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Borders>
              <w:top w:val="single" w:sz="8" w:color="auto"/>
              <w:bottom w:val="single" w:sz="8" w:color="CFF0FC"/>
            </w:tcBorders>
          </w:tcPr>
          <w:p>
            <w:pPr>
              <w:spacing w:after="0"/>
              <w:rPr>
                <w:sz w:val="17"/>
                <w:szCs w:val="17"/>
                <w:color w:val="auto"/>
              </w:rPr>
            </w:pPr>
          </w:p>
        </w:tc>
        <w:tc>
          <w:tcPr>
            <w:tcW w:w="300" w:type="dxa"/>
            <w:vAlign w:val="bottom"/>
            <w:tcBorders>
              <w:top w:val="single" w:sz="8" w:color="auto"/>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top w:val="single" w:sz="8" w:color="auto"/>
              <w:bottom w:val="single" w:sz="8" w:color="CFF0FC"/>
            </w:tcBorders>
          </w:tcPr>
          <w:p>
            <w:pPr>
              <w:spacing w:after="0"/>
              <w:rPr>
                <w:sz w:val="17"/>
                <w:szCs w:val="17"/>
                <w:color w:val="auto"/>
              </w:rPr>
            </w:pPr>
          </w:p>
        </w:tc>
        <w:tc>
          <w:tcPr>
            <w:tcW w:w="220" w:type="dxa"/>
            <w:vAlign w:val="bottom"/>
            <w:tcBorders>
              <w:top w:val="single" w:sz="8" w:color="auto"/>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Projected Benefit Obligations</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0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3,418</w:t>
            </w:r>
          </w:p>
        </w:tc>
        <w:tc>
          <w:tcPr>
            <w:tcW w:w="5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5,981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5,798</w:t>
            </w: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122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losses (gains)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effect</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6"/>
        </w:trPr>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8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4,137</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7,249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Plan Assets</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 assets at fair value at beginning of year</w:t>
            </w:r>
          </w:p>
        </w:tc>
        <w:tc>
          <w:tcPr>
            <w:tcW w:w="10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3,269</w:t>
            </w:r>
          </w:p>
        </w:tc>
        <w:tc>
          <w:tcPr>
            <w:tcW w:w="50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2,910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6,246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5,120</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502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effect</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Company contributions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122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6"/>
        </w:trPr>
        <w:tc>
          <w:tcPr>
            <w:tcW w:w="5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 assets at fair value at end of year</w:t>
            </w:r>
          </w:p>
        </w:tc>
        <w:tc>
          <w:tcPr>
            <w:tcW w:w="8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3,549</w:t>
            </w:r>
          </w:p>
        </w:tc>
        <w:tc>
          <w:tcPr>
            <w:tcW w:w="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6,830</w:t>
            </w: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2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Liability) / Asset</w:t>
            </w:r>
          </w:p>
        </w:tc>
        <w:tc>
          <w:tcPr>
            <w:tcW w:w="8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6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64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Amounts Recognized in Balance Sheet</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10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5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127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6"/>
        </w:trPr>
        <w:tc>
          <w:tcPr>
            <w:tcW w:w="5640" w:type="dxa"/>
            <w:vAlign w:val="bottom"/>
            <w:tcBorders>
              <w:bottom w:val="single" w:sz="8" w:color="CFF0FC"/>
            </w:tcBorders>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6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64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Amounts Recognized in Accumulated Other Comprehensive Loss</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losses</w:t>
            </w:r>
          </w:p>
        </w:tc>
        <w:tc>
          <w:tcPr>
            <w:tcW w:w="10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1,104</w:t>
            </w:r>
          </w:p>
        </w:tc>
        <w:tc>
          <w:tcPr>
            <w:tcW w:w="5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1,658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357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46"/>
        </w:trPr>
        <w:tc>
          <w:tcPr>
            <w:tcW w:w="5640" w:type="dxa"/>
            <w:vAlign w:val="bottom"/>
            <w:tcBorders>
              <w:bottom w:val="single" w:sz="8" w:color="CFF0FC"/>
            </w:tcBorders>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1,170</w:t>
            </w:r>
          </w:p>
        </w:tc>
        <w:tc>
          <w:tcPr>
            <w:tcW w:w="6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64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8"/>
                <w:szCs w:val="18"/>
                <w:color w:val="auto"/>
              </w:rPr>
              <w:t>Accumulated benefit obligation</w:t>
            </w:r>
          </w:p>
        </w:tc>
        <w:tc>
          <w:tcPr>
            <w:tcW w:w="8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3,805</w:t>
            </w:r>
          </w:p>
        </w:tc>
        <w:tc>
          <w:tcPr>
            <w:tcW w:w="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1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3,158</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6,793</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5,593</w:t>
            </w:r>
          </w:p>
        </w:tc>
        <w:tc>
          <w:tcPr>
            <w:tcW w:w="2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allocation of plan assets and the target allocations by asset category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8"/>
                <w:szCs w:val="18"/>
                <w:color w:val="auto"/>
                <w:w w:val="95"/>
              </w:rPr>
              <w:t>US</w:t>
            </w: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0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Target</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Target</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6"/>
              </w:rPr>
              <w:t>56%</w:t>
            </w:r>
          </w:p>
        </w:tc>
        <w:tc>
          <w:tcPr>
            <w:tcW w:w="6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w:t>
            </w:r>
          </w:p>
        </w:tc>
        <w:tc>
          <w:tcPr>
            <w:tcW w:w="6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6"/>
              </w:rPr>
              <w:t>- 71%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62</w:t>
            </w: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- 35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w:t>
            </w:r>
          </w:p>
        </w:tc>
        <w:tc>
          <w:tcPr>
            <w:tcW w:w="6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- 5</w:t>
            </w:r>
          </w:p>
        </w:tc>
        <w:tc>
          <w:tcPr>
            <w:tcW w:w="13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w:t>
            </w:r>
          </w:p>
        </w:tc>
        <w:tc>
          <w:tcPr>
            <w:tcW w:w="64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- 25</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6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5"/>
              </w:rPr>
              <w:t>100%</w:t>
            </w:r>
          </w:p>
        </w:tc>
        <w:tc>
          <w:tcPr>
            <w:tcW w:w="6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vMerge w:val="continue"/>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8"/>
          <w:szCs w:val="18"/>
          <w:color w:val="auto"/>
        </w:rPr>
        <w:t>Asset performance is monitored frequently with an overall expectation that plan assets will meet or exceed the weighted index of its target asset allocation and component benchmark over rolling five-year periods.</w:t>
      </w:r>
    </w:p>
    <w:p>
      <w:pPr>
        <w:spacing w:after="0" w:line="16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expected long-term rate of return on assets assumptions reflect the average rate of earnings expected on funds invested or to be invested.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40"/>
          </w:cols>
          <w:pgMar w:left="240" w:top="334" w:right="219" w:bottom="1440" w:gutter="0" w:footer="0" w:header="0"/>
        </w:sectPr>
      </w:pPr>
    </w:p>
    <w:bookmarkStart w:id="56" w:name="page57"/>
    <w:bookmarkEnd w:id="56"/>
    <w:p>
      <w:pPr>
        <w:spacing w:after="0" w:line="275" w:lineRule="auto"/>
        <w:rPr>
          <w:sz w:val="20"/>
          <w:szCs w:val="20"/>
          <w:color w:val="auto"/>
        </w:rPr>
      </w:pPr>
      <w:r>
        <w:rPr>
          <w:rFonts w:ascii="Times New Roman" w:cs="Times New Roman" w:eastAsia="Times New Roman" w:hAnsi="Times New Roman"/>
          <w:sz w:val="18"/>
          <w:szCs w:val="18"/>
          <w:color w:val="auto"/>
        </w:rPr>
        <w:t>The fair value of Schlumberger’s pension plan assets at December 31, 2014 and 2013, by asset category, is presented below and was determined based on valuation techniques categorized as follows:</w:t>
      </w:r>
    </w:p>
    <w:p>
      <w:pPr>
        <w:spacing w:after="0" w:line="58" w:lineRule="exact"/>
        <w:rPr>
          <w:sz w:val="20"/>
          <w:szCs w:val="20"/>
          <w:color w:val="auto"/>
        </w:rPr>
      </w:pPr>
    </w:p>
    <w:p>
      <w:pPr>
        <w:ind w:left="1020" w:hanging="366"/>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One: The use of quoted prices in active markets for identical instruments.</w:t>
      </w:r>
    </w:p>
    <w:p>
      <w:pPr>
        <w:spacing w:after="0" w:line="112" w:lineRule="exact"/>
        <w:rPr>
          <w:rFonts w:ascii="Times New Roman" w:cs="Times New Roman" w:eastAsia="Times New Roman" w:hAnsi="Times New Roman"/>
          <w:sz w:val="18"/>
          <w:szCs w:val="18"/>
          <w:color w:val="auto"/>
        </w:rPr>
      </w:pPr>
    </w:p>
    <w:p>
      <w:pPr>
        <w:ind w:left="1020" w:right="20" w:hanging="360"/>
        <w:spacing w:after="0" w:line="275"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57" w:lineRule="exact"/>
        <w:rPr>
          <w:rFonts w:ascii="Times New Roman" w:cs="Times New Roman" w:eastAsia="Times New Roman" w:hAnsi="Times New Roman"/>
          <w:sz w:val="18"/>
          <w:szCs w:val="18"/>
          <w:color w:val="auto"/>
        </w:rPr>
      </w:pPr>
    </w:p>
    <w:p>
      <w:pPr>
        <w:ind w:left="1020" w:hanging="360"/>
        <w:spacing w:after="0" w:line="253"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Three: The use of significant unobservable inputs that typically require the use of management’s estimates of assumptions that market participants would use in pricing.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99"/>
        </w:trPr>
        <w:tc>
          <w:tcPr>
            <w:tcW w:w="27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jc w:val="right"/>
              <w:ind w:right="271"/>
              <w:spacing w:after="0"/>
              <w:rPr>
                <w:sz w:val="20"/>
                <w:szCs w:val="20"/>
                <w:color w:val="auto"/>
              </w:rPr>
            </w:pPr>
            <w:r>
              <w:rPr>
                <w:rFonts w:ascii="Times New Roman" w:cs="Times New Roman" w:eastAsia="Times New Roman" w:hAnsi="Times New Roman"/>
                <w:sz w:val="18"/>
                <w:szCs w:val="18"/>
                <w:color w:val="auto"/>
              </w:rPr>
              <w:t>US Plan Assets</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Level</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Level</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tcPr>
          <w:p>
            <w:pPr>
              <w:ind w:left="26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jc w:val="right"/>
              <w:ind w:right="26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20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One</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One</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Two</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Three</w:t>
            </w:r>
          </w:p>
        </w:tc>
        <w:tc>
          <w:tcPr>
            <w:tcW w:w="0" w:type="dxa"/>
            <w:vAlign w:val="bottom"/>
          </w:tcPr>
          <w:p>
            <w:pPr>
              <w:spacing w:after="0"/>
              <w:rPr>
                <w:sz w:val="1"/>
                <w:szCs w:val="1"/>
                <w:color w:val="auto"/>
              </w:rPr>
            </w:pPr>
          </w:p>
        </w:tc>
      </w:tr>
      <w:tr>
        <w:trPr>
          <w:trHeight w:val="206"/>
        </w:trPr>
        <w:tc>
          <w:tcPr>
            <w:tcW w:w="2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0"/>
              <w:spacing w:after="0" w:line="213" w:lineRule="exact"/>
              <w:rPr>
                <w:sz w:val="20"/>
                <w:szCs w:val="20"/>
                <w:color w:val="auto"/>
              </w:rPr>
            </w:pPr>
            <w:r>
              <w:rPr>
                <w:rFonts w:ascii="Times New Roman" w:cs="Times New Roman" w:eastAsia="Times New Roman" w:hAnsi="Times New Roman"/>
                <w:sz w:val="24"/>
                <w:szCs w:val="24"/>
                <w:color w:val="auto"/>
                <w:vertAlign w:val="subscript"/>
              </w:rPr>
              <w:t>US</w:t>
            </w:r>
            <w:r>
              <w:rPr>
                <w:rFonts w:ascii="Times New Roman" w:cs="Times New Roman" w:eastAsia="Times New Roman" w:hAnsi="Times New Roman"/>
                <w:sz w:val="11"/>
                <w:szCs w:val="11"/>
                <w:color w:val="auto"/>
              </w:rPr>
              <w:t xml:space="preserve"> (a)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ind w:left="200"/>
              <w:spacing w:after="0" w:line="213"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4"/>
                <w:szCs w:val="24"/>
                <w:color w:val="auto"/>
                <w:vertAlign w:val="superscript"/>
              </w:rPr>
              <w:t>(b)</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552</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572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ind w:left="200"/>
              <w:spacing w:after="0" w:line="213" w:lineRule="exact"/>
              <w:rPr>
                <w:sz w:val="20"/>
                <w:szCs w:val="20"/>
                <w:color w:val="auto"/>
              </w:rPr>
            </w:pPr>
            <w:r>
              <w:rPr>
                <w:rFonts w:ascii="Times New Roman" w:cs="Times New Roman" w:eastAsia="Times New Roman" w:hAnsi="Times New Roman"/>
                <w:sz w:val="17"/>
                <w:szCs w:val="17"/>
                <w:color w:val="auto"/>
              </w:rPr>
              <w:t xml:space="preserve">Corporate bonds </w:t>
            </w:r>
            <w:r>
              <w:rPr>
                <w:rFonts w:ascii="Times New Roman" w:cs="Times New Roman" w:eastAsia="Times New Roman" w:hAnsi="Times New Roman"/>
                <w:sz w:val="24"/>
                <w:szCs w:val="24"/>
                <w:color w:val="auto"/>
                <w:vertAlign w:val="superscript"/>
              </w:rPr>
              <w:t>(c)</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654</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548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Government and government-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40" w:type="dxa"/>
            <w:vAlign w:val="bottom"/>
          </w:tcPr>
          <w:p>
            <w:pPr>
              <w:ind w:left="420"/>
              <w:spacing w:after="0" w:line="232" w:lineRule="exact"/>
              <w:rPr>
                <w:sz w:val="20"/>
                <w:szCs w:val="20"/>
                <w:color w:val="auto"/>
              </w:rPr>
            </w:pPr>
            <w:r>
              <w:rPr>
                <w:rFonts w:ascii="Times New Roman" w:cs="Times New Roman" w:eastAsia="Times New Roman" w:hAnsi="Times New Roman"/>
                <w:sz w:val="18"/>
                <w:szCs w:val="18"/>
                <w:color w:val="auto"/>
              </w:rPr>
              <w:t xml:space="preserve">related debt securities </w:t>
            </w:r>
            <w:r>
              <w:rPr>
                <w:rFonts w:ascii="Times New Roman" w:cs="Times New Roman" w:eastAsia="Times New Roman" w:hAnsi="Times New Roman"/>
                <w:sz w:val="25"/>
                <w:szCs w:val="25"/>
                <w:color w:val="auto"/>
                <w:vertAlign w:val="superscript"/>
              </w:rPr>
              <w:t>(d)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6"/>
              </w:rPr>
              <w:t>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740" w:type="dxa"/>
            <w:vAlign w:val="bottom"/>
            <w:shd w:val="clear" w:color="auto" w:fill="CFF0FC"/>
          </w:tcPr>
          <w:p>
            <w:pPr>
              <w:ind w:left="260"/>
              <w:spacing w:after="0" w:line="195" w:lineRule="exact"/>
              <w:rPr>
                <w:sz w:val="20"/>
                <w:szCs w:val="20"/>
                <w:color w:val="auto"/>
              </w:rPr>
            </w:pPr>
            <w:r>
              <w:rPr>
                <w:rFonts w:ascii="Times New Roman" w:cs="Times New Roman" w:eastAsia="Times New Roman" w:hAnsi="Times New Roman"/>
                <w:sz w:val="18"/>
                <w:szCs w:val="18"/>
                <w:color w:val="auto"/>
              </w:rPr>
              <w:t>Collateralized mortgage</w:t>
            </w: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obligations and mortgage</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4"/>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740" w:type="dxa"/>
            <w:vAlign w:val="bottom"/>
            <w:shd w:val="clear" w:color="auto" w:fill="CFF0FC"/>
          </w:tcPr>
          <w:p>
            <w:pPr>
              <w:ind w:left="420"/>
              <w:spacing w:after="0" w:line="232" w:lineRule="exact"/>
              <w:rPr>
                <w:sz w:val="20"/>
                <w:szCs w:val="20"/>
                <w:color w:val="auto"/>
              </w:rPr>
            </w:pPr>
            <w:r>
              <w:rPr>
                <w:rFonts w:ascii="Times New Roman" w:cs="Times New Roman" w:eastAsia="Times New Roman" w:hAnsi="Times New Roman"/>
                <w:sz w:val="18"/>
                <w:szCs w:val="18"/>
                <w:color w:val="auto"/>
              </w:rPr>
              <w:t xml:space="preserve">backed securities </w:t>
            </w:r>
            <w:r>
              <w:rPr>
                <w:rFonts w:ascii="Times New Roman" w:cs="Times New Roman" w:eastAsia="Times New Roman" w:hAnsi="Times New Roman"/>
                <w:sz w:val="25"/>
                <w:szCs w:val="25"/>
                <w:color w:val="auto"/>
                <w:vertAlign w:val="superscript"/>
              </w:rPr>
              <w:t>(e)</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3"/>
            <w:vMerge w:val="continue"/>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gridSpan w:val="4"/>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ind w:left="260"/>
              <w:spacing w:after="0" w:line="213" w:lineRule="exact"/>
              <w:rPr>
                <w:sz w:val="20"/>
                <w:szCs w:val="20"/>
                <w:color w:val="auto"/>
              </w:rPr>
            </w:pPr>
            <w:r>
              <w:rPr>
                <w:rFonts w:ascii="Times New Roman" w:cs="Times New Roman" w:eastAsia="Times New Roman" w:hAnsi="Times New Roman"/>
                <w:sz w:val="17"/>
                <w:szCs w:val="17"/>
                <w:color w:val="auto"/>
              </w:rPr>
              <w:t xml:space="preserve">Private equity </w:t>
            </w:r>
            <w:r>
              <w:rPr>
                <w:rFonts w:ascii="Times New Roman" w:cs="Times New Roman" w:eastAsia="Times New Roman" w:hAnsi="Times New Roman"/>
                <w:sz w:val="24"/>
                <w:szCs w:val="24"/>
                <w:color w:val="auto"/>
                <w:vertAlign w:val="superscript"/>
              </w:rPr>
              <w:t>(f)</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210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3"/>
        </w:trPr>
        <w:tc>
          <w:tcPr>
            <w:tcW w:w="2740" w:type="dxa"/>
            <w:vAlign w:val="bottom"/>
          </w:tcPr>
          <w:p>
            <w:pPr>
              <w:ind w:left="260"/>
              <w:spacing w:after="0" w:line="213" w:lineRule="exact"/>
              <w:rPr>
                <w:sz w:val="20"/>
                <w:szCs w:val="20"/>
                <w:color w:val="auto"/>
              </w:rPr>
            </w:pPr>
            <w:r>
              <w:rPr>
                <w:rFonts w:ascii="Times New Roman" w:cs="Times New Roman" w:eastAsia="Times New Roman" w:hAnsi="Times New Roman"/>
                <w:sz w:val="17"/>
                <w:szCs w:val="17"/>
                <w:color w:val="auto"/>
              </w:rPr>
              <w:t xml:space="preserve">Real estate </w:t>
            </w:r>
            <w:r>
              <w:rPr>
                <w:rFonts w:ascii="Times New Roman" w:cs="Times New Roman" w:eastAsia="Times New Roman" w:hAnsi="Times New Roman"/>
                <w:sz w:val="24"/>
                <w:szCs w:val="24"/>
                <w:color w:val="auto"/>
                <w:vertAlign w:val="superscript"/>
              </w:rPr>
              <w:t>(g)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3,549</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1,270</w:t>
            </w: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1,986</w:t>
            </w: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293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317"/>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color w:val="auto"/>
                <w:w w:val="97"/>
              </w:rPr>
              <w:t>International Plan Assets</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5"/>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5"/>
          </w:tcPr>
          <w:p>
            <w:pPr>
              <w:jc w:val="right"/>
              <w:ind w:right="17"/>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4"/>
          </w:tcPr>
          <w:p>
            <w:pPr>
              <w:jc w:val="center"/>
              <w:ind w:right="20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4"/>
          </w:tcPr>
          <w:p>
            <w:pPr>
              <w:jc w:val="center"/>
              <w:ind w:right="24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4"/>
          </w:tcPr>
          <w:p>
            <w:pPr>
              <w:jc w:val="right"/>
              <w:ind w:right="24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4"/>
          </w:tcPr>
          <w:p>
            <w:pPr>
              <w:jc w:val="right"/>
              <w:ind w:right="42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Level</w:t>
            </w: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One</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0"/>
              </w:rPr>
              <w:t>Two</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Three</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One</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Two</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Three</w:t>
            </w:r>
          </w:p>
        </w:tc>
        <w:tc>
          <w:tcPr>
            <w:tcW w:w="0" w:type="dxa"/>
            <w:vAlign w:val="bottom"/>
          </w:tcPr>
          <w:p>
            <w:pPr>
              <w:spacing w:after="0"/>
              <w:rPr>
                <w:sz w:val="1"/>
                <w:szCs w:val="1"/>
                <w:color w:val="auto"/>
              </w:rPr>
            </w:pPr>
          </w:p>
        </w:tc>
      </w:tr>
      <w:tr>
        <w:trPr>
          <w:trHeight w:val="206"/>
        </w:trPr>
        <w:tc>
          <w:tcPr>
            <w:tcW w:w="2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264</w:t>
            </w:r>
          </w:p>
        </w:tc>
        <w:tc>
          <w:tcPr>
            <w:tcW w:w="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174</w:t>
            </w:r>
          </w:p>
        </w:tc>
        <w:tc>
          <w:tcPr>
            <w:tcW w:w="4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line="213" w:lineRule="exact"/>
              <w:rPr>
                <w:sz w:val="20"/>
                <w:szCs w:val="20"/>
                <w:color w:val="auto"/>
              </w:rPr>
            </w:pPr>
            <w:r>
              <w:rPr>
                <w:rFonts w:ascii="Times New Roman" w:cs="Times New Roman" w:eastAsia="Times New Roman" w:hAnsi="Times New Roman"/>
                <w:sz w:val="24"/>
                <w:szCs w:val="24"/>
                <w:color w:val="auto"/>
                <w:vertAlign w:val="subscript"/>
              </w:rPr>
              <w:t>US</w:t>
            </w:r>
            <w:r>
              <w:rPr>
                <w:rFonts w:ascii="Times New Roman" w:cs="Times New Roman" w:eastAsia="Times New Roman" w:hAnsi="Times New Roman"/>
                <w:sz w:val="11"/>
                <w:szCs w:val="11"/>
                <w:color w:val="auto"/>
              </w:rPr>
              <w:t xml:space="preserve"> (a)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1,757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2,175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ind w:left="180"/>
              <w:spacing w:after="0" w:line="213"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4"/>
                <w:szCs w:val="24"/>
                <w:color w:val="auto"/>
                <w:vertAlign w:val="superscript"/>
              </w:rPr>
              <w:t>(b)</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1,047</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487</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1,566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ind w:left="260"/>
              <w:spacing w:after="0" w:line="213" w:lineRule="exact"/>
              <w:rPr>
                <w:sz w:val="20"/>
                <w:szCs w:val="20"/>
                <w:color w:val="auto"/>
              </w:rPr>
            </w:pPr>
            <w:r>
              <w:rPr>
                <w:rFonts w:ascii="Times New Roman" w:cs="Times New Roman" w:eastAsia="Times New Roman" w:hAnsi="Times New Roman"/>
                <w:sz w:val="17"/>
                <w:szCs w:val="17"/>
                <w:color w:val="auto"/>
              </w:rPr>
              <w:t xml:space="preserve">Corporate bonds </w:t>
            </w:r>
            <w:r>
              <w:rPr>
                <w:rFonts w:ascii="Times New Roman" w:cs="Times New Roman" w:eastAsia="Times New Roman" w:hAnsi="Times New Roman"/>
                <w:sz w:val="24"/>
                <w:szCs w:val="24"/>
                <w:color w:val="auto"/>
                <w:vertAlign w:val="superscript"/>
              </w:rPr>
              <w:t>(c)</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780</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780</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40" w:type="dxa"/>
            <w:vAlign w:val="bottom"/>
          </w:tcPr>
          <w:p>
            <w:pPr>
              <w:ind w:left="260"/>
              <w:spacing w:after="0" w:line="195" w:lineRule="exact"/>
              <w:rPr>
                <w:sz w:val="20"/>
                <w:szCs w:val="20"/>
                <w:color w:val="auto"/>
              </w:rPr>
            </w:pPr>
            <w:r>
              <w:rPr>
                <w:rFonts w:ascii="Times New Roman" w:cs="Times New Roman" w:eastAsia="Times New Roman" w:hAnsi="Times New Roman"/>
                <w:sz w:val="18"/>
                <w:szCs w:val="18"/>
                <w:color w:val="auto"/>
              </w:rPr>
              <w:t>Government and government-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1,173</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40" w:type="dxa"/>
            <w:vAlign w:val="bottom"/>
          </w:tcPr>
          <w:p>
            <w:pPr>
              <w:ind w:left="500"/>
              <w:spacing w:after="0" w:line="232" w:lineRule="exact"/>
              <w:rPr>
                <w:sz w:val="20"/>
                <w:szCs w:val="20"/>
                <w:color w:val="auto"/>
              </w:rPr>
            </w:pPr>
            <w:r>
              <w:rPr>
                <w:rFonts w:ascii="Times New Roman" w:cs="Times New Roman" w:eastAsia="Times New Roman" w:hAnsi="Times New Roman"/>
                <w:sz w:val="18"/>
                <w:szCs w:val="18"/>
                <w:color w:val="auto"/>
              </w:rPr>
              <w:t xml:space="preserve">related debt securities </w:t>
            </w:r>
            <w:r>
              <w:rPr>
                <w:rFonts w:ascii="Times New Roman" w:cs="Times New Roman" w:eastAsia="Times New Roman" w:hAnsi="Times New Roman"/>
                <w:sz w:val="25"/>
                <w:szCs w:val="25"/>
                <w:color w:val="auto"/>
                <w:vertAlign w:val="superscript"/>
              </w:rPr>
              <w:t>(d)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740" w:type="dxa"/>
            <w:vAlign w:val="bottom"/>
            <w:shd w:val="clear" w:color="auto" w:fill="CFF0FC"/>
          </w:tcPr>
          <w:p>
            <w:pPr>
              <w:ind w:left="260"/>
              <w:spacing w:after="0" w:line="195" w:lineRule="exact"/>
              <w:rPr>
                <w:sz w:val="20"/>
                <w:szCs w:val="20"/>
                <w:color w:val="auto"/>
              </w:rPr>
            </w:pPr>
            <w:r>
              <w:rPr>
                <w:rFonts w:ascii="Times New Roman" w:cs="Times New Roman" w:eastAsia="Times New Roman" w:hAnsi="Times New Roman"/>
                <w:sz w:val="18"/>
                <w:szCs w:val="18"/>
                <w:color w:val="auto"/>
              </w:rPr>
              <w:t>Collateralized mortgage</w:t>
            </w: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obligations and mortgage</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256</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740" w:type="dxa"/>
            <w:vAlign w:val="bottom"/>
            <w:shd w:val="clear" w:color="auto" w:fill="CFF0FC"/>
          </w:tcPr>
          <w:p>
            <w:pPr>
              <w:ind w:left="500"/>
              <w:spacing w:after="0" w:line="232" w:lineRule="exact"/>
              <w:rPr>
                <w:sz w:val="20"/>
                <w:szCs w:val="20"/>
                <w:color w:val="auto"/>
              </w:rPr>
            </w:pPr>
            <w:r>
              <w:rPr>
                <w:rFonts w:ascii="Times New Roman" w:cs="Times New Roman" w:eastAsia="Times New Roman" w:hAnsi="Times New Roman"/>
                <w:sz w:val="18"/>
                <w:szCs w:val="18"/>
                <w:color w:val="auto"/>
              </w:rPr>
              <w:t xml:space="preserve">backed securities </w:t>
            </w:r>
            <w:r>
              <w:rPr>
                <w:rFonts w:ascii="Times New Roman" w:cs="Times New Roman" w:eastAsia="Times New Roman" w:hAnsi="Times New Roman"/>
                <w:sz w:val="25"/>
                <w:szCs w:val="25"/>
                <w:color w:val="auto"/>
                <w:vertAlign w:val="superscript"/>
              </w:rPr>
              <w:t>(e)</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ind w:left="260"/>
              <w:spacing w:after="0" w:line="213" w:lineRule="exact"/>
              <w:rPr>
                <w:sz w:val="20"/>
                <w:szCs w:val="20"/>
                <w:color w:val="auto"/>
              </w:rPr>
            </w:pPr>
            <w:r>
              <w:rPr>
                <w:rFonts w:ascii="Times New Roman" w:cs="Times New Roman" w:eastAsia="Times New Roman" w:hAnsi="Times New Roman"/>
                <w:sz w:val="17"/>
                <w:szCs w:val="17"/>
                <w:color w:val="auto"/>
              </w:rPr>
              <w:t xml:space="preserve">Private equity </w:t>
            </w:r>
            <w:r>
              <w:rPr>
                <w:rFonts w:ascii="Times New Roman" w:cs="Times New Roman" w:eastAsia="Times New Roman" w:hAnsi="Times New Roman"/>
                <w:sz w:val="24"/>
                <w:szCs w:val="24"/>
                <w:color w:val="auto"/>
                <w:vertAlign w:val="superscript"/>
              </w:rPr>
              <w:t>(f)</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246</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60"/>
              <w:spacing w:after="0" w:line="213" w:lineRule="exact"/>
              <w:rPr>
                <w:sz w:val="20"/>
                <w:szCs w:val="20"/>
                <w:color w:val="auto"/>
              </w:rPr>
            </w:pPr>
            <w:r>
              <w:rPr>
                <w:rFonts w:ascii="Times New Roman" w:cs="Times New Roman" w:eastAsia="Times New Roman" w:hAnsi="Times New Roman"/>
                <w:sz w:val="17"/>
                <w:szCs w:val="17"/>
                <w:color w:val="auto"/>
              </w:rPr>
              <w:t xml:space="preserve">Real estate </w:t>
            </w:r>
            <w:r>
              <w:rPr>
                <w:rFonts w:ascii="Times New Roman" w:cs="Times New Roman" w:eastAsia="Times New Roman" w:hAnsi="Times New Roman"/>
                <w:sz w:val="24"/>
                <w:szCs w:val="24"/>
                <w:color w:val="auto"/>
                <w:vertAlign w:val="superscript"/>
              </w:rPr>
              <w:t>(g)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2,986</w:t>
            </w:r>
          </w:p>
        </w:tc>
        <w:tc>
          <w:tcPr>
            <w:tcW w:w="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3,461</w:t>
            </w:r>
          </w:p>
        </w:tc>
        <w:tc>
          <w:tcPr>
            <w:tcW w:w="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6,246</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364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1440" w:gutter="0" w:footer="0" w:header="0"/>
        </w:sectPr>
      </w:pPr>
    </w:p>
    <w:bookmarkStart w:id="57" w:name="page58"/>
    <w:bookmarkEnd w:id="57"/>
    <w:p>
      <w:pPr>
        <w:ind w:left="520" w:hanging="514"/>
        <w:spacing w:after="0" w:line="211" w:lineRule="auto"/>
        <w:tabs>
          <w:tab w:leader="none" w:pos="520" w:val="left"/>
        </w:tabs>
        <w:numPr>
          <w:ilvl w:val="0"/>
          <w:numId w:val="5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US equities include companies that are well diversified by industry sector and equity style (i.e., growth and value strategies). Active and passive management strategies are employed. Investments are primarily in large capitalization stocks and, to a lesser extent, mid- and small-cap stocks.</w:t>
      </w:r>
    </w:p>
    <w:p>
      <w:pPr>
        <w:jc w:val="both"/>
        <w:ind w:left="520" w:hanging="514"/>
        <w:spacing w:after="0" w:line="214" w:lineRule="auto"/>
        <w:tabs>
          <w:tab w:leader="none" w:pos="520" w:val="left"/>
        </w:tabs>
        <w:numPr>
          <w:ilvl w:val="0"/>
          <w:numId w:val="5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International equities are invested in companies that are traded on exchanges outside the US and are well diversified by industry sector, country and equity style. Active and passive strategies are employed. The vast majority of the investments are made in companies in developed markets with a small percentage in emerging markets.</w:t>
      </w:r>
    </w:p>
    <w:p>
      <w:pPr>
        <w:spacing w:after="0" w:line="2" w:lineRule="exact"/>
        <w:rPr>
          <w:rFonts w:ascii="Times New Roman" w:cs="Times New Roman" w:eastAsia="Times New Roman" w:hAnsi="Times New Roman"/>
          <w:sz w:val="26"/>
          <w:szCs w:val="26"/>
          <w:color w:val="auto"/>
          <w:vertAlign w:val="superscript"/>
        </w:rPr>
      </w:pPr>
    </w:p>
    <w:p>
      <w:pPr>
        <w:ind w:left="520" w:hanging="514"/>
        <w:spacing w:after="0" w:line="193" w:lineRule="auto"/>
        <w:tabs>
          <w:tab w:leader="none" w:pos="52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Corporate bonds consist primarily of investment grade bonds from diversified industries.</w:t>
      </w:r>
    </w:p>
    <w:p>
      <w:pPr>
        <w:spacing w:after="0" w:line="1" w:lineRule="exact"/>
        <w:rPr>
          <w:rFonts w:ascii="Times New Roman" w:cs="Times New Roman" w:eastAsia="Times New Roman" w:hAnsi="Times New Roman"/>
          <w:sz w:val="23"/>
          <w:szCs w:val="23"/>
          <w:color w:val="auto"/>
          <w:vertAlign w:val="superscript"/>
        </w:rPr>
      </w:pPr>
    </w:p>
    <w:p>
      <w:pPr>
        <w:ind w:left="520" w:hanging="514"/>
        <w:spacing w:after="0" w:line="201" w:lineRule="auto"/>
        <w:tabs>
          <w:tab w:leader="none" w:pos="520" w:val="left"/>
        </w:tabs>
        <w:numPr>
          <w:ilvl w:val="0"/>
          <w:numId w:val="5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Government and government-related debt securities are comprised primarily of inflation-protected US treasuries and, to a lesser extent, other government-related securities.</w:t>
      </w:r>
    </w:p>
    <w:p>
      <w:pPr>
        <w:spacing w:after="0" w:line="1" w:lineRule="exact"/>
        <w:rPr>
          <w:rFonts w:ascii="Times New Roman" w:cs="Times New Roman" w:eastAsia="Times New Roman" w:hAnsi="Times New Roman"/>
          <w:sz w:val="26"/>
          <w:szCs w:val="26"/>
          <w:color w:val="auto"/>
          <w:vertAlign w:val="superscript"/>
        </w:rPr>
      </w:pPr>
    </w:p>
    <w:p>
      <w:pPr>
        <w:jc w:val="both"/>
        <w:ind w:left="520" w:hanging="514"/>
        <w:spacing w:after="0" w:line="214" w:lineRule="auto"/>
        <w:tabs>
          <w:tab w:leader="none" w:pos="520" w:val="left"/>
        </w:tabs>
        <w:numPr>
          <w:ilvl w:val="0"/>
          <w:numId w:val="5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Collateralized mortgage obligations and mortgage backed-securities are debt obligations that represent claims to the cash flows from pools of mortgage loans which are purchased from banks, mortgage companies, and other originators and then assembled into pools by governmental, quasi-governmental and private entities.</w:t>
      </w:r>
    </w:p>
    <w:p>
      <w:pPr>
        <w:spacing w:after="0" w:line="2" w:lineRule="exact"/>
        <w:rPr>
          <w:rFonts w:ascii="Times New Roman" w:cs="Times New Roman" w:eastAsia="Times New Roman" w:hAnsi="Times New Roman"/>
          <w:sz w:val="26"/>
          <w:szCs w:val="26"/>
          <w:color w:val="auto"/>
          <w:vertAlign w:val="superscript"/>
        </w:rPr>
      </w:pPr>
    </w:p>
    <w:p>
      <w:pPr>
        <w:ind w:left="520" w:hanging="514"/>
        <w:spacing w:after="0" w:line="193" w:lineRule="auto"/>
        <w:tabs>
          <w:tab w:leader="none" w:pos="52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Private equity includes investments in several fund of funds limited partnerships.</w:t>
      </w:r>
    </w:p>
    <w:p>
      <w:pPr>
        <w:spacing w:after="0" w:line="1" w:lineRule="exact"/>
        <w:rPr>
          <w:rFonts w:ascii="Times New Roman" w:cs="Times New Roman" w:eastAsia="Times New Roman" w:hAnsi="Times New Roman"/>
          <w:sz w:val="23"/>
          <w:szCs w:val="23"/>
          <w:color w:val="auto"/>
          <w:vertAlign w:val="superscript"/>
        </w:rPr>
      </w:pPr>
    </w:p>
    <w:p>
      <w:pPr>
        <w:ind w:left="520" w:hanging="514"/>
        <w:spacing w:after="0" w:line="192" w:lineRule="auto"/>
        <w:tabs>
          <w:tab w:leader="none" w:pos="52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Real estate primarily includes investments in real estate limited partnerships, concentrated in commercial real estate.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Schlumberger’s funding policy is to annually contribute amounts that are based upon a number of factors including the actuarial accrued liability, amounts that are deductible for income tax purposes, legal funding requirements and available cash flow. Schlumberger currently anticipates contributing approximately $400 million to its postretirement benefit plans in 2015, subject to market and business conditions.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Benefits Other Than Pensions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Schlumberger provides certain healthcare benefits to certain former US employees who have retired. During the fourth quarter of 2014 Schlumberger announced that, effective April 1, 2015, it will change the way it provides healthcare coverage to certain retirees who are age 65 and over. Under the amended plan, these retirees will transfer to individual coverage under the Medicare Exchange. Schlumberger will subsidize the cost of the program by providing these retirees with a Health Reimbursement Account. The annual subsidy may be increased based on medical cost inflation, but it will not be increased more than 5% in any given year. The benefit obligation relating to these retirees represents approximately 66% of Schlumberger’s total accumulated benefit obligation for postretirement benefits other than pensions as of December 31, 2014.</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actuarial assumptions used to determine the accumulated postretirement benefit obligation and net periodic benefit cost for the US postretirement medical plan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color w:val="auto"/>
                <w:w w:val="98"/>
              </w:rPr>
              <w:t>Benefit Obligation at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5"/>
          </w:tcPr>
          <w:p>
            <w:pPr>
              <w:jc w:val="center"/>
              <w:ind w:left="11"/>
              <w:spacing w:after="0"/>
              <w:rPr>
                <w:sz w:val="20"/>
                <w:szCs w:val="20"/>
                <w:color w:val="auto"/>
              </w:rPr>
            </w:pPr>
            <w:r>
              <w:rPr>
                <w:rFonts w:ascii="Times New Roman" w:cs="Times New Roman" w:eastAsia="Times New Roman" w:hAnsi="Times New Roman"/>
                <w:sz w:val="18"/>
                <w:szCs w:val="18"/>
                <w:color w:val="auto"/>
                <w:w w:val="98"/>
              </w:rPr>
              <w:t>Net Periodic Benefit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color w:val="auto"/>
                <w:w w:val="97"/>
              </w:rPr>
              <w:t>December 31,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7"/>
              </w:rPr>
              <w:t>Cost for the year</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560" w:type="dxa"/>
            <w:vAlign w:val="bottom"/>
            <w:tcBorders>
              <w:bottom w:val="single" w:sz="8" w:color="CFF0FC"/>
            </w:tcBorders>
          </w:tcPr>
          <w:p>
            <w:pPr>
              <w:spacing w:after="0"/>
              <w:rPr>
                <w:sz w:val="17"/>
                <w:szCs w:val="17"/>
                <w:color w:val="auto"/>
              </w:rPr>
            </w:pPr>
          </w:p>
        </w:tc>
        <w:tc>
          <w:tcPr>
            <w:tcW w:w="126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6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tcBorders>
              <w:bottom w:val="single" w:sz="8" w:color="CFF0FC"/>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Borders>
              <w:top w:val="single" w:sz="8" w:color="auto"/>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60" w:type="dxa"/>
            <w:vAlign w:val="bottom"/>
            <w:tcBorders>
              <w:top w:val="single" w:sz="8" w:color="auto"/>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4"/>
              </w:rPr>
              <w:t>2012</w:t>
            </w: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60" w:type="dxa"/>
            <w:vAlign w:val="bottom"/>
            <w:shd w:val="clear" w:color="auto" w:fill="CFF0FC"/>
          </w:tcPr>
          <w:p>
            <w:pPr>
              <w:spacing w:after="0"/>
              <w:rPr>
                <w:sz w:val="20"/>
                <w:szCs w:val="20"/>
                <w:color w:val="auto"/>
              </w:rPr>
            </w:pPr>
          </w:p>
        </w:tc>
        <w:tc>
          <w:tcPr>
            <w:tcW w:w="900" w:type="dxa"/>
            <w:vAlign w:val="bottom"/>
            <w:gridSpan w:val="4"/>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4.85%</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Return on plan assets</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7.00%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medical cost trend rate</w:t>
            </w: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60" w:type="dxa"/>
            <w:vAlign w:val="bottom"/>
            <w:shd w:val="clear" w:color="auto" w:fill="CFF0FC"/>
          </w:tcPr>
          <w:p>
            <w:pPr>
              <w:spacing w:after="0"/>
              <w:rPr>
                <w:sz w:val="18"/>
                <w:szCs w:val="18"/>
                <w:color w:val="auto"/>
              </w:rPr>
            </w:pPr>
          </w:p>
        </w:tc>
        <w:tc>
          <w:tcPr>
            <w:tcW w:w="900" w:type="dxa"/>
            <w:vAlign w:val="bottom"/>
            <w:gridSpan w:val="4"/>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7.25%</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Ultimate medical cost trend rate</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18"/>
                <w:szCs w:val="18"/>
                <w:color w:val="auto"/>
              </w:rPr>
            </w:pPr>
          </w:p>
        </w:tc>
        <w:tc>
          <w:tcPr>
            <w:tcW w:w="90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5.00%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FF0FC"/>
          </w:tcPr>
          <w:p>
            <w:pPr>
              <w:spacing w:after="0"/>
              <w:rPr>
                <w:sz w:val="18"/>
                <w:szCs w:val="18"/>
                <w:color w:val="auto"/>
              </w:rPr>
            </w:pPr>
          </w:p>
        </w:tc>
        <w:tc>
          <w:tcPr>
            <w:tcW w:w="900" w:type="dxa"/>
            <w:vAlign w:val="bottom"/>
            <w:gridSpan w:val="4"/>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427"/>
        </w:trPr>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net periodic benefit cost for the US postretirement medical plan included the following components: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8"/>
          </w:tcPr>
          <w:p>
            <w:pPr>
              <w:jc w:val="right"/>
              <w:ind w:right="571"/>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560" w:type="dxa"/>
            <w:vAlign w:val="bottom"/>
            <w:tcBorders>
              <w:bottom w:val="single" w:sz="8" w:color="CFF0FC"/>
            </w:tcBorders>
          </w:tcPr>
          <w:p>
            <w:pPr>
              <w:spacing w:after="0"/>
              <w:rPr>
                <w:sz w:val="24"/>
                <w:szCs w:val="24"/>
                <w:color w:val="auto"/>
              </w:rPr>
            </w:pPr>
          </w:p>
        </w:tc>
        <w:tc>
          <w:tcPr>
            <w:tcW w:w="1260" w:type="dxa"/>
            <w:vAlign w:val="bottom"/>
            <w:tcBorders>
              <w:bottom w:val="single" w:sz="8" w:color="CFF0FC"/>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2012</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 — benefits earned during the period</w:t>
            </w:r>
          </w:p>
        </w:tc>
        <w:tc>
          <w:tcPr>
            <w:tcW w:w="1920" w:type="dxa"/>
            <w:vAlign w:val="bottom"/>
            <w:gridSpan w:val="2"/>
            <w:shd w:val="clear" w:color="auto" w:fill="CFF0FC"/>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w:t>
            </w:r>
          </w:p>
        </w:tc>
        <w:tc>
          <w:tcPr>
            <w:tcW w:w="6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48</w:t>
            </w:r>
          </w:p>
        </w:tc>
        <w:tc>
          <w:tcPr>
            <w:tcW w:w="56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80" w:type="dxa"/>
            <w:vAlign w:val="bottom"/>
            <w:gridSpan w:val="6"/>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(30)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86</w:t>
            </w:r>
          </w:p>
        </w:tc>
        <w:tc>
          <w:tcPr>
            <w:tcW w:w="2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The changes in the accumulated postretirement benefit obligation, plan assets and funded status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w w:val="98"/>
              </w:rPr>
              <w:t>(Stated in millions)</w:t>
            </w:r>
          </w:p>
        </w:tc>
        <w:tc>
          <w:tcPr>
            <w:tcW w:w="0" w:type="dxa"/>
            <w:vAlign w:val="bottom"/>
          </w:tcPr>
          <w:p>
            <w:pPr>
              <w:spacing w:after="0"/>
              <w:rPr>
                <w:sz w:val="1"/>
                <w:szCs w:val="1"/>
                <w:color w:val="auto"/>
              </w:rPr>
            </w:pPr>
          </w:p>
        </w:tc>
      </w:tr>
      <w:tr>
        <w:trPr>
          <w:trHeight w:val="317"/>
        </w:trPr>
        <w:tc>
          <w:tcPr>
            <w:tcW w:w="69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Accumulated Postretirement Benefit Obligation</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losses (gains)</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Plan amendments</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Plan Assets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 assets at fair value at beginning of year</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Company contributions</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6"/>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Plan assets at fair value at end of year</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6940" w:type="dxa"/>
            <w:vAlign w:val="bottom"/>
            <w:tcBorders>
              <w:bottom w:val="single" w:sz="8" w:color="CFF0FC"/>
            </w:tcBorders>
            <w:shd w:val="clear" w:color="auto" w:fill="CFF0FC"/>
          </w:tcPr>
          <w:p>
            <w:pPr>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Unfunded Liability</w:t>
            </w:r>
          </w:p>
        </w:tc>
        <w:tc>
          <w:tcPr>
            <w:tcW w:w="180" w:type="dxa"/>
            <w:vAlign w:val="bottom"/>
            <w:tcBorders>
              <w:bottom w:val="single" w:sz="8" w:color="auto"/>
            </w:tcBorders>
            <w:shd w:val="clear" w:color="auto" w:fill="CFF0FC"/>
          </w:tcPr>
          <w:p>
            <w:pPr>
              <w:jc w:val="right"/>
              <w:ind w:right="1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(367)</w:t>
            </w:r>
          </w:p>
        </w:tc>
        <w:tc>
          <w:tcPr>
            <w:tcW w:w="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(516)</w:t>
            </w:r>
          </w:p>
        </w:tc>
        <w:tc>
          <w:tcPr>
            <w:tcW w:w="1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Recognized in Accumulated Other Comprehensive Loss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losses</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credit</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6"/>
        </w:trPr>
        <w:tc>
          <w:tcPr>
            <w:tcW w:w="69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unfunded liability is included in </w:t>
      </w:r>
      <w:r>
        <w:rPr>
          <w:rFonts w:ascii="Times New Roman" w:cs="Times New Roman" w:eastAsia="Times New Roman" w:hAnsi="Times New Roman"/>
          <w:sz w:val="18"/>
          <w:szCs w:val="18"/>
          <w:i w:val="1"/>
          <w:iCs w:val="1"/>
          <w:color w:val="auto"/>
        </w:rPr>
        <w:t>Postretirement Benefits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assets of the US postretirement medical plan are invested 60% in equity securities and 40% in debt securities at December 31, 2014. The fair value of these assets was primarily determined based on Level Two valuation techniques.</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Assumed health care cost trend rates have a significant effect on the amounts reported for the US postretirement medical plan. A one percentage point change in assumed health care cost trend rates would have the following effects: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5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One percentage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One percentage</w:t>
            </w:r>
          </w:p>
        </w:tc>
      </w:tr>
      <w:tr>
        <w:trPr>
          <w:trHeight w:val="231"/>
        </w:trPr>
        <w:tc>
          <w:tcPr>
            <w:tcW w:w="512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7"/>
              </w:rPr>
              <w:t>point increase</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point decrease</w:t>
            </w:r>
          </w:p>
        </w:tc>
        <w:tc>
          <w:tcPr>
            <w:tcW w:w="120" w:type="dxa"/>
            <w:vAlign w:val="bottom"/>
            <w:tcBorders>
              <w:bottom w:val="single" w:sz="8" w:color="CFF0FC"/>
            </w:tcBorders>
          </w:tcPr>
          <w:p>
            <w:pPr>
              <w:spacing w:after="0"/>
              <w:rPr>
                <w:sz w:val="20"/>
                <w:szCs w:val="20"/>
                <w:color w:val="auto"/>
              </w:rPr>
            </w:pPr>
          </w:p>
        </w:tc>
      </w:tr>
      <w:tr>
        <w:trPr>
          <w:trHeight w:val="23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on total service and interest cost components</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Effect on accumulated postretirement benefit obligation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benefits to be paid under the US and International pension plans as well as the postretirement medical plan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17"/>
        </w:trPr>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Pension Benefits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r>
      <w:tr>
        <w:trPr>
          <w:trHeight w:val="206"/>
        </w:trPr>
        <w:tc>
          <w:tcPr>
            <w:tcW w:w="2940" w:type="dxa"/>
            <w:vAlign w:val="bottom"/>
            <w:tcBorders>
              <w:bottom w:val="single" w:sz="8" w:color="CFF0FC"/>
            </w:tcBorders>
          </w:tcPr>
          <w:p>
            <w:pPr>
              <w:spacing w:after="0"/>
              <w:rPr>
                <w:sz w:val="17"/>
                <w:szCs w:val="17"/>
                <w:color w:val="auto"/>
              </w:rPr>
            </w:pPr>
          </w:p>
        </w:tc>
        <w:tc>
          <w:tcPr>
            <w:tcW w:w="210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top w:val="single" w:sz="8" w:color="auto"/>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7"/>
              </w:rPr>
              <w:t>International</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Medical Plan</w:t>
            </w:r>
          </w:p>
        </w:tc>
        <w:tc>
          <w:tcPr>
            <w:tcW w:w="120" w:type="dxa"/>
            <w:vAlign w:val="bottom"/>
            <w:tcBorders>
              <w:bottom w:val="single" w:sz="8" w:color="CFF0FC"/>
            </w:tcBorders>
          </w:tcPr>
          <w:p>
            <w:pPr>
              <w:spacing w:after="0"/>
              <w:rPr>
                <w:sz w:val="17"/>
                <w:szCs w:val="17"/>
                <w:color w:val="auto"/>
              </w:rPr>
            </w:pPr>
          </w:p>
        </w:tc>
      </w:tr>
      <w:tr>
        <w:trPr>
          <w:trHeight w:val="23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w:t>
            </w:r>
          </w:p>
        </w:tc>
        <w:tc>
          <w:tcPr>
            <w:tcW w:w="2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20"/>
                <w:szCs w:val="20"/>
                <w:color w:val="auto"/>
              </w:rPr>
            </w:pPr>
          </w:p>
        </w:tc>
      </w:t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r>
      <w:tr>
        <w:trPr>
          <w:trHeight w:val="21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8"/>
                <w:szCs w:val="18"/>
                <w:color w:val="auto"/>
              </w:rPr>
            </w:pPr>
          </w:p>
        </w:tc>
      </w:t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r>
      <w:tr>
        <w:trPr>
          <w:trHeight w:val="21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8"/>
                <w:szCs w:val="18"/>
                <w:color w:val="auto"/>
              </w:rPr>
            </w:pPr>
          </w:p>
        </w:tc>
      </w:tr>
      <w:tr>
        <w:trPr>
          <w:trHeight w:val="2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2020 - 2024</w:t>
            </w: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r>
      <w:tr>
        <w:trPr>
          <w:trHeight w:val="407"/>
        </w:trPr>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334" w:right="239" w:bottom="1440" w:gutter="0" w:footer="0" w:header="0"/>
        </w:sectPr>
      </w:pPr>
    </w:p>
    <w:bookmarkStart w:id="59" w:name="page60"/>
    <w:bookmarkEnd w:id="59"/>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at December 31, 2014 are non-cash pretax charges which have not yet been recognized in net periodic benefit cost. The estimated portion of each component of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which is expected to be recognized as a component of net periodic benefit cost during the year ending December 31, 2015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9"/>
        </w:trPr>
        <w:tc>
          <w:tcPr>
            <w:tcW w:w="4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Pension</w:t>
            </w:r>
          </w:p>
        </w:tc>
        <w:tc>
          <w:tcPr>
            <w:tcW w:w="14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Postretirement</w:t>
            </w:r>
          </w:p>
        </w:tc>
      </w:tr>
      <w:tr>
        <w:trPr>
          <w:trHeight w:val="231"/>
        </w:trPr>
        <w:tc>
          <w:tcPr>
            <w:tcW w:w="4040" w:type="dxa"/>
            <w:vAlign w:val="bottom"/>
            <w:tcBorders>
              <w:bottom w:val="single" w:sz="8" w:color="CFF0FC"/>
            </w:tcBorders>
          </w:tcPr>
          <w:p>
            <w:pPr>
              <w:spacing w:after="0"/>
              <w:rPr>
                <w:sz w:val="20"/>
                <w:szCs w:val="20"/>
                <w:color w:val="auto"/>
              </w:rPr>
            </w:pPr>
          </w:p>
        </w:tc>
        <w:tc>
          <w:tcPr>
            <w:tcW w:w="2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Plans</w:t>
            </w:r>
          </w:p>
        </w:tc>
        <w:tc>
          <w:tcPr>
            <w:tcW w:w="3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Medical Plan</w:t>
            </w:r>
          </w:p>
        </w:tc>
        <w:tc>
          <w:tcPr>
            <w:tcW w:w="120" w:type="dxa"/>
            <w:vAlign w:val="bottom"/>
            <w:tcBorders>
              <w:bottom w:val="single" w:sz="8" w:color="CFF0FC"/>
            </w:tcBorders>
          </w:tcPr>
          <w:p>
            <w:pPr>
              <w:spacing w:after="0"/>
              <w:rPr>
                <w:sz w:val="20"/>
                <w:szCs w:val="20"/>
                <w:color w:val="auto"/>
              </w:rPr>
            </w:pPr>
          </w:p>
        </w:tc>
      </w:tr>
      <w:tr>
        <w:trPr>
          <w:trHeight w:val="23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actuarial losses</w:t>
            </w:r>
          </w:p>
        </w:tc>
        <w:tc>
          <w:tcPr>
            <w:tcW w:w="2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0"/>
                <w:szCs w:val="20"/>
                <w:color w:val="auto"/>
              </w:rPr>
            </w:pPr>
          </w:p>
        </w:tc>
      </w:tr>
      <w:tr>
        <w:trPr>
          <w:trHeight w:val="23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providing defined pension benefits and a postretirement medical plan, Schlumberger and its subsidiaries have other deferred benefit programs, primarily profit sharing and defined contribution pension plans. Expenses for these programs were $749 million, $671 million and $620 million in 2014, 2013 and 2012, respectively.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b w:val="1"/>
          <w:bCs w:val="1"/>
          <w:u w:val="single" w:color="auto"/>
          <w:color w:val="auto"/>
        </w:rPr>
        <w:t>Supplementary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and income taxes was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7"/>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99"/>
        </w:trPr>
        <w:tc>
          <w:tcPr>
            <w:tcW w:w="58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389</w:t>
            </w:r>
          </w:p>
        </w:tc>
        <w:tc>
          <w:tcPr>
            <w:tcW w:w="120" w:type="dxa"/>
            <w:vAlign w:val="bottom"/>
            <w:shd w:val="clear" w:color="auto" w:fill="CFF0FC"/>
          </w:tcPr>
          <w:p>
            <w:pPr>
              <w:spacing w:after="0"/>
              <w:rPr>
                <w:sz w:val="20"/>
                <w:szCs w:val="20"/>
                <w:color w:val="auto"/>
              </w:rPr>
            </w:pPr>
          </w:p>
        </w:tc>
        <w:tc>
          <w:tcPr>
            <w:tcW w:w="2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c>
          <w:tcPr>
            <w:tcW w:w="36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2,048</w:t>
            </w:r>
          </w:p>
        </w:tc>
        <w:tc>
          <w:tcPr>
            <w:tcW w:w="120" w:type="dxa"/>
            <w:vAlign w:val="bottom"/>
          </w:tcPr>
          <w:p>
            <w:pPr>
              <w:spacing w:after="0"/>
              <w:rPr>
                <w:sz w:val="20"/>
                <w:szCs w:val="20"/>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1,729</w:t>
            </w: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432"/>
        </w:trPr>
        <w:tc>
          <w:tcPr>
            <w:tcW w:w="5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Interest and other income </w:t>
            </w:r>
            <w:r>
              <w:rPr>
                <w:rFonts w:ascii="Times New Roman" w:cs="Times New Roman" w:eastAsia="Times New Roman" w:hAnsi="Times New Roman"/>
                <w:sz w:val="18"/>
                <w:szCs w:val="18"/>
                <w:color w:val="auto"/>
              </w:rPr>
              <w:t>includes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580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gridSpan w:val="3"/>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FF0FC"/>
          </w:tcPr>
          <w:p>
            <w:pPr>
              <w:spacing w:after="0"/>
              <w:rPr>
                <w:sz w:val="20"/>
                <w:szCs w:val="20"/>
                <w:color w:val="auto"/>
              </w:rPr>
            </w:pPr>
          </w:p>
        </w:tc>
        <w:tc>
          <w:tcPr>
            <w:tcW w:w="3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Earnings of equity method investments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6"/>
        </w:trPr>
        <w:tc>
          <w:tcPr>
            <w:tcW w:w="58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The change in </w:t>
            </w:r>
            <w:r>
              <w:rPr>
                <w:rFonts w:ascii="Times New Roman" w:cs="Times New Roman" w:eastAsia="Times New Roman" w:hAnsi="Times New Roman"/>
                <w:sz w:val="18"/>
                <w:szCs w:val="18"/>
                <w:i w:val="1"/>
                <w:iCs w:val="1"/>
                <w:color w:val="auto"/>
              </w:rPr>
              <w:t>Allowance for doubtful accounts</w:t>
            </w:r>
            <w:r>
              <w:rPr>
                <w:rFonts w:ascii="Times New Roman" w:cs="Times New Roman" w:eastAsia="Times New Roman" w:hAnsi="Times New Roman"/>
                <w:sz w:val="18"/>
                <w:szCs w:val="18"/>
                <w:color w:val="auto"/>
              </w:rPr>
              <w:t xml:space="preserve"> is as follows: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58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384</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shd w:val="clear" w:color="auto" w:fill="CFF0FC"/>
          </w:tcPr>
          <w:p>
            <w:pPr>
              <w:spacing w:after="0"/>
              <w:rPr>
                <w:sz w:val="20"/>
                <w:szCs w:val="20"/>
                <w:color w:val="auto"/>
              </w:rPr>
            </w:pPr>
          </w:p>
        </w:tc>
        <w:tc>
          <w:tcPr>
            <w:tcW w:w="3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written off</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(148)</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Divestiture of business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payable and accrued liabilities </w:t>
      </w:r>
      <w:r>
        <w:rPr>
          <w:rFonts w:ascii="Times New Roman" w:cs="Times New Roman" w:eastAsia="Times New Roman" w:hAnsi="Times New Roman"/>
          <w:sz w:val="18"/>
          <w:szCs w:val="18"/>
          <w:color w:val="auto"/>
        </w:rPr>
        <w:t>are summarized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17"/>
        </w:trPr>
        <w:tc>
          <w:tcPr>
            <w:tcW w:w="4780" w:type="dxa"/>
            <w:vAlign w:val="bottom"/>
            <w:tcBorders>
              <w:bottom w:val="single" w:sz="8" w:color="CFF0FC"/>
            </w:tcBorders>
          </w:tcPr>
          <w:p>
            <w:pPr>
              <w:spacing w:after="0"/>
              <w:rPr>
                <w:sz w:val="24"/>
                <w:szCs w:val="24"/>
                <w:color w:val="auto"/>
              </w:rPr>
            </w:pPr>
          </w:p>
        </w:tc>
        <w:tc>
          <w:tcPr>
            <w:tcW w:w="19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r>
      <w:tr>
        <w:trPr>
          <w:trHeight w:val="23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vacation and employee benefits</w:t>
            </w:r>
          </w:p>
        </w:tc>
        <w:tc>
          <w:tcPr>
            <w:tcW w:w="21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1,899</w:t>
            </w:r>
          </w:p>
        </w:tc>
        <w:tc>
          <w:tcPr>
            <w:tcW w:w="380" w:type="dxa"/>
            <w:vAlign w:val="bottom"/>
            <w:gridSpan w:val="3"/>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1,910</w:t>
            </w:r>
          </w:p>
        </w:tc>
        <w:tc>
          <w:tcPr>
            <w:tcW w:w="140" w:type="dxa"/>
            <w:vAlign w:val="bottom"/>
            <w:shd w:val="clear" w:color="auto" w:fill="CFF0FC"/>
          </w:tcPr>
          <w:p>
            <w:pPr>
              <w:spacing w:after="0"/>
              <w:rPr>
                <w:sz w:val="20"/>
                <w:szCs w:val="20"/>
                <w:color w:val="auto"/>
              </w:rPr>
            </w:pPr>
          </w:p>
        </w:tc>
      </w:tr>
      <w:tr>
        <w:trPr>
          <w:trHeight w:val="21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Trade</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4,344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4,155</w:t>
            </w:r>
          </w:p>
        </w:tc>
        <w:tc>
          <w:tcPr>
            <w:tcW w:w="140" w:type="dxa"/>
            <w:vAlign w:val="bottom"/>
          </w:tcPr>
          <w:p>
            <w:pPr>
              <w:spacing w:after="0"/>
              <w:rPr>
                <w:sz w:val="18"/>
                <w:szCs w:val="18"/>
                <w:color w:val="auto"/>
              </w:rPr>
            </w:pPr>
          </w:p>
        </w:tc>
      </w:tr>
      <w:tr>
        <w:trPr>
          <w:trHeight w:val="21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3,003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2,772</w:t>
            </w:r>
          </w:p>
        </w:tc>
        <w:tc>
          <w:tcPr>
            <w:tcW w:w="140" w:type="dxa"/>
            <w:vAlign w:val="bottom"/>
            <w:shd w:val="clear" w:color="auto" w:fill="CFF0FC"/>
          </w:tcPr>
          <w:p>
            <w:pPr>
              <w:spacing w:after="0"/>
              <w:rPr>
                <w:sz w:val="18"/>
                <w:szCs w:val="18"/>
                <w:color w:val="auto"/>
              </w:rPr>
            </w:pPr>
          </w:p>
        </w:tc>
      </w:tr>
      <w:tr>
        <w:trPr>
          <w:trHeight w:val="219"/>
        </w:trPr>
        <w:tc>
          <w:tcPr>
            <w:tcW w:w="47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9,246</w:t>
            </w:r>
          </w:p>
        </w:tc>
        <w:tc>
          <w:tcPr>
            <w:tcW w:w="1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280" w:hanging="274"/>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Discontinued Operations</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During the second quarter of 2013, Schlumberger completed the wind down of its operations in Iran and, therefore, has classified the historical results of this business as a discontinued operation.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332" w:right="2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the second quarter of 2012, Schlumberger sold its Wilson distribution business to National Oilwell Varco Inc. (“NOV”) for $906 million in cash, resulting in a pretax gain of $137 million ($16 million after-tax). During the third quarter of 2012, Schlumberger completed the sale of its 56% interest in CE Franklin Ltd. to NOV for $122 million in cash, resulting in a pretax gain of $30 million ($12 million after-tax). As Wilson and CE Franklin comprised Schlumberger’s entire Distribution segment, the results of this entire segment have been classified as discontinued operations in the </w:t>
      </w:r>
      <w:r>
        <w:rPr>
          <w:rFonts w:ascii="Times New Roman" w:cs="Times New Roman" w:eastAsia="Times New Roman" w:hAnsi="Times New Roman"/>
          <w:sz w:val="18"/>
          <w:szCs w:val="18"/>
          <w:i w:val="1"/>
          <w:iCs w:val="1"/>
          <w:color w:val="auto"/>
        </w:rPr>
        <w:t>Consolidated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these discontinued operations: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99"/>
        </w:trPr>
        <w:tc>
          <w:tcPr>
            <w:tcW w:w="4600" w:type="dxa"/>
            <w:vAlign w:val="bottom"/>
            <w:tcBorders>
              <w:bottom w:val="single" w:sz="8" w:color="CFF0FC"/>
            </w:tcBorders>
          </w:tcPr>
          <w:p>
            <w:pPr>
              <w:spacing w:after="0"/>
              <w:rPr>
                <w:sz w:val="24"/>
                <w:szCs w:val="24"/>
                <w:color w:val="auto"/>
              </w:rPr>
            </w:pPr>
          </w:p>
        </w:tc>
        <w:tc>
          <w:tcPr>
            <w:tcW w:w="12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14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9"/>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9"/>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divestitures, net of tax</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9"/>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6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management is responsible for establishing and maintaining adequate internal control over financial reporting as defined in Rule 13a–15(f) of the Securities Exchange Act of 1934, as amended.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 management assessed the effectiveness of its internal control over financial reporting as of December 31, 2014. In making this assessment, it used the criteria set forth in 2013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Based on this assessment Schlumberger’s management has concluded that, as of December 31, 2014, its internal control over financial reporting is effective based on those criteria.</w:t>
      </w:r>
    </w:p>
    <w:p>
      <w:pPr>
        <w:spacing w:after="0" w:line="1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effectiveness of Schlumberger’s internal control over financial reporting as of December 31, 2014,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651"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Schlumberger Limited</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our opinion, the accompanying consolidated balance sheets and the related consolidated statements of income, of comprehensive income, of stockholders’ equity and of cash flows present fairly, in all material respects, the financial position of Schlumberger Limited and its subsidiaries at December 31, 2014 and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the Committee of Sponsoring Organizations of the Treadway Commission in 2013.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7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792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9"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Schlumberger’s results by quarter for the years ended December 31, 2014 and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jc w:val="center"/>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299"/>
        </w:trPr>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Net Income</w:t>
            </w:r>
          </w:p>
        </w:tc>
        <w:tc>
          <w:tcPr>
            <w:tcW w:w="240" w:type="dxa"/>
            <w:vAlign w:val="bottom"/>
          </w:tcPr>
          <w:p>
            <w:pPr>
              <w:spacing w:after="0"/>
              <w:rPr>
                <w:sz w:val="24"/>
                <w:szCs w:val="24"/>
                <w:color w:val="auto"/>
              </w:rPr>
            </w:pPr>
          </w:p>
        </w:tc>
        <w:tc>
          <w:tcPr>
            <w:tcW w:w="2360" w:type="dxa"/>
            <w:vAlign w:val="bottom"/>
            <w:gridSpan w:val="5"/>
          </w:tcPr>
          <w:p>
            <w:pPr>
              <w:jc w:val="center"/>
              <w:ind w:right="71"/>
              <w:spacing w:after="0"/>
              <w:rPr>
                <w:sz w:val="20"/>
                <w:szCs w:val="20"/>
                <w:color w:val="auto"/>
              </w:rPr>
            </w:pPr>
            <w:r>
              <w:rPr>
                <w:rFonts w:ascii="Times New Roman" w:cs="Times New Roman" w:eastAsia="Times New Roman" w:hAnsi="Times New Roman"/>
                <w:sz w:val="18"/>
                <w:szCs w:val="18"/>
                <w:color w:val="auto"/>
                <w:w w:val="98"/>
              </w:rPr>
              <w:t>Earnings per share</w:t>
            </w:r>
          </w:p>
        </w:tc>
      </w:tr>
      <w:tr>
        <w:trPr>
          <w:trHeight w:val="231"/>
        </w:trPr>
        <w:tc>
          <w:tcPr>
            <w:tcW w:w="4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attributable to</w:t>
            </w: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91"/>
              <w:spacing w:after="0" w:line="232" w:lineRule="exact"/>
              <w:rPr>
                <w:sz w:val="20"/>
                <w:szCs w:val="20"/>
                <w:color w:val="auto"/>
              </w:rPr>
            </w:pPr>
            <w:r>
              <w:rPr>
                <w:rFonts w:ascii="Times New Roman" w:cs="Times New Roman" w:eastAsia="Times New Roman" w:hAnsi="Times New Roman"/>
                <w:sz w:val="18"/>
                <w:szCs w:val="18"/>
                <w:color w:val="auto"/>
                <w:w w:val="95"/>
              </w:rPr>
              <w:t xml:space="preserve">of Schlumberger </w:t>
            </w:r>
            <w:r>
              <w:rPr>
                <w:rFonts w:ascii="Times New Roman" w:cs="Times New Roman" w:eastAsia="Times New Roman" w:hAnsi="Times New Roman"/>
                <w:sz w:val="15"/>
                <w:szCs w:val="15"/>
                <w:color w:val="auto"/>
                <w:w w:val="95"/>
              </w:rPr>
              <w:t>(</w:t>
            </w:r>
            <w:r>
              <w:rPr>
                <w:rFonts w:ascii="Times New Roman" w:cs="Times New Roman" w:eastAsia="Times New Roman" w:hAnsi="Times New Roman"/>
                <w:sz w:val="25"/>
                <w:szCs w:val="25"/>
                <w:color w:val="auto"/>
                <w:w w:val="95"/>
                <w:vertAlign w:val="superscript"/>
              </w:rPr>
              <w:t>2)</w:t>
            </w:r>
          </w:p>
        </w:tc>
      </w:tr>
      <w:tr>
        <w:trPr>
          <w:trHeight w:val="206"/>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1), (2)</w:t>
            </w:r>
          </w:p>
        </w:tc>
        <w:tc>
          <w:tcPr>
            <w:tcW w:w="100" w:type="dxa"/>
            <w:vAlign w:val="bottom"/>
          </w:tcPr>
          <w:p>
            <w:pPr>
              <w:spacing w:after="0"/>
              <w:rPr>
                <w:sz w:val="17"/>
                <w:szCs w:val="17"/>
                <w:color w:val="auto"/>
              </w:rPr>
            </w:pPr>
          </w:p>
        </w:tc>
        <w:tc>
          <w:tcPr>
            <w:tcW w:w="1540" w:type="dxa"/>
            <w:vAlign w:val="bottom"/>
            <w:gridSpan w:val="2"/>
          </w:tcPr>
          <w:p>
            <w:pPr>
              <w:jc w:val="center"/>
              <w:ind w:right="300"/>
              <w:spacing w:after="0" w:line="207" w:lineRule="exact"/>
              <w:rPr>
                <w:sz w:val="20"/>
                <w:szCs w:val="20"/>
                <w:color w:val="auto"/>
              </w:rPr>
            </w:pPr>
            <w:r>
              <w:rPr>
                <w:rFonts w:ascii="Times New Roman" w:cs="Times New Roman" w:eastAsia="Times New Roman" w:hAnsi="Times New Roman"/>
                <w:sz w:val="16"/>
                <w:szCs w:val="16"/>
                <w:color w:val="auto"/>
              </w:rPr>
              <w:t xml:space="preserve">Schlumberger </w:t>
            </w:r>
            <w:r>
              <w:rPr>
                <w:rFonts w:ascii="Times New Roman" w:cs="Times New Roman" w:eastAsia="Times New Roman" w:hAnsi="Times New Roman"/>
                <w:sz w:val="14"/>
                <w:szCs w:val="14"/>
                <w:color w:val="auto"/>
              </w:rPr>
              <w:t>(</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Diluted</w:t>
            </w:r>
          </w:p>
        </w:tc>
      </w:tr>
      <w:tr>
        <w:trPr>
          <w:trHeight w:val="206"/>
        </w:trPr>
        <w:tc>
          <w:tcPr>
            <w:tcW w:w="4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Quarters-2014</w:t>
            </w: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First</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11,239</w:t>
            </w:r>
          </w:p>
        </w:tc>
        <w:tc>
          <w:tcPr>
            <w:tcW w:w="3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1,592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12,054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2,785</w:t>
            </w: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b w:val="1"/>
                <w:bCs w:val="1"/>
                <w:color w:val="auto"/>
              </w:rPr>
              <w:t>1,595</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Third</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2,957</w:t>
            </w:r>
          </w:p>
        </w:tc>
        <w:tc>
          <w:tcPr>
            <w:tcW w:w="100" w:type="dxa"/>
            <w:vAlign w:val="bottom"/>
          </w:tcPr>
          <w:p>
            <w:pPr>
              <w:spacing w:after="0"/>
              <w:rPr>
                <w:sz w:val="18"/>
                <w:szCs w:val="18"/>
                <w:color w:val="auto"/>
              </w:rPr>
            </w:pPr>
          </w:p>
        </w:tc>
        <w:tc>
          <w:tcPr>
            <w:tcW w:w="15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1,949</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3"/>
        </w:trPr>
        <w:tc>
          <w:tcPr>
            <w:tcW w:w="414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Fourth </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12,641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2,950</w:t>
            </w: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b w:val="1"/>
                <w:bCs w:val="1"/>
                <w:color w:val="auto"/>
              </w:rPr>
              <w:t>302</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0.24</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46"/>
        </w:trPr>
        <w:tc>
          <w:tcPr>
            <w:tcW w:w="4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48,580</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11,182</w:t>
            </w:r>
          </w:p>
        </w:tc>
        <w:tc>
          <w:tcPr>
            <w:tcW w:w="3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w w:val="93"/>
              </w:rPr>
              <w:t>5,438</w:t>
            </w:r>
          </w:p>
        </w:tc>
        <w:tc>
          <w:tcPr>
            <w:tcW w:w="2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193"/>
        </w:trPr>
        <w:tc>
          <w:tcPr>
            <w:tcW w:w="414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8"/>
                <w:szCs w:val="18"/>
                <w:color w:val="auto"/>
              </w:rPr>
              <w:t>Quarters-2013</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13"/>
        </w:trPr>
        <w:tc>
          <w:tcPr>
            <w:tcW w:w="414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 xml:space="preserve">First </w:t>
            </w:r>
            <w:r>
              <w:rPr>
                <w:rFonts w:ascii="Times New Roman" w:cs="Times New Roman" w:eastAsia="Times New Roman" w:hAnsi="Times New Roman"/>
                <w:sz w:val="24"/>
                <w:szCs w:val="24"/>
                <w:color w:val="auto"/>
                <w:vertAlign w:val="superscript"/>
              </w:rPr>
              <w:t>(4)</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10,570</w:t>
            </w:r>
          </w:p>
        </w:tc>
        <w:tc>
          <w:tcPr>
            <w:tcW w:w="3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1,259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3"/>
        </w:trPr>
        <w:tc>
          <w:tcPr>
            <w:tcW w:w="414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Second </w:t>
            </w:r>
            <w:r>
              <w:rPr>
                <w:rFonts w:ascii="Times New Roman" w:cs="Times New Roman" w:eastAsia="Times New Roman" w:hAnsi="Times New Roman"/>
                <w:sz w:val="24"/>
                <w:szCs w:val="24"/>
                <w:color w:val="auto"/>
                <w:vertAlign w:val="superscript"/>
              </w:rPr>
              <w:t>(5)</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Third</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18"/>
                <w:szCs w:val="18"/>
                <w:color w:val="auto"/>
              </w:rPr>
            </w:pPr>
          </w:p>
        </w:tc>
        <w:tc>
          <w:tcPr>
            <w:tcW w:w="15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1,715</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414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7"/>
                <w:szCs w:val="17"/>
                <w:color w:val="auto"/>
              </w:rPr>
              <w:t xml:space="preserve">Fourth </w:t>
            </w:r>
            <w:r>
              <w:rPr>
                <w:rFonts w:ascii="Times New Roman" w:cs="Times New Roman" w:eastAsia="Times New Roman" w:hAnsi="Times New Roman"/>
                <w:sz w:val="24"/>
                <w:szCs w:val="24"/>
                <w:color w:val="auto"/>
                <w:vertAlign w:val="superscript"/>
              </w:rPr>
              <w:t>(6)</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11,906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1,664</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6"/>
        </w:trPr>
        <w:tc>
          <w:tcPr>
            <w:tcW w:w="4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3"/>
              </w:rPr>
              <w:t>6,732</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ind w:left="400" w:hanging="394"/>
        <w:spacing w:after="0"/>
        <w:tabs>
          <w:tab w:leader="none" w:pos="400" w:val="left"/>
        </w:tabs>
        <w:numPr>
          <w:ilvl w:val="0"/>
          <w:numId w:val="5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Gross margin equals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less </w:t>
      </w: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w:t>
      </w:r>
    </w:p>
    <w:p>
      <w:pPr>
        <w:ind w:left="400" w:hanging="394"/>
        <w:spacing w:after="0" w:line="192" w:lineRule="auto"/>
        <w:tabs>
          <w:tab w:leader="none" w:pos="40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Amounts may not add due to rounding.</w:t>
      </w:r>
    </w:p>
    <w:p>
      <w:pPr>
        <w:spacing w:after="0" w:line="1" w:lineRule="exact"/>
        <w:rPr>
          <w:rFonts w:ascii="Times New Roman" w:cs="Times New Roman" w:eastAsia="Times New Roman" w:hAnsi="Times New Roman"/>
          <w:sz w:val="23"/>
          <w:szCs w:val="23"/>
          <w:color w:val="auto"/>
          <w:vertAlign w:val="superscript"/>
        </w:rPr>
      </w:pPr>
    </w:p>
    <w:p>
      <w:pPr>
        <w:ind w:left="400" w:hanging="394"/>
        <w:spacing w:after="0" w:line="192" w:lineRule="auto"/>
        <w:tabs>
          <w:tab w:leader="none" w:pos="40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income in the fourth quarter of 2014 includes after-tax charges of $1.639 billion.</w:t>
      </w:r>
    </w:p>
    <w:p>
      <w:pPr>
        <w:spacing w:after="0" w:line="1" w:lineRule="exact"/>
        <w:rPr>
          <w:rFonts w:ascii="Times New Roman" w:cs="Times New Roman" w:eastAsia="Times New Roman" w:hAnsi="Times New Roman"/>
          <w:sz w:val="23"/>
          <w:szCs w:val="23"/>
          <w:color w:val="auto"/>
          <w:vertAlign w:val="superscript"/>
        </w:rPr>
      </w:pPr>
    </w:p>
    <w:p>
      <w:pPr>
        <w:ind w:left="400" w:hanging="394"/>
        <w:spacing w:after="0" w:line="192" w:lineRule="auto"/>
        <w:tabs>
          <w:tab w:leader="none" w:pos="40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income in the first quarter of 2013 includes after-tax charges of $92 million.</w:t>
      </w:r>
    </w:p>
    <w:p>
      <w:pPr>
        <w:spacing w:after="0" w:line="1" w:lineRule="exact"/>
        <w:rPr>
          <w:rFonts w:ascii="Times New Roman" w:cs="Times New Roman" w:eastAsia="Times New Roman" w:hAnsi="Times New Roman"/>
          <w:sz w:val="23"/>
          <w:szCs w:val="23"/>
          <w:color w:val="auto"/>
          <w:vertAlign w:val="superscript"/>
        </w:rPr>
      </w:pPr>
    </w:p>
    <w:p>
      <w:pPr>
        <w:ind w:left="400" w:hanging="394"/>
        <w:spacing w:after="0" w:line="192" w:lineRule="auto"/>
        <w:tabs>
          <w:tab w:leader="none" w:pos="40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income in the second quarter of 2013 includes after-tax credits of $683 million.</w:t>
      </w:r>
    </w:p>
    <w:p>
      <w:pPr>
        <w:spacing w:after="0" w:line="1" w:lineRule="exact"/>
        <w:rPr>
          <w:rFonts w:ascii="Times New Roman" w:cs="Times New Roman" w:eastAsia="Times New Roman" w:hAnsi="Times New Roman"/>
          <w:sz w:val="23"/>
          <w:szCs w:val="23"/>
          <w:color w:val="auto"/>
          <w:vertAlign w:val="superscript"/>
        </w:rPr>
      </w:pPr>
    </w:p>
    <w:p>
      <w:pPr>
        <w:ind w:left="400" w:hanging="394"/>
        <w:spacing w:after="0" w:line="192" w:lineRule="auto"/>
        <w:tabs>
          <w:tab w:leader="none" w:pos="40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income in the second quarter of 2013 includes after-tax credits of $122 million.</w:t>
      </w:r>
    </w:p>
    <w:p>
      <w:pPr>
        <w:spacing w:after="0" w:line="327" w:lineRule="exact"/>
        <w:rPr>
          <w:sz w:val="20"/>
          <w:szCs w:val="20"/>
          <w:color w:val="auto"/>
        </w:rPr>
      </w:pPr>
    </w:p>
    <w:p>
      <w:pPr>
        <w:ind w:left="280" w:hanging="274"/>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of Schlumberger</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1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2014 that has materially affected, or is reasonably likely to materially affect, Schlumberger’s internal control over financial reporting.</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520"/>
          </w:cols>
          <w:pgMar w:left="240" w:top="119" w:right="1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 of Schlumberger.</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See “Item 1. Business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2015 Proxy Statement is incorporated herein by reference.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has a Code of Conduct that applies to all of its directors, officers and employees, including its principal executive, financial and accounting officers, or persons performing similar functions. Schlumberger’s Code of Conduct is posted on its website at www.slb.com/about/codeofconduct.aspx. Schlumberger intends to disclose future amendments to the Code of Conduct and any grant of a waiver from a provision of the Code of Conduct requiring disclosure under applicable SEC rules at www.slb.com/about/codeofconduct.aspx.</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the captions “Compensation Discussion and Analysis,” “Executive Compensation Tables and Accompanying Narrative,” “Compensation Committee Report” and “Director Compensation in Fiscal Year 2014” in Schlumberger’s 2015 Proxy Statement is incorporated herein by reference.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under the captions “Stock Ownership Information—Security Ownership by Certain Beneficial Owners,” “Stock Ownership Information— Security Ownership by Management” and “Equity Compensation Plan Information” in Schlumberger’s 2015 Proxy Statement is incorporated herein by reference.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captions “Corporate Governance—Board Independence” and “Corporate Governance—Policies and Procedures for Approval of Related Person Transactions” in Schlumberger’s 2015 Proxy Statement is incorporated herein by reference.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 “Appointment of Independent Registered Public Accounting Firm” in Schlumberger’s 2015 Proxy Statement is incorporated herein by reference.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9"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5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60" w:type="dxa"/>
            <w:vAlign w:val="bottom"/>
          </w:tcPr>
          <w:p>
            <w:pPr>
              <w:spacing w:after="0"/>
              <w:rPr>
                <w:sz w:val="24"/>
                <w:szCs w:val="24"/>
                <w:color w:val="auto"/>
              </w:rPr>
            </w:pPr>
          </w:p>
        </w:tc>
        <w:tc>
          <w:tcPr>
            <w:tcW w:w="8520" w:type="dxa"/>
            <w:vAlign w:val="bottom"/>
            <w:gridSpan w:val="11"/>
            <w:vMerge w:val="restart"/>
          </w:tcPr>
          <w:p>
            <w:pPr>
              <w:ind w:left="560"/>
              <w:spacing w:after="0"/>
              <w:rPr>
                <w:sz w:val="20"/>
                <w:szCs w:val="20"/>
                <w:color w:val="auto"/>
              </w:rPr>
            </w:pPr>
            <w:r>
              <w:rPr>
                <w:rFonts w:ascii="Times New Roman" w:cs="Times New Roman" w:eastAsia="Times New Roman" w:hAnsi="Times New Roman"/>
                <w:sz w:val="18"/>
                <w:szCs w:val="18"/>
                <w:color w:val="auto"/>
              </w:rPr>
              <w:t>(1)  Financial Statements</w:t>
            </w:r>
          </w:p>
        </w:tc>
        <w:tc>
          <w:tcPr>
            <w:tcW w:w="1460" w:type="dxa"/>
            <w:vAlign w:val="bottom"/>
          </w:tcPr>
          <w:p>
            <w:pPr>
              <w:jc w:val="center"/>
              <w:ind w:left="673"/>
              <w:spacing w:after="0"/>
              <w:rPr>
                <w:sz w:val="20"/>
                <w:szCs w:val="20"/>
                <w:color w:val="auto"/>
              </w:rPr>
            </w:pPr>
            <w:r>
              <w:rPr>
                <w:rFonts w:ascii="Times New Roman" w:cs="Times New Roman" w:eastAsia="Times New Roman" w:hAnsi="Times New Roman"/>
                <w:sz w:val="14"/>
                <w:szCs w:val="14"/>
                <w:color w:val="auto"/>
                <w:w w:val="99"/>
              </w:rPr>
              <w:t>Page(s)</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8520" w:type="dxa"/>
            <w:vAlign w:val="bottom"/>
            <w:gridSpan w:val="11"/>
            <w:vMerge w:val="continue"/>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20" w:type="dxa"/>
            <w:vAlign w:val="bottom"/>
            <w:gridSpan w:val="10"/>
          </w:tcPr>
          <w:p>
            <w:pPr>
              <w:spacing w:after="0" w:line="191"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Consolidated Statement of Income for the three years ended December 31, 2014</w:t>
              </w:r>
            </w:hyperlink>
          </w:p>
        </w:tc>
        <w:tc>
          <w:tcPr>
            <w:tcW w:w="1460" w:type="dxa"/>
            <w:vAlign w:val="bottom"/>
          </w:tcPr>
          <w:p>
            <w:pPr>
              <w:jc w:val="center"/>
              <w:ind w:left="673"/>
              <w:spacing w:after="0" w:line="191"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20" w:type="dxa"/>
            <w:vAlign w:val="bottom"/>
            <w:gridSpan w:val="10"/>
          </w:tcPr>
          <w:p>
            <w:pPr>
              <w:spacing w:after="0" w:line="193"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Consolidated Statement of Comprehensive Income for the three years ended December 31, 2014</w:t>
              </w:r>
            </w:hyperlink>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300" w:type="dxa"/>
            <w:vAlign w:val="bottom"/>
            <w:tcBorders>
              <w:top w:val="single" w:sz="8" w:color="0000EE"/>
              <w:bottom w:val="single" w:sz="8" w:color="0000EE"/>
            </w:tcBorders>
            <w:gridSpan w:val="5"/>
          </w:tcPr>
          <w:p>
            <w:pPr>
              <w:spacing w:after="0" w:line="193" w:lineRule="exact"/>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Consolidated Balance Sheet at December 31, 2014 and 2013</w:t>
              </w:r>
            </w:hyperlink>
          </w:p>
        </w:tc>
        <w:tc>
          <w:tcPr>
            <w:tcW w:w="2540" w:type="dxa"/>
            <w:vAlign w:val="bottom"/>
            <w:tcBorders>
              <w:top w:val="single" w:sz="8" w:color="0000EE"/>
            </w:tcBorders>
            <w:gridSpan w:val="4"/>
          </w:tcPr>
          <w:p>
            <w:pPr>
              <w:spacing w:after="0"/>
              <w:rPr>
                <w:sz w:val="16"/>
                <w:szCs w:val="16"/>
                <w:color w:val="auto"/>
              </w:rPr>
            </w:pPr>
          </w:p>
        </w:tc>
        <w:tc>
          <w:tcPr>
            <w:tcW w:w="780" w:type="dxa"/>
            <w:vAlign w:val="bottom"/>
          </w:tcPr>
          <w:p>
            <w:pPr>
              <w:spacing w:after="0"/>
              <w:rPr>
                <w:sz w:val="16"/>
                <w:szCs w:val="16"/>
                <w:color w:val="auto"/>
              </w:rPr>
            </w:pPr>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0" w:type="dxa"/>
            <w:vAlign w:val="bottom"/>
            <w:tcBorders>
              <w:bottom w:val="single" w:sz="8" w:color="0000EE"/>
            </w:tcBorders>
            <w:gridSpan w:val="7"/>
          </w:tcPr>
          <w:p>
            <w:pPr>
              <w:spacing w:after="0" w:line="193"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Consolidated Statement of Cash Flows for the three years ended December 31, 2014</w:t>
              </w:r>
            </w:hyperlink>
          </w:p>
        </w:tc>
        <w:tc>
          <w:tcPr>
            <w:tcW w:w="1620" w:type="dxa"/>
            <w:vAlign w:val="bottom"/>
            <w:gridSpan w:val="3"/>
          </w:tcPr>
          <w:p>
            <w:pPr>
              <w:spacing w:after="0"/>
              <w:rPr>
                <w:sz w:val="16"/>
                <w:szCs w:val="16"/>
                <w:color w:val="auto"/>
              </w:rPr>
            </w:pPr>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60" w:type="dxa"/>
            <w:vAlign w:val="bottom"/>
            <w:tcBorders>
              <w:bottom w:val="single" w:sz="8" w:color="0000EE"/>
            </w:tcBorders>
            <w:gridSpan w:val="8"/>
          </w:tcPr>
          <w:p>
            <w:pPr>
              <w:spacing w:after="0" w:line="193" w:lineRule="exact"/>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Consolidated Statement of Stockholders’ Equity for the three years ended December 31, 2014</w:t>
              </w:r>
            </w:hyperlink>
          </w:p>
        </w:tc>
        <w:tc>
          <w:tcPr>
            <w:tcW w:w="960" w:type="dxa"/>
            <w:vAlign w:val="bottom"/>
            <w:gridSpan w:val="2"/>
          </w:tcPr>
          <w:p>
            <w:pPr>
              <w:spacing w:after="0"/>
              <w:rPr>
                <w:sz w:val="16"/>
                <w:szCs w:val="16"/>
                <w:color w:val="auto"/>
              </w:rPr>
            </w:pPr>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8"/>
              </w:rPr>
              <w:t>35 and 36</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00" w:type="dxa"/>
            <w:vAlign w:val="bottom"/>
            <w:tcBorders>
              <w:bottom w:val="single" w:sz="8" w:color="0000EE"/>
            </w:tcBorders>
            <w:gridSpan w:val="3"/>
          </w:tcPr>
          <w:p>
            <w:pPr>
              <w:spacing w:after="0" w:line="193" w:lineRule="exact"/>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Notes to Consolidated Financial Statements</w:t>
              </w:r>
            </w:hyperlink>
          </w:p>
        </w:tc>
        <w:tc>
          <w:tcPr>
            <w:tcW w:w="4520" w:type="dxa"/>
            <w:vAlign w:val="bottom"/>
            <w:gridSpan w:val="7"/>
          </w:tcPr>
          <w:p>
            <w:pPr>
              <w:spacing w:after="0"/>
              <w:rPr>
                <w:sz w:val="16"/>
                <w:szCs w:val="16"/>
                <w:color w:val="auto"/>
              </w:rPr>
            </w:pPr>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8"/>
              </w:rPr>
              <w:t>37 to 60</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60" w:type="dxa"/>
            <w:vAlign w:val="bottom"/>
            <w:tcBorders>
              <w:bottom w:val="single" w:sz="8" w:color="0000EE"/>
            </w:tcBorders>
            <w:gridSpan w:val="4"/>
          </w:tcPr>
          <w:p>
            <w:pPr>
              <w:spacing w:after="0" w:line="193" w:lineRule="exact"/>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Report of Independent Registered Public Accounting Firm</w:t>
              </w:r>
            </w:hyperlink>
          </w:p>
        </w:tc>
        <w:tc>
          <w:tcPr>
            <w:tcW w:w="3460" w:type="dxa"/>
            <w:vAlign w:val="bottom"/>
            <w:gridSpan w:val="6"/>
          </w:tcPr>
          <w:p>
            <w:pPr>
              <w:spacing w:after="0"/>
              <w:rPr>
                <w:sz w:val="16"/>
                <w:szCs w:val="16"/>
                <w:color w:val="auto"/>
              </w:rPr>
            </w:pPr>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20" w:type="dxa"/>
            <w:vAlign w:val="bottom"/>
            <w:gridSpan w:val="10"/>
          </w:tcPr>
          <w:p>
            <w:pPr>
              <w:spacing w:after="0" w:line="193"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Quarterly Results (Unaudited)</w:t>
              </w:r>
            </w:hyperlink>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Financial statements of companies accounted for under the equity method and unconsolidated subsidiaries have been omitted because they do not meet the materiality tests for assets or income.</w:t>
      </w:r>
    </w:p>
    <w:p>
      <w:pPr>
        <w:spacing w:after="0" w:line="191" w:lineRule="exact"/>
        <w:rPr>
          <w:sz w:val="20"/>
          <w:szCs w:val="20"/>
          <w:color w:val="auto"/>
        </w:rPr>
      </w:pPr>
    </w:p>
    <w:p>
      <w:pPr>
        <w:ind w:left="1260" w:hanging="336"/>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not required</w:t>
      </w:r>
    </w:p>
    <w:p>
      <w:pPr>
        <w:spacing w:after="0" w:line="25" w:lineRule="exact"/>
        <w:rPr>
          <w:rFonts w:ascii="Times New Roman" w:cs="Times New Roman" w:eastAsia="Times New Roman" w:hAnsi="Times New Roman"/>
          <w:sz w:val="18"/>
          <w:szCs w:val="18"/>
          <w:color w:val="auto"/>
        </w:rPr>
      </w:pPr>
    </w:p>
    <w:p>
      <w:pPr>
        <w:ind w:left="1260" w:right="2080" w:hanging="336"/>
        <w:spacing w:after="0" w:line="253"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9"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January 29, 2015</w:t>
            </w: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CHLUMBERGER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3"/>
                <w:szCs w:val="13"/>
                <w:color w:val="auto"/>
              </w:rPr>
              <w:t>IMITED</w:t>
            </w:r>
          </w:p>
        </w:tc>
      </w:tr>
      <w:tr>
        <w:trPr>
          <w:trHeight w:val="425"/>
        </w:trPr>
        <w:tc>
          <w:tcPr>
            <w:tcW w:w="600" w:type="dxa"/>
            <w:vAlign w:val="bottom"/>
          </w:tcPr>
          <w:p>
            <w:pPr>
              <w:spacing w:after="0"/>
              <w:rPr>
                <w:sz w:val="24"/>
                <w:szCs w:val="24"/>
                <w:color w:val="auto"/>
              </w:rPr>
            </w:pPr>
          </w:p>
        </w:tc>
        <w:tc>
          <w:tcPr>
            <w:tcW w:w="592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46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UILD</w:t>
            </w:r>
          </w:p>
        </w:tc>
      </w:tr>
      <w:tr>
        <w:trPr>
          <w:trHeight w:val="188"/>
        </w:trPr>
        <w:tc>
          <w:tcPr>
            <w:tcW w:w="60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Howard Guild</w:t>
            </w:r>
          </w:p>
        </w:tc>
      </w:tr>
      <w:tr>
        <w:trPr>
          <w:trHeight w:val="232"/>
        </w:trPr>
        <w:tc>
          <w:tcPr>
            <w:tcW w:w="6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6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44"/>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Paal Kibsgaard</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53"/>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3"/>
                <w:szCs w:val="13"/>
                <w:color w:val="auto"/>
                <w:w w:val="99"/>
              </w:rPr>
              <w:t>S</w:t>
            </w:r>
            <w:r>
              <w:rPr>
                <w:rFonts w:ascii="Times New Roman" w:cs="Times New Roman" w:eastAsia="Times New Roman" w:hAnsi="Times New Roman"/>
                <w:sz w:val="18"/>
                <w:szCs w:val="18"/>
                <w:color w:val="auto"/>
                <w:w w:val="99"/>
              </w:rPr>
              <w:t>/ S</w:t>
            </w:r>
            <w:r>
              <w:rPr>
                <w:rFonts w:ascii="Times New Roman" w:cs="Times New Roman" w:eastAsia="Times New Roman" w:hAnsi="Times New Roman"/>
                <w:sz w:val="13"/>
                <w:szCs w:val="13"/>
                <w:color w:val="auto"/>
                <w:w w:val="99"/>
              </w:rPr>
              <w:t>IMON</w:t>
            </w:r>
            <w:r>
              <w:rPr>
                <w:rFonts w:ascii="Times New Roman" w:cs="Times New Roman" w:eastAsia="Times New Roman" w:hAnsi="Times New Roman"/>
                <w:sz w:val="18"/>
                <w:szCs w:val="18"/>
                <w:color w:val="auto"/>
                <w:w w:val="99"/>
              </w:rPr>
              <w:t xml:space="preserve"> A</w:t>
            </w:r>
            <w:r>
              <w:rPr>
                <w:rFonts w:ascii="Times New Roman" w:cs="Times New Roman" w:eastAsia="Times New Roman" w:hAnsi="Times New Roman"/>
                <w:sz w:val="13"/>
                <w:szCs w:val="13"/>
                <w:color w:val="auto"/>
                <w:w w:val="99"/>
              </w:rPr>
              <w:t>YAT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Simon Ayat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53"/>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3"/>
                <w:szCs w:val="13"/>
                <w:color w:val="auto"/>
                <w:w w:val="99"/>
              </w:rPr>
              <w:t>S</w:t>
            </w:r>
            <w:r>
              <w:rPr>
                <w:rFonts w:ascii="Times New Roman" w:cs="Times New Roman" w:eastAsia="Times New Roman" w:hAnsi="Times New Roman"/>
                <w:sz w:val="18"/>
                <w:szCs w:val="18"/>
                <w:color w:val="auto"/>
                <w:w w:val="99"/>
              </w:rPr>
              <w:t>/ H</w:t>
            </w:r>
            <w:r>
              <w:rPr>
                <w:rFonts w:ascii="Times New Roman" w:cs="Times New Roman" w:eastAsia="Times New Roman" w:hAnsi="Times New Roman"/>
                <w:sz w:val="13"/>
                <w:szCs w:val="13"/>
                <w:color w:val="auto"/>
                <w:w w:val="99"/>
              </w:rPr>
              <w:t>OWARD</w:t>
            </w:r>
            <w:r>
              <w:rPr>
                <w:rFonts w:ascii="Times New Roman" w:cs="Times New Roman" w:eastAsia="Times New Roman" w:hAnsi="Times New Roman"/>
                <w:sz w:val="18"/>
                <w:szCs w:val="18"/>
                <w:color w:val="auto"/>
                <w:w w:val="99"/>
              </w:rPr>
              <w:t xml:space="preserve"> G</w:t>
            </w:r>
            <w:r>
              <w:rPr>
                <w:rFonts w:ascii="Times New Roman" w:cs="Times New Roman" w:eastAsia="Times New Roman" w:hAnsi="Times New Roman"/>
                <w:sz w:val="13"/>
                <w:szCs w:val="13"/>
                <w:color w:val="auto"/>
                <w:w w:val="99"/>
              </w:rPr>
              <w:t>UILD</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Howard Guild</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53"/>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 L.S. Currie</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Chairman</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Tony Isaac</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K.V. Kamath</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Maureen Kempston Darkes</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Nikolay Kudryavtsev</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E. Marks</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Lubna S. Olayan</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Leo Rafael Reif</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Tore Sandvold</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Henri Seydoux</w:t>
            </w:r>
          </w:p>
        </w:tc>
        <w:tc>
          <w:tcPr>
            <w:tcW w:w="4260" w:type="dxa"/>
            <w:vAlign w:val="bottom"/>
          </w:tcPr>
          <w:p>
            <w:pPr>
              <w:spacing w:after="0"/>
              <w:rPr>
                <w:sz w:val="19"/>
                <w:szCs w:val="19"/>
                <w:color w:val="auto"/>
              </w:rPr>
            </w:pPr>
          </w:p>
        </w:tc>
      </w:tr>
      <w:tr>
        <w:trPr>
          <w:trHeight w:val="340"/>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3"/>
                <w:szCs w:val="13"/>
                <w:color w:val="auto"/>
              </w:rPr>
              <w:t>LEXANDER</w:t>
            </w:r>
            <w:r>
              <w:rPr>
                <w:rFonts w:ascii="Times New Roman" w:cs="Times New Roman" w:eastAsia="Times New Roman" w:hAnsi="Times New Roman"/>
                <w:sz w:val="18"/>
                <w:szCs w:val="18"/>
                <w:color w:val="auto"/>
              </w:rPr>
              <w:t xml:space="preserve"> C. J</w:t>
            </w:r>
            <w:r>
              <w:rPr>
                <w:rFonts w:ascii="Times New Roman" w:cs="Times New Roman" w:eastAsia="Times New Roman" w:hAnsi="Times New Roman"/>
                <w:sz w:val="13"/>
                <w:szCs w:val="13"/>
                <w:color w:val="auto"/>
              </w:rPr>
              <w:t>UDEN</w:t>
            </w: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January 29, 2015</w:t>
            </w:r>
          </w:p>
        </w:tc>
      </w:tr>
      <w:tr>
        <w:trPr>
          <w:trHeight w:val="225"/>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*By Alexander C. Juden Attorney-in-Fact</w:t>
            </w:r>
          </w:p>
        </w:tc>
        <w:tc>
          <w:tcPr>
            <w:tcW w:w="42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9"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440" w:type="dxa"/>
            <w:vAlign w:val="bottom"/>
          </w:tcPr>
          <w:p>
            <w:pPr>
              <w:spacing w:after="0"/>
              <w:rPr>
                <w:sz w:val="13"/>
                <w:szCs w:val="13"/>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of Schlumberger Limited (Schlumberger N.V.), as last amended on April 6, 2011 (incorporated by reference to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Exhibit 3 to Schlumberger’s Current Report on Form 8-K filed on April 7, 2011)</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Schlumberger Limited (Schlumberger N.V.), as last amended on July 19, 2012 (incorporated by reference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to Exhibit 3.1 to Schlumberger’s Current Report on Form 8-K filed on July 20, 2012)</w:t>
            </w:r>
          </w:p>
        </w:tc>
        <w:tc>
          <w:tcPr>
            <w:tcW w:w="940" w:type="dxa"/>
            <w:vAlign w:val="bottom"/>
          </w:tcPr>
          <w:p>
            <w:pPr>
              <w:spacing w:after="0"/>
              <w:rPr>
                <w:sz w:val="20"/>
                <w:szCs w:val="20"/>
                <w:color w:val="auto"/>
              </w:rPr>
            </w:pPr>
          </w:p>
        </w:tc>
      </w:tr>
      <w:tr>
        <w:trPr>
          <w:trHeight w:val="3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Indenture dated as of December 3, 2013, by and among Schlumberger Investment SA, as issuer, Schlumberger Limited, as guarantor, and The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Bank of New York Mellon Trust Company, N.A., as trustee (incorporated by reference to Exhibit 4.1 to Schlumberger’s Current Report on</w:t>
            </w:r>
          </w:p>
        </w:tc>
        <w:tc>
          <w:tcPr>
            <w:tcW w:w="940" w:type="dxa"/>
            <w:vAlign w:val="bottom"/>
          </w:tcPr>
          <w:p>
            <w:pPr>
              <w:spacing w:after="0"/>
              <w:rPr>
                <w:sz w:val="18"/>
                <w:szCs w:val="18"/>
                <w:color w:val="auto"/>
              </w:rPr>
            </w:pP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December 3, 2013)</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First Supplemental Indenture dated as of December 3, 2013, by and among Schlumberger Investment SA, as issuer, Schlumberger Limited, as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guarantor, and The Bank of New York Mellon Trust Company, N.A., as trustee (including form of global notes representing 3.650% Senior</w:t>
            </w:r>
          </w:p>
        </w:tc>
        <w:tc>
          <w:tcPr>
            <w:tcW w:w="940" w:type="dxa"/>
            <w:vAlign w:val="bottom"/>
          </w:tcPr>
          <w:p>
            <w:pPr>
              <w:spacing w:after="0"/>
              <w:rPr>
                <w:sz w:val="18"/>
                <w:szCs w:val="18"/>
                <w:color w:val="auto"/>
              </w:rPr>
            </w:pP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Notes due 2023) (incorporated by reference to Exhibit 4.2 to Schlumberger’s Current Report on Form 8-K filed on December 3, 2013)</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Limited Supplementary Benefit Plan, as conformed to include amendments through January 1, 2009 (incorporated by reference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10.2 to Schlumberger’s Annual Report on Form 10-K for the year ended December 31, 2008)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Limited Restoration Savings Plan, as conformed to include amendments through January 1, 2009 (incorporated by reference to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Exhibit 10.3 to Schlumberger’s Annual Report on Form 10-K for the year ended December 31, 2008)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Schlumberger Limited Restoration Savings Plan (incorporated by reference to Exhibit 10.3 to Schlumberger’s Quarterly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for the quarter ended March 31,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1998 Stock Option Plan, as conformed to include amendments through January 1, 2009 (incorporated by reference to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10.4 to Schlumberger’s Annual Report on Form 10-K for the year ended December 31, 2008)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Schlumberger 1998 Stock Option Plan (incorporated by reference to Exhibit 10.4 to Schlumberger’s Quarterly Report 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2001 Stock Option Plan, as conformed to include amendments through January 1, 2009 (incorporated by reference to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10.5 to Schlumberger’s Annual Report on Form 10-K for the year ended December 31, 2008)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Schlumberger 2001 Stock Option Plan (incorporated by reference to Exhibit 10.5 to Schlumberger’s Quarterly Report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on 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Limited 2004 Stock and Deferral Plan for Non-Employee Directors, amended and restated effective January 19, 2012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 to Schlumberger’s Current Report on Form 8-K filed on April 11, 2012.)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2005 Stock Incentive Plan, as conformed to include amendments through January 1, 2009 (incorporated by reference to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10.6 to Schlumberger’s Annual Report on Form 10-K for the year ended December 31, 2008)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Schlumberger 2005 Stock Incentive Plan (incorporated by reference to Exhibit 10.6 to Schlumberger’s Quarterly Report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on 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2008 Stock Incentive Plan, as conformed to include amendments through January 1, 2009 (incorporated by reference to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10.8 to Schlumberger’s Annual Report on Form 10-K for the year ended December 31, 2008)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Schlumberger 2008 Stock Incentive Plan (incorporated by reference to Exhibit 10.7 to Schlumberger’s Quarterly Report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on Form 10-Q for the quarter ended June 30, 2013) (+)</w:t>
            </w:r>
          </w:p>
        </w:tc>
        <w:tc>
          <w:tcPr>
            <w:tcW w:w="940" w:type="dxa"/>
            <w:vAlign w:val="bottom"/>
          </w:tcPr>
          <w:p>
            <w:pPr>
              <w:spacing w:after="0"/>
              <w:rPr>
                <w:sz w:val="20"/>
                <w:szCs w:val="20"/>
                <w:color w:val="auto"/>
              </w:rPr>
            </w:pPr>
          </w:p>
        </w:tc>
      </w:tr>
      <w:tr>
        <w:trPr>
          <w:trHeight w:val="639"/>
        </w:trPr>
        <w:tc>
          <w:tcPr>
            <w:tcW w:w="1044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68</w:t>
            </w:r>
          </w:p>
        </w:tc>
        <w:tc>
          <w:tcPr>
            <w:tcW w:w="940" w:type="dxa"/>
            <w:vAlign w:val="bottom"/>
          </w:tcPr>
          <w:p>
            <w:pPr>
              <w:spacing w:after="0"/>
              <w:rPr>
                <w:sz w:val="24"/>
                <w:szCs w:val="24"/>
                <w:color w:val="auto"/>
              </w:rPr>
            </w:pPr>
          </w:p>
        </w:tc>
      </w:tr>
    </w:tbl>
    <w:p>
      <w:pPr>
        <w:sectPr>
          <w:pgSz w:w="11900" w:h="16838" w:orient="portrait"/>
          <w:cols w:equalWidth="0" w:num="1">
            <w:col w:w="11400"/>
          </w:cols>
          <w:pgMar w:left="240" w:top="119" w:right="25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40" w:type="dxa"/>
            <w:vAlign w:val="bottom"/>
          </w:tcPr>
          <w:p>
            <w:pPr>
              <w:spacing w:after="0"/>
              <w:rPr>
                <w:sz w:val="13"/>
                <w:szCs w:val="13"/>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2010 Omnibus Stock Incentive Plan (incorporated by reference to Exhibit 10.1 to Schlumberger’s Current Report on Form 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filed on April 9, 2010)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Schlumberger 2010 Omnibus Stock Incentive Plan (incorporated by reference to Exhibit 10.8 to Schlumberger’s Quarterly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2013 Two Year Performance Share Unit Award Agreement under Schlumberger 2010 Omnibus Stock Incentive Plan (incorporated by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10.5 to Schlumberger’s Quarterly Report on Form 10-Q for the quarter ended March 31,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2013 Three Year Performance Share Unit Award Agreement under Schlumberger 2010 Omnibus Stock Incentive Plan (incorporated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10.6 to Schlumberger’s Quarterly Report on Form 10-Q for the quarter ended March 31,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2014 Three Year Performance Share Unit Award Agreement under Schlumberger 2013 Omnibus Stock Incentive Plan (incorporated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10.1 to Schlumberger’s Quarterly Report on Form 10-Q for the quarter ended March 31, 2014)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French Sub-Plan of Schlumberger 2010 Omnibus Stock Incentive Plan for Employees in France (incorporated by reference to Exhibit 10.7 to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Schlumberger’s Quarterly Report on Form 10-Q for the quarter ended March 31,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(Employees in France), Incentive Stock Option, under Schlumberger 2010 Omnibus Stock Incentive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10.10 to Schlumberger’s Quarterly Report on 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(Employees in France), Non-Qualified Stock Option, under Schlumberger 2010 Omnibus Stock Incentive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10.11 to Schlumberger’s Quarterly Report on 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Award Agreement (Employees in France) under Schlumberger 2010 Omnibus Stock Incentive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10.12 to Schlumberger’s Quarterly Report on 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2013 One Year Performance Share Unit Award Agreement (Employees in France) under Schlumberger 2010 Omnibus Stock Incentive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Plan (incorporated by reference to Exhibit 10.1 to Schlumberger’s Quarterly Report on Form 10-Q for the quarter ended September 30, 2013)</w:t>
            </w:r>
          </w:p>
        </w:tc>
        <w:tc>
          <w:tcPr>
            <w:tcW w:w="940" w:type="dxa"/>
            <w:vAlign w:val="bottom"/>
          </w:tcPr>
          <w:p>
            <w:pPr>
              <w:spacing w:after="0"/>
              <w:rPr>
                <w:sz w:val="18"/>
                <w:szCs w:val="18"/>
                <w:color w:val="auto"/>
              </w:rPr>
            </w:pP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2013 Omnibus Stock Incentive Plan (incorporated by reference to Appendix A to Schlumberger’s Definitive Proxy Statement 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Schedule 14A filed on March 1,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Schlumberger 2013 Omnibus Stock Incentive Plan (incorporated by reference to Exhibit 10.9 to Schlumberger’s Quarterly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Incentive Stock Option, under Schlumberger 2013 Omnibus Stock Incentive Plan (incorporated by reference to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Exhibit 10.1 to the Schlumberger’s Quarterly Report on Form 10-Q for the quarter ended in June 30, 2014)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Non-Qualified Stock Option, under Schlumberger 2013 Omnibus Stock Incentive Plan (incorporated by reference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10.2 to Schlumberger’s Quarterly Report on Form 10-Q for the quarter ended June 30, 2014)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Award Agreement under Schlumberger 2013 Omnibus Stock Incentive Plan (incorporated by reference to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Exhibit 10.3 to Schlumberger’s Quarterly Report on Form 10-Q for the quarter ended June 30, 2014)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Discounted Stock Purchase Plan, as amended and restated effective as of January 1, 2013 (incorporated by reference to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Appendix B to Schlumberger’s Definitive Proxy Statement on Schedule 14A filed on March 1, 2013) (+)</w:t>
            </w:r>
          </w:p>
        </w:tc>
        <w:tc>
          <w:tcPr>
            <w:tcW w:w="940" w:type="dxa"/>
            <w:vAlign w:val="bottom"/>
          </w:tcPr>
          <w:p>
            <w:pPr>
              <w:spacing w:after="0"/>
              <w:rPr>
                <w:sz w:val="20"/>
                <w:szCs w:val="20"/>
                <w:color w:val="auto"/>
              </w:rPr>
            </w:pPr>
          </w:p>
        </w:tc>
      </w:tr>
      <w:tr>
        <w:trPr>
          <w:trHeight w:val="426"/>
        </w:trPr>
        <w:tc>
          <w:tcPr>
            <w:tcW w:w="1044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69</w:t>
            </w:r>
          </w:p>
        </w:tc>
        <w:tc>
          <w:tcPr>
            <w:tcW w:w="940" w:type="dxa"/>
            <w:vAlign w:val="bottom"/>
          </w:tcPr>
          <w:p>
            <w:pPr>
              <w:spacing w:after="0"/>
              <w:rPr>
                <w:sz w:val="24"/>
                <w:szCs w:val="24"/>
                <w:color w:val="auto"/>
              </w:rPr>
            </w:pPr>
          </w:p>
        </w:tc>
      </w:tr>
    </w:tbl>
    <w:p>
      <w:pPr>
        <w:sectPr>
          <w:pgSz w:w="11900" w:h="16838" w:orient="portrait"/>
          <w:cols w:equalWidth="0" w:num="1">
            <w:col w:w="11380"/>
          </w:cols>
          <w:pgMar w:left="260" w:top="107" w:right="25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40" w:type="dxa"/>
            <w:vAlign w:val="bottom"/>
          </w:tcPr>
          <w:p>
            <w:pPr>
              <w:spacing w:after="0"/>
              <w:rPr>
                <w:sz w:val="16"/>
                <w:szCs w:val="16"/>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39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Capped Incentive Stock Option (incorporated by reference to Exhibit 10.1 to Schlumberger’s Current Report 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January 19, 2006)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Capped Non-Qualified Stock Option (incorporated by reference to Exhibit 10.2 to Schlumberger’s Current Report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January 19, 2006)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Uncapped Incentive Stock Option (for 2001, 2005 and 2008 stock plans) (incorporated by reference to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10.11 to Schlumberger’s Annual Report on Form 10-K for the year ended December 31, 2009)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Uncapped Non-Qualified Stock Option (for 2001, 2005 and 2008 stock plans) (incorporated by reference to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Exhibit 10.12 to Schlumberger’s Annual Report on Form 10-K for the year ended December 31, 2009)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Smith International, Inc. 2010 Restricted Stock Unit Agreement (incorporated by reference to Exhibit 10.3 to Schlumberger’s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2010)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June 11, 2013 and effective as of July 1, 2013, between Schlumberger Limited and Satish Pai (incorporated by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to Schlumberger’s Quarterly Report on 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February 19, 2013 and effective as of March 1, 2013, between Schlumberger Limited and Kjell-Erik Oestdahl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10.2 to Schlumberger’s Quarterly Report on Form 10-Q for the quarter ended June 30, 2013)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(incorporated by reference to Exhibit 10 to Schlumberger’s Current Report on Form 8-K filed on October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21, 2013)</w:t>
            </w:r>
          </w:p>
        </w:tc>
        <w:tc>
          <w:tcPr>
            <w:tcW w:w="940" w:type="dxa"/>
            <w:vAlign w:val="bottom"/>
          </w:tcPr>
          <w:p>
            <w:pPr>
              <w:spacing w:after="0"/>
              <w:rPr>
                <w:sz w:val="20"/>
                <w:szCs w:val="20"/>
                <w:color w:val="auto"/>
              </w:rPr>
            </w:pPr>
          </w:p>
        </w:tc>
      </w:tr>
      <w:tr>
        <w:trPr>
          <w:trHeight w:val="42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2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2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Powers of Attorney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2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as Adopted Pursuant to Section 302 of the Sarbanes-Oxley Act of 2002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42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as Adopted Pursuant to Section 302 of the Sarbanes-Oxley Act of 2002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2002 (*)</w:t>
            </w:r>
          </w:p>
        </w:tc>
        <w:tc>
          <w:tcPr>
            <w:tcW w:w="940" w:type="dxa"/>
            <w:vAlign w:val="bottom"/>
          </w:tcPr>
          <w:p>
            <w:pPr>
              <w:spacing w:after="0"/>
              <w:rPr>
                <w:sz w:val="20"/>
                <w:szCs w:val="20"/>
                <w:color w:val="auto"/>
              </w:rPr>
            </w:pPr>
          </w:p>
        </w:tc>
      </w:tr>
      <w:tr>
        <w:trPr>
          <w:trHeight w:val="407"/>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2002 (*)</w:t>
            </w:r>
          </w:p>
        </w:tc>
        <w:tc>
          <w:tcPr>
            <w:tcW w:w="940" w:type="dxa"/>
            <w:vAlign w:val="bottom"/>
          </w:tcPr>
          <w:p>
            <w:pPr>
              <w:spacing w:after="0"/>
              <w:rPr>
                <w:sz w:val="20"/>
                <w:szCs w:val="20"/>
                <w:color w:val="auto"/>
              </w:rPr>
            </w:pPr>
          </w:p>
        </w:tc>
      </w:tr>
      <w:tr>
        <w:trPr>
          <w:trHeight w:val="42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Mine Safety Disclosure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2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materials from Schlumberger Limited’s Annual Report on Form 10-K for the year ended December 31, 2014, formatted in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jc w:val="both"/>
        <w:ind w:right="1180"/>
        <w:spacing w:after="0" w:line="250" w:lineRule="auto"/>
        <w:rPr>
          <w:sz w:val="20"/>
          <w:szCs w:val="20"/>
          <w:color w:val="auto"/>
        </w:rPr>
      </w:pPr>
      <w:r>
        <w:rPr>
          <w:rFonts w:ascii="Times New Roman" w:cs="Times New Roman" w:eastAsia="Times New Roman" w:hAnsi="Times New Roman"/>
          <w:sz w:val="18"/>
          <w:szCs w:val="18"/>
          <w:color w:val="auto"/>
        </w:rPr>
        <w:t>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 (*)</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Exhibits electronically filed with this Form 10-K. All other exhibits incorporated by reference.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80"/>
          </w:cols>
          <w:pgMar w:left="260" w:top="116" w:right="259" w:bottom="1440" w:gutter="0" w:footer="0" w:header="0"/>
        </w:sectPr>
      </w:pPr>
    </w:p>
    <w:bookmarkStart w:id="70" w:name="page71"/>
    <w:bookmarkEnd w:id="70"/>
    <w:p>
      <w:pPr>
        <w:ind w:left="10640"/>
        <w:spacing w:after="0"/>
        <w:rPr>
          <w:sz w:val="20"/>
          <w:szCs w:val="20"/>
          <w:color w:val="auto"/>
        </w:rPr>
      </w:pPr>
      <w:r>
        <w:rPr>
          <w:rFonts w:ascii="Times New Roman" w:cs="Times New Roman" w:eastAsia="Times New Roman" w:hAnsi="Times New Roman"/>
          <w:sz w:val="17"/>
          <w:szCs w:val="17"/>
          <w:b w:val="1"/>
          <w:bCs w:val="1"/>
          <w:u w:val="single" w:color="auto"/>
          <w:color w:val="auto"/>
        </w:rPr>
        <w:t>Exhibit 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Subsidiaries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Listed below are the significant subsidiaries of the Registrant as of December 31, 2014,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Antilles N.V., Curacao</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B.V., Netherlands</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Canada Limited, Canada</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SA, France</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Services Petroliers Schlumberger, France</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Norge AS, Norway</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Holdings Corporation, Delaware</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Technology Corporation, Texas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Smith International Inc, Delaware</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UK Limited, UK</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M-I Holdings (UK) Limited, UK</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Plc, UK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Schlumberger Oilfield UK Plc, UK</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 Holdings BV, Netherlands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Oilfield Holdings Limited, BVI</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Holdings Limited, BVI</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Dowell Schlumberger Corporation, BVI</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Logelco, Inc., Panama</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Middle East SA., Panama</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Offshore Services Limited, BVI</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Overseas, SA, Panama</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Seaco, Inc., Panama</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Surenco, SA, Panama</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WesternGeco Seismic Holdings Limited, BVI</w:t>
      </w:r>
    </w:p>
    <w:p>
      <w:pPr>
        <w:sectPr>
          <w:pgSz w:w="11900" w:h="16838" w:orient="portrait"/>
          <w:cols w:equalWidth="0" w:num="1">
            <w:col w:w="11420"/>
          </w:cols>
          <w:pgMar w:left="240" w:top="119"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333-104225; 333-115277; 333-124534; 333-151920;</w:t>
      </w:r>
    </w:p>
    <w:p>
      <w:pPr>
        <w:spacing w:after="0" w:line="25"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333-173055, as amended by post-effective amendment on Form S-8; 333-188589; and 333-188590); on Form S-3 (Nos. 333-195342 and 333-190822); and on Form S-4 (Nos. 333-97899 and 333-166326, as amended by post-effective amendment on Form S-8) of Schlumberger Limited of our report dated January 29, 2015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807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78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2015</w:t>
      </w:r>
    </w:p>
    <w:p>
      <w:pPr>
        <w:sectPr>
          <w:pgSz w:w="11900" w:h="16838" w:orient="portrait"/>
          <w:cols w:equalWidth="0" w:num="1">
            <w:col w:w="11420"/>
          </w:cols>
          <w:pgMar w:left="240" w:top="119"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of the undersigned, in the capacity or capacities set forth below his or her signature as a member of the Board of Directors and/or an officer of Schlumberger Limited, a Curaçao corporation, hereby appoints Simon Ayat,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2014,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64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Peter L.S. Currie</w:t>
      </w:r>
    </w:p>
    <w:p>
      <w:pPr>
        <w:spacing w:after="0" w:line="1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Director</w:t>
      </w:r>
    </w:p>
    <w:p>
      <w:pPr>
        <w:spacing w:after="0" w:line="1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64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5"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Tony Isaac</w:t>
      </w:r>
    </w:p>
    <w:p>
      <w:pPr>
        <w:spacing w:after="0" w:line="19"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/s/  K. Vaman Kamath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64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K.Vaman Kamath</w:t>
      </w:r>
    </w:p>
    <w:p>
      <w:pPr>
        <w:spacing w:after="0" w:line="1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Director</w:t>
      </w:r>
    </w:p>
    <w:p>
      <w:pPr>
        <w:spacing w:after="0" w:line="1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Maureen Kempston Darkes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64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5"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Maureen Kempston Darkes</w:t>
      </w:r>
    </w:p>
    <w:p>
      <w:pPr>
        <w:spacing w:after="0" w:line="19"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Director</w:t>
      </w:r>
    </w:p>
    <w:p>
      <w:pPr>
        <w:spacing w:after="0" w:line="1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64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Paal Kibsgaard</w:t>
      </w:r>
    </w:p>
    <w:p>
      <w:pPr>
        <w:spacing w:after="0" w:line="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Director and Chief Executive Officer</w:t>
      </w:r>
    </w:p>
    <w:p>
      <w:pPr>
        <w:spacing w:after="0" w:line="14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64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5"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Nikolay Kudryavtsev</w:t>
      </w:r>
    </w:p>
    <w:p>
      <w:pPr>
        <w:spacing w:after="0" w:line="19"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15240</wp:posOffset>
            </wp:positionV>
            <wp:extent cx="3556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Michael E. Marks</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Director</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15240</wp:posOffset>
            </wp:positionV>
            <wp:extent cx="3556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5"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Lubna S. Olayan</w:t>
      </w:r>
    </w:p>
    <w:p>
      <w:pPr>
        <w:spacing w:after="0" w:line="19"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Director</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15240</wp:posOffset>
            </wp:positionV>
            <wp:extent cx="3556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Leo Rafael Reif</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Director</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15240</wp:posOffset>
            </wp:positionV>
            <wp:extent cx="3556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5"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Tore Sandvold</w:t>
      </w:r>
    </w:p>
    <w:p>
      <w:pPr>
        <w:spacing w:after="0" w:line="19"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Director</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15240</wp:posOffset>
            </wp:positionV>
            <wp:extent cx="3556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Henri Seydoux</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Director</w:t>
      </w:r>
    </w:p>
    <w:p>
      <w:pPr>
        <w:spacing w:after="0" w:line="998" w:lineRule="exact"/>
        <w:rPr>
          <w:sz w:val="20"/>
          <w:szCs w:val="20"/>
          <w:color w:val="auto"/>
        </w:rPr>
      </w:pPr>
    </w:p>
    <w:p>
      <w:pPr>
        <w:sectPr>
          <w:pgSz w:w="11900" w:h="16838" w:orient="portrait"/>
          <w:cols w:equalWidth="0" w:num="2">
            <w:col w:w="7120" w:space="720"/>
            <w:col w:w="3580"/>
          </w:cols>
          <w:pgMar w:left="240" w:top="119" w:right="239"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January 29, 2015</w:t>
      </w:r>
    </w:p>
    <w:p>
      <w:pPr>
        <w:sectPr>
          <w:pgSz w:w="11900" w:h="16838" w:orient="portrait"/>
          <w:cols w:equalWidth="0" w:num="1">
            <w:col w:w="11420"/>
          </w:cols>
          <w:pgMar w:left="240" w:top="119" w:right="239" w:bottom="1440" w:gutter="0" w:footer="0" w:header="0"/>
          <w:type w:val="continuous"/>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Schlumberger Limited;</w:t>
      </w:r>
    </w:p>
    <w:p>
      <w:pPr>
        <w:spacing w:after="0" w:line="112"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1" w:lineRule="auto"/>
        <w:tabs>
          <w:tab w:leader="none" w:pos="5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100" w:hanging="485"/>
        <w:spacing w:after="0" w:line="261" w:lineRule="auto"/>
        <w:tabs>
          <w:tab w:leader="none" w:pos="11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100" w:hanging="485"/>
        <w:spacing w:after="0" w:line="261" w:lineRule="auto"/>
        <w:tabs>
          <w:tab w:leader="none" w:pos="11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100" w:hanging="485"/>
        <w:spacing w:after="0" w:line="275" w:lineRule="auto"/>
        <w:tabs>
          <w:tab w:leader="none" w:pos="11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85"/>
        <w:spacing w:after="0" w:line="261" w:lineRule="auto"/>
        <w:tabs>
          <w:tab w:leader="none" w:pos="11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85"/>
        <w:spacing w:after="0" w:line="275" w:lineRule="auto"/>
        <w:tabs>
          <w:tab w:leader="none" w:pos="11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85"/>
        <w:spacing w:after="0" w:line="275" w:lineRule="auto"/>
        <w:tabs>
          <w:tab w:leader="none" w:pos="11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6860" w:type="dxa"/>
            <w:vAlign w:val="bottom"/>
          </w:tcPr>
          <w:p>
            <w:pPr>
              <w:spacing w:after="0"/>
              <w:rPr>
                <w:sz w:val="16"/>
                <w:szCs w:val="16"/>
                <w:color w:val="auto"/>
              </w:rPr>
            </w:pPr>
          </w:p>
        </w:tc>
        <w:tc>
          <w:tcPr>
            <w:tcW w:w="456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686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19"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Schlumberger Limited;</w:t>
      </w:r>
    </w:p>
    <w:p>
      <w:pPr>
        <w:spacing w:after="0" w:line="112"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1" w:lineRule="auto"/>
        <w:tabs>
          <w:tab w:leader="none" w:pos="5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100" w:hanging="485"/>
        <w:spacing w:after="0" w:line="261" w:lineRule="auto"/>
        <w:tabs>
          <w:tab w:leader="none" w:pos="11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100" w:hanging="485"/>
        <w:spacing w:after="0" w:line="261" w:lineRule="auto"/>
        <w:tabs>
          <w:tab w:leader="none" w:pos="11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100" w:hanging="485"/>
        <w:spacing w:after="0" w:line="275" w:lineRule="auto"/>
        <w:tabs>
          <w:tab w:leader="none" w:pos="11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85"/>
        <w:spacing w:after="0" w:line="261" w:lineRule="auto"/>
        <w:tabs>
          <w:tab w:leader="none" w:pos="11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85"/>
        <w:spacing w:after="0" w:line="275" w:lineRule="auto"/>
        <w:tabs>
          <w:tab w:leader="none" w:pos="11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85"/>
        <w:spacing w:after="0" w:line="275" w:lineRule="auto"/>
        <w:tabs>
          <w:tab w:leader="none" w:pos="11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2015</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88"/>
        </w:trPr>
        <w:tc>
          <w:tcPr>
            <w:tcW w:w="7280" w:type="dxa"/>
            <w:vAlign w:val="bottom"/>
          </w:tcPr>
          <w:p>
            <w:pPr>
              <w:spacing w:after="0"/>
              <w:rPr>
                <w:sz w:val="16"/>
                <w:szCs w:val="16"/>
                <w:color w:val="auto"/>
              </w:rPr>
            </w:pPr>
          </w:p>
        </w:tc>
        <w:tc>
          <w:tcPr>
            <w:tcW w:w="41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Simon Ayat</w:t>
            </w:r>
          </w:p>
        </w:tc>
      </w:tr>
      <w:tr>
        <w:trPr>
          <w:trHeight w:val="232"/>
        </w:trPr>
        <w:tc>
          <w:tcPr>
            <w:tcW w:w="72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420"/>
          </w:cols>
          <w:pgMar w:left="240" w:top="119"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Schlumberger N.V. (Schlumberger Limited) (the “Company”) for the year ended December 31, 2014 as filed with the Securities and Exchange Commission on the date hereof (the “Report”), I, Paal Kibsgaard, Chief Executive Officer of the Company, certify, pursuant to 18 U.S.C. § 1350, as adopted pursuant to § 906 of the Sarbanes-Oxley Act of 2002, that:</w:t>
      </w:r>
    </w:p>
    <w:p>
      <w:pPr>
        <w:spacing w:after="0" w:line="70" w:lineRule="exact"/>
        <w:rPr>
          <w:sz w:val="20"/>
          <w:szCs w:val="20"/>
          <w:color w:val="auto"/>
        </w:rPr>
      </w:pPr>
    </w:p>
    <w:p>
      <w:pPr>
        <w:ind w:left="1020" w:hanging="497"/>
        <w:spacing w:after="0" w:line="275"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497"/>
        <w:spacing w:after="0"/>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2015</w:t>
            </w: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5320" w:type="dxa"/>
            <w:vAlign w:val="bottom"/>
          </w:tcPr>
          <w:p>
            <w:pPr>
              <w:spacing w:after="0"/>
              <w:rPr>
                <w:sz w:val="16"/>
                <w:szCs w:val="16"/>
                <w:color w:val="auto"/>
              </w:rPr>
            </w:pPr>
          </w:p>
        </w:tc>
        <w:tc>
          <w:tcPr>
            <w:tcW w:w="30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5320" w:type="dxa"/>
            <w:vAlign w:val="bottom"/>
          </w:tcPr>
          <w:p>
            <w:pPr>
              <w:spacing w:after="0"/>
              <w:rPr>
                <w:sz w:val="20"/>
                <w:szCs w:val="20"/>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9"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Schlumberger N.V. (Schlumberger Limited) (the “Company”) for the year ended December 31, 2014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70" w:lineRule="exact"/>
        <w:rPr>
          <w:sz w:val="20"/>
          <w:szCs w:val="20"/>
          <w:color w:val="auto"/>
        </w:rPr>
      </w:pPr>
    </w:p>
    <w:p>
      <w:pPr>
        <w:ind w:left="1020" w:hanging="497"/>
        <w:spacing w:after="0" w:line="275"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497"/>
        <w:spacing w:after="0"/>
        <w:tabs>
          <w:tab w:leader="none" w:pos="10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2015</w:t>
            </w: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88"/>
        </w:trPr>
        <w:tc>
          <w:tcPr>
            <w:tcW w:w="5320" w:type="dxa"/>
            <w:vAlign w:val="bottom"/>
          </w:tcPr>
          <w:p>
            <w:pPr>
              <w:spacing w:after="0"/>
              <w:rPr>
                <w:sz w:val="16"/>
                <w:szCs w:val="16"/>
                <w:color w:val="auto"/>
              </w:rPr>
            </w:pPr>
          </w:p>
        </w:tc>
        <w:tc>
          <w:tcPr>
            <w:tcW w:w="30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Simon Ayat</w:t>
            </w:r>
          </w:p>
        </w:tc>
      </w:tr>
      <w:tr>
        <w:trPr>
          <w:trHeight w:val="213"/>
        </w:trPr>
        <w:tc>
          <w:tcPr>
            <w:tcW w:w="53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2"/>
        </w:trPr>
        <w:tc>
          <w:tcPr>
            <w:tcW w:w="53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9"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21" w:lineRule="exact"/>
        <w:rPr>
          <w:sz w:val="20"/>
          <w:szCs w:val="20"/>
          <w:color w:val="auto"/>
        </w:rPr>
      </w:pPr>
    </w:p>
    <w:p>
      <w:pPr>
        <w:ind w:right="100" w:firstLine="761"/>
        <w:spacing w:after="0" w:line="261"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6" w:lineRule="exact"/>
        <w:rPr>
          <w:sz w:val="20"/>
          <w:szCs w:val="20"/>
          <w:color w:val="auto"/>
        </w:rPr>
      </w:pPr>
    </w:p>
    <w:p>
      <w:pPr>
        <w:ind w:right="60" w:firstLine="761"/>
        <w:spacing w:after="0" w:line="261" w:lineRule="auto"/>
        <w:rPr>
          <w:sz w:val="20"/>
          <w:szCs w:val="20"/>
          <w:color w:val="auto"/>
        </w:rPr>
      </w:pPr>
      <w:r>
        <w:rPr>
          <w:rFonts w:ascii="Times New Roman" w:cs="Times New Roman" w:eastAsia="Times New Roman" w:hAnsi="Times New Roman"/>
          <w:sz w:val="18"/>
          <w:szCs w:val="18"/>
          <w:color w:val="auto"/>
        </w:rPr>
        <w:t>The table that follows reflects citations, orders, violations and proposed assessments issued by the Mine Safety and Health Administration (the “MSHA”) to M-I LLC, an indirect wholly-owned subsidiary of Schlumberger. The disclosure is with respect to the full year ended December 31, 2014. Due to timing and other factors, the data may not agree with the mine data retrieval system maintained by the MSHA at www.MSHA.gov.</w:t>
      </w:r>
    </w:p>
    <w:p>
      <w:pPr>
        <w:spacing w:after="0" w:line="2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2014</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(whole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Mine or Operating</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Section</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Received Notice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Received Notice of</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Legal Actions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Legal Actions</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Name/MSHA</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104(d)</w:t>
            </w:r>
          </w:p>
        </w:tc>
        <w:tc>
          <w:tcPr>
            <w:tcW w:w="600" w:type="dxa"/>
            <w:vAlign w:val="bottom"/>
          </w:tcPr>
          <w:p>
            <w:pPr>
              <w:jc w:val="center"/>
              <w:ind w:left="18"/>
              <w:spacing w:after="0" w:line="133" w:lineRule="exact"/>
              <w:rPr>
                <w:sz w:val="20"/>
                <w:szCs w:val="20"/>
                <w:color w:val="auto"/>
              </w:rPr>
            </w:pPr>
            <w:r>
              <w:rPr>
                <w:rFonts w:ascii="Times New Roman" w:cs="Times New Roman" w:eastAsia="Times New Roman" w:hAnsi="Times New Roman"/>
                <w:sz w:val="12"/>
                <w:szCs w:val="12"/>
                <w:color w:val="auto"/>
                <w:w w:val="99"/>
              </w:rPr>
              <w:t>Section</w:t>
            </w:r>
          </w:p>
        </w:tc>
        <w:tc>
          <w:tcPr>
            <w:tcW w:w="48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6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Proposed</w:t>
            </w: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Mining</w:t>
            </w:r>
          </w:p>
        </w:tc>
        <w:tc>
          <w:tcPr>
            <w:tcW w:w="12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Pattern of Violations</w:t>
            </w:r>
          </w:p>
        </w:tc>
        <w:tc>
          <w:tcPr>
            <w:tcW w:w="14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Potential to Have Pattern</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Pending as of</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Initiated</w:t>
            </w:r>
          </w:p>
        </w:tc>
        <w:tc>
          <w:tcPr>
            <w:tcW w:w="7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Identification</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 S&amp;S</w:t>
            </w:r>
          </w:p>
        </w:tc>
        <w:tc>
          <w:tcPr>
            <w:tcW w:w="162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2"/>
                <w:szCs w:val="12"/>
                <w:color w:val="auto"/>
              </w:rPr>
              <w:t>104(b) Citations and 110(b)(2)</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107(a)</w:t>
            </w:r>
          </w:p>
        </w:tc>
        <w:tc>
          <w:tcPr>
            <w:tcW w:w="6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MSHA</w:t>
            </w: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Related</w:t>
            </w:r>
          </w:p>
        </w:tc>
        <w:tc>
          <w:tcPr>
            <w:tcW w:w="12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Under Section 104(e)</w:t>
            </w:r>
          </w:p>
        </w:tc>
        <w:tc>
          <w:tcPr>
            <w:tcW w:w="14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Under Section 104(e)</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Last Day of</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During</w:t>
            </w:r>
          </w:p>
        </w:tc>
        <w:tc>
          <w:tcPr>
            <w:tcW w:w="7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Resolved</w:t>
            </w:r>
          </w:p>
        </w:tc>
        <w:tc>
          <w:tcPr>
            <w:tcW w:w="0" w:type="dxa"/>
            <w:vAlign w:val="bottom"/>
          </w:tcPr>
          <w:p>
            <w:pPr>
              <w:spacing w:after="0"/>
              <w:rPr>
                <w:sz w:val="1"/>
                <w:szCs w:val="1"/>
                <w:color w:val="auto"/>
              </w:rPr>
            </w:pPr>
          </w:p>
        </w:tc>
      </w:tr>
      <w:tr>
        <w:trPr>
          <w:trHeight w:val="151"/>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Number</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Citations</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Orders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Orders</w:t>
            </w:r>
          </w:p>
        </w:tc>
        <w:tc>
          <w:tcPr>
            <w:tcW w:w="2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2"/>
                <w:szCs w:val="12"/>
                <w:color w:val="auto"/>
              </w:rPr>
              <w:t>Violations Orders Assessments</w:t>
            </w:r>
            <w:r>
              <w:rPr>
                <w:rFonts w:ascii="Times New Roman" w:cs="Times New Roman" w:eastAsia="Times New Roman" w:hAnsi="Times New Roman"/>
                <w:sz w:val="10"/>
                <w:szCs w:val="10"/>
                <w:color w:val="auto"/>
              </w:rPr>
              <w:t>(1)</w:t>
            </w:r>
            <w:r>
              <w:rPr>
                <w:rFonts w:ascii="Times New Roman" w:cs="Times New Roman" w:eastAsia="Times New Roman" w:hAnsi="Times New Roman"/>
                <w:sz w:val="12"/>
                <w:szCs w:val="12"/>
                <w:color w:val="auto"/>
              </w:rPr>
              <w:t>Fatalities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(yes/no)</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(yes/no)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During Period</w:t>
            </w: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Amelia Barite</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$343</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0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Plant/1600825</w:t>
            </w:r>
          </w:p>
        </w:tc>
        <w:tc>
          <w:tcPr>
            <w:tcW w:w="5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0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2"/>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Battle Mountain</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Grinding</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Pr>
          <w:p>
            <w:pPr>
              <w:jc w:val="center"/>
              <w:ind w:left="18"/>
              <w:spacing w:after="0" w:line="133" w:lineRule="exact"/>
              <w:rPr>
                <w:sz w:val="20"/>
                <w:szCs w:val="20"/>
                <w:color w:val="auto"/>
              </w:rPr>
            </w:pPr>
            <w:r>
              <w:rPr>
                <w:rFonts w:ascii="Times New Roman" w:cs="Times New Roman" w:eastAsia="Times New Roman" w:hAnsi="Times New Roman"/>
                <w:sz w:val="12"/>
                <w:szCs w:val="12"/>
                <w:color w:val="auto"/>
              </w:rPr>
              <w:t>0</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$1,416</w:t>
            </w: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12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w:t>
            </w:r>
          </w:p>
        </w:tc>
        <w:tc>
          <w:tcPr>
            <w:tcW w:w="14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N</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7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Plant/2600828</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Galveston GBT</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Barite Grinding</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Pr>
          <w:p>
            <w:pPr>
              <w:jc w:val="center"/>
              <w:ind w:left="18"/>
              <w:spacing w:after="0" w:line="133" w:lineRule="exact"/>
              <w:rPr>
                <w:sz w:val="20"/>
                <w:szCs w:val="20"/>
                <w:color w:val="auto"/>
              </w:rPr>
            </w:pPr>
            <w:r>
              <w:rPr>
                <w:rFonts w:ascii="Times New Roman" w:cs="Times New Roman" w:eastAsia="Times New Roman" w:hAnsi="Times New Roman"/>
                <w:sz w:val="12"/>
                <w:szCs w:val="12"/>
                <w:color w:val="auto"/>
              </w:rPr>
              <w:t>0</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$108*</w:t>
            </w: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12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w:t>
            </w:r>
          </w:p>
        </w:tc>
        <w:tc>
          <w:tcPr>
            <w:tcW w:w="14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N</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7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Plant/4104675</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Greybull Milling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$400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0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Operation/4800602</w:t>
            </w:r>
          </w:p>
        </w:tc>
        <w:tc>
          <w:tcPr>
            <w:tcW w:w="5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0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Greybull Mining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$648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0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Operation/4800603</w:t>
            </w:r>
          </w:p>
        </w:tc>
        <w:tc>
          <w:tcPr>
            <w:tcW w:w="5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0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Greystone</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$1,455</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0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Mine/2600411</w:t>
            </w:r>
          </w:p>
        </w:tc>
        <w:tc>
          <w:tcPr>
            <w:tcW w:w="5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0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MI SWACO-</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0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Alpine/4104829</w:t>
            </w:r>
          </w:p>
        </w:tc>
        <w:tc>
          <w:tcPr>
            <w:tcW w:w="5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0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5"/>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MI SWACO-</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Brownsville</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$884</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0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Grinding</w:t>
            </w:r>
          </w:p>
        </w:tc>
        <w:tc>
          <w:tcPr>
            <w:tcW w:w="5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0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Plant/4103033</w:t>
      </w:r>
    </w:p>
    <w:p>
      <w:pPr>
        <w:spacing w:after="0" w:line="200" w:lineRule="exact"/>
        <w:rPr>
          <w:sz w:val="20"/>
          <w:szCs w:val="20"/>
          <w:color w:val="auto"/>
        </w:rPr>
      </w:pPr>
    </w:p>
    <w:p>
      <w:pPr>
        <w:spacing w:after="0" w:line="251" w:lineRule="exact"/>
        <w:rPr>
          <w:sz w:val="20"/>
          <w:szCs w:val="20"/>
          <w:color w:val="auto"/>
        </w:rPr>
      </w:pPr>
    </w:p>
    <w:p>
      <w:pPr>
        <w:ind w:right="160" w:firstLine="6"/>
        <w:spacing w:after="0" w:line="270" w:lineRule="auto"/>
        <w:tabs>
          <w:tab w:leader="none" w:pos="25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included are the total dollar value of proposed assessments received from MSHA on or before December 31, 2014, regardless of whether the assessment has been challenged or appealed, for citations and orders occurring during the full year 2014.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As of December 31, 2014, MSHA had not yet proposed assessments for four Section 104(a) citations at Galveston GBT Barite Grinding Plant.</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3"/>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2"/>
    </w:lvl>
  </w:abstractNum>
  <w:abstractNum w:abstractNumId="25">
    <w:nsid w:val="6A2342EC"/>
    <w:multiLevelType w:val="hybridMultilevel"/>
    <w:lvl w:ilvl="0">
      <w:lvlJc w:val="left"/>
      <w:lvlText w:val="%1."/>
      <w:numFmt w:val="decimal"/>
      <w:start w:val="3"/>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4"/>
    </w:lvl>
  </w:abstractNum>
  <w:abstractNum w:abstractNumId="33">
    <w:nsid w:val="542289EC"/>
    <w:multiLevelType w:val="hybridMultilevel"/>
    <w:lvl w:ilvl="0">
      <w:lvlJc w:val="left"/>
      <w:lvlText w:val="%1."/>
      <w:numFmt w:val="decimal"/>
      <w:start w:val="8"/>
    </w:lvl>
  </w:abstractNum>
  <w:abstractNum w:abstractNumId="34">
    <w:nsid w:val="6DE91B18"/>
    <w:multiLevelType w:val="hybridMultilevel"/>
    <w:lvl w:ilvl="0">
      <w:lvlJc w:val="left"/>
      <w:lvlText w:val="%1."/>
      <w:numFmt w:val="decimal"/>
      <w:start w:val="10"/>
    </w:lvl>
  </w:abstractNum>
  <w:abstractNum w:abstractNumId="35">
    <w:nsid w:val="38437FDB"/>
    <w:multiLevelType w:val="hybridMultilevel"/>
    <w:lvl w:ilvl="0">
      <w:lvlJc w:val="left"/>
      <w:lvlText w:val="(%1)"/>
      <w:numFmt w:val="decimal"/>
      <w:start w:val="1"/>
    </w:lvl>
    <w:lvl w:ilvl="1">
      <w:lvlJc w:val="left"/>
      <w:lvlText w:val="·"/>
      <w:numFmt w:val="bullet"/>
      <w:start w:val="1"/>
    </w:lvl>
  </w:abstractNum>
  <w:abstractNum w:abstractNumId="36">
    <w:nsid w:val="7644A45C"/>
    <w:multiLevelType w:val="hybridMultilevel"/>
    <w:lvl w:ilvl="0">
      <w:lvlJc w:val="left"/>
      <w:lvlText w:val="%1."/>
      <w:numFmt w:val="decimal"/>
      <w:start w:val="11"/>
    </w:lvl>
  </w:abstractNum>
  <w:abstractNum w:abstractNumId="37">
    <w:nsid w:val="32FFF902"/>
    <w:multiLevelType w:val="hybridMultilevel"/>
    <w:lvl w:ilvl="0">
      <w:lvlJc w:val="left"/>
      <w:lvlText w:val="%1."/>
      <w:numFmt w:val="decimal"/>
      <w:start w:val="12"/>
    </w:lvl>
  </w:abstractNum>
  <w:abstractNum w:abstractNumId="38">
    <w:nsid w:val="684A481A"/>
    <w:multiLevelType w:val="hybridMultilevel"/>
    <w:lvl w:ilvl="0">
      <w:lvlJc w:val="left"/>
      <w:lvlText w:val="%1."/>
      <w:numFmt w:val="decimal"/>
      <w:start w:val="13"/>
    </w:lvl>
  </w:abstractNum>
  <w:abstractNum w:abstractNumId="39">
    <w:nsid w:val="579478FE"/>
    <w:multiLevelType w:val="hybridMultilevel"/>
    <w:lvl w:ilvl="0">
      <w:lvlJc w:val="left"/>
      <w:lvlText w:val="%1."/>
      <w:numFmt w:val="decimal"/>
      <w:start w:val="14"/>
    </w:lvl>
  </w:abstractNum>
  <w:abstractNum w:abstractNumId="40">
    <w:nsid w:val="749ABB43"/>
    <w:multiLevelType w:val="hybridMultilevel"/>
    <w:lvl w:ilvl="0">
      <w:lvlJc w:val="left"/>
      <w:lvlText w:val="\endash "/>
      <w:numFmt w:val="bullet"/>
      <w:start w:val="1"/>
    </w:lvl>
  </w:abstractNum>
  <w:abstractNum w:abstractNumId="41">
    <w:nsid w:val="3DC240FB"/>
    <w:multiLevelType w:val="hybridMultilevel"/>
    <w:lvl w:ilvl="0">
      <w:lvlJc w:val="left"/>
      <w:lvlText w:val="%1."/>
      <w:numFmt w:val="decimal"/>
      <w:start w:val="15"/>
    </w:lvl>
  </w:abstractNum>
  <w:abstractNum w:abstractNumId="42">
    <w:nsid w:val="1BA026FA"/>
    <w:multiLevelType w:val="hybridMultilevel"/>
    <w:lvl w:ilvl="0">
      <w:lvlJc w:val="left"/>
      <w:lvlText w:val="%1."/>
      <w:numFmt w:val="decimal"/>
      <w:start w:val="16"/>
    </w:lvl>
  </w:abstractNum>
  <w:abstractNum w:abstractNumId="43">
    <w:nsid w:val="79A1DEAA"/>
    <w:multiLevelType w:val="hybridMultilevel"/>
    <w:lvl w:ilvl="0">
      <w:lvlJc w:val="left"/>
      <w:lvlText w:val="%1."/>
      <w:numFmt w:val="decimal"/>
      <w:start w:val="17"/>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8"/>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decimal"/>
      <w:start w:val="20"/>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2"/>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2019-12-29T19:24:36Z</dcterms:created>
  <dcterms:modified xsi:type="dcterms:W3CDTF">2019-12-29T19:24:36Z</dcterms:modified>
</cp:coreProperties>
</file>