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212090</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212090</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LIBERTY ENERGY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$0.01 par value per share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53115L 104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Dianne Ralston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jc w:val="center"/>
        <w:spacing w:after="0" w:line="234" w:lineRule="auto"/>
        <w:rPr>
          <w:sz w:val="20"/>
          <w:szCs w:val="20"/>
          <w:color w:val="auto"/>
        </w:rPr>
      </w:pPr>
      <w:r>
        <w:rPr>
          <w:rFonts w:ascii="Arial" w:cs="Arial" w:eastAsia="Arial" w:hAnsi="Arial"/>
          <w:sz w:val="18"/>
          <w:szCs w:val="18"/>
          <w:b w:val="1"/>
          <w:bCs w:val="1"/>
          <w:color w:val="auto"/>
        </w:rPr>
        <w:t>Schlumberger Limited</w:t>
      </w:r>
    </w:p>
    <w:p>
      <w:pPr>
        <w:jc w:val="center"/>
        <w:spacing w:after="0" w:line="235" w:lineRule="auto"/>
        <w:rPr>
          <w:sz w:val="20"/>
          <w:szCs w:val="20"/>
          <w:color w:val="auto"/>
        </w:rPr>
      </w:pPr>
      <w:r>
        <w:rPr>
          <w:rFonts w:ascii="Arial" w:cs="Arial" w:eastAsia="Arial" w:hAnsi="Arial"/>
          <w:sz w:val="18"/>
          <w:szCs w:val="18"/>
          <w:b w:val="1"/>
          <w:bCs w:val="1"/>
          <w:color w:val="auto"/>
        </w:rPr>
        <w:t>5599 San Felipe, 17th Floor</w:t>
      </w:r>
    </w:p>
    <w:p>
      <w:pPr>
        <w:jc w:val="center"/>
        <w:spacing w:after="0" w:line="235" w:lineRule="auto"/>
        <w:rPr>
          <w:sz w:val="20"/>
          <w:szCs w:val="20"/>
          <w:color w:val="auto"/>
        </w:rPr>
      </w:pPr>
      <w:r>
        <w:rPr>
          <w:rFonts w:ascii="Arial" w:cs="Arial" w:eastAsia="Arial" w:hAnsi="Arial"/>
          <w:sz w:val="18"/>
          <w:szCs w:val="18"/>
          <w:b w:val="1"/>
          <w:bCs w:val="1"/>
          <w:color w:val="auto"/>
        </w:rPr>
        <w:t>Houston, Texas 77056</w:t>
      </w: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Authorized to Receive Notices and Communications)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15, 2022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69"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6"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000"/>
          </w:cols>
          <w:pgMar w:left="440" w:top="312" w:right="45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52"/>
        </w:trPr>
        <w:tc>
          <w:tcPr>
            <w:tcW w:w="4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1"/>
                <w:szCs w:val="21"/>
                <w:color w:val="auto"/>
              </w:rPr>
            </w:pPr>
          </w:p>
        </w:tc>
        <w:tc>
          <w:tcPr>
            <w:tcW w:w="10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Schlumberger N.V. (Schlumberger Limited)</w:t>
            </w: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13"/>
                <w:szCs w:val="13"/>
                <w:color w:val="auto"/>
              </w:rPr>
            </w:pPr>
          </w:p>
        </w:tc>
        <w:tc>
          <w:tcPr>
            <w:tcW w:w="10020" w:type="dxa"/>
            <w:vAlign w:val="bottom"/>
            <w:tcBorders>
              <w:right w:val="single" w:sz="8" w:color="auto"/>
            </w:tcBorders>
            <w:gridSpan w:val="4"/>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w:t>
            </w:r>
          </w:p>
        </w:tc>
        <w:tc>
          <w:tcPr>
            <w:tcW w:w="6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(b)</w:t>
            </w:r>
          </w:p>
        </w:tc>
        <w:tc>
          <w:tcPr>
            <w:tcW w:w="828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w w:val="99"/>
              </w:rPr>
              <w:t>SEC Use Only</w:t>
            </w:r>
          </w:p>
        </w:tc>
        <w:tc>
          <w:tcPr>
            <w:tcW w:w="440" w:type="dxa"/>
            <w:vAlign w:val="bottom"/>
          </w:tcPr>
          <w:p>
            <w:pPr>
              <w:spacing w:after="0"/>
              <w:rPr>
                <w:sz w:val="20"/>
                <w:szCs w:val="20"/>
                <w:color w:val="auto"/>
              </w:rPr>
            </w:pPr>
          </w:p>
        </w:tc>
        <w:tc>
          <w:tcPr>
            <w:tcW w:w="8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tcBorders>
            <w:gridSpan w:val="3"/>
          </w:tcPr>
          <w:p>
            <w:pPr>
              <w:spacing w:after="0"/>
              <w:rPr>
                <w:sz w:val="12"/>
                <w:szCs w:val="12"/>
                <w:color w:val="auto"/>
              </w:rPr>
            </w:pPr>
          </w:p>
        </w:tc>
        <w:tc>
          <w:tcPr>
            <w:tcW w:w="8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0"/>
                <w:szCs w:val="20"/>
                <w:color w:val="auto"/>
              </w:rPr>
            </w:pPr>
          </w:p>
        </w:tc>
        <w:tc>
          <w:tcPr>
            <w:tcW w:w="174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8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AF</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CURAÇAO</w:t>
            </w: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0</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Number of</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0"/>
        </w:trPr>
        <w:tc>
          <w:tcPr>
            <w:tcW w:w="42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1140" w:type="dxa"/>
            <w:vAlign w:val="bottom"/>
            <w:tcBorders>
              <w:right w:val="single" w:sz="8" w:color="auto"/>
            </w:tcBorders>
            <w:gridSpan w:val="2"/>
          </w:tcPr>
          <w:p>
            <w:pPr>
              <w:jc w:val="center"/>
              <w:ind w:right="210"/>
              <w:spacing w:after="0" w:line="202" w:lineRule="exact"/>
              <w:rPr>
                <w:sz w:val="20"/>
                <w:szCs w:val="20"/>
                <w:color w:val="auto"/>
              </w:rPr>
            </w:pPr>
            <w:r>
              <w:rPr>
                <w:rFonts w:ascii="Arial" w:cs="Arial" w:eastAsia="Arial" w:hAnsi="Arial"/>
                <w:sz w:val="18"/>
                <w:szCs w:val="18"/>
                <w:color w:val="auto"/>
                <w:w w:val="98"/>
              </w:rPr>
              <w:t>Shares</w:t>
            </w:r>
          </w:p>
        </w:tc>
        <w:tc>
          <w:tcPr>
            <w:tcW w:w="640" w:type="dxa"/>
            <w:vAlign w:val="bottom"/>
            <w:tcBorders>
              <w:right w:val="single" w:sz="8" w:color="auto"/>
            </w:tcBorders>
          </w:tcPr>
          <w:p>
            <w:pPr>
              <w:spacing w:after="0"/>
              <w:rPr>
                <w:sz w:val="17"/>
                <w:szCs w:val="17"/>
                <w:color w:val="auto"/>
              </w:rPr>
            </w:pPr>
          </w:p>
        </w:tc>
        <w:tc>
          <w:tcPr>
            <w:tcW w:w="87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04"/>
        </w:trPr>
        <w:tc>
          <w:tcPr>
            <w:tcW w:w="1560" w:type="dxa"/>
            <w:vAlign w:val="bottom"/>
            <w:tcBorders>
              <w:left w:val="single" w:sz="8" w:color="auto"/>
              <w:right w:val="single" w:sz="8" w:color="auto"/>
            </w:tcBorders>
            <w:gridSpan w:val="3"/>
            <w:vMerge w:val="restart"/>
          </w:tcPr>
          <w:p>
            <w:pPr>
              <w:jc w:val="center"/>
              <w:ind w:left="30"/>
              <w:spacing w:after="0" w:line="202" w:lineRule="exact"/>
              <w:rPr>
                <w:sz w:val="20"/>
                <w:szCs w:val="20"/>
                <w:color w:val="auto"/>
              </w:rPr>
            </w:pPr>
            <w:r>
              <w:rPr>
                <w:rFonts w:ascii="Arial" w:cs="Arial" w:eastAsia="Arial" w:hAnsi="Arial"/>
                <w:sz w:val="18"/>
                <w:szCs w:val="18"/>
                <w:color w:val="auto"/>
              </w:rPr>
              <w:t>Beneficially</w:t>
            </w:r>
          </w:p>
        </w:tc>
        <w:tc>
          <w:tcPr>
            <w:tcW w:w="640" w:type="dxa"/>
            <w:vAlign w:val="bottom"/>
            <w:tcBorders>
              <w:right w:val="single" w:sz="8" w:color="auto"/>
            </w:tcBorders>
          </w:tcPr>
          <w:p>
            <w:pPr>
              <w:spacing w:after="0"/>
              <w:rPr>
                <w:sz w:val="9"/>
                <w:szCs w:val="9"/>
                <w:color w:val="auto"/>
              </w:rPr>
            </w:pPr>
          </w:p>
        </w:tc>
        <w:tc>
          <w:tcPr>
            <w:tcW w:w="87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60" w:type="dxa"/>
            <w:vAlign w:val="bottom"/>
            <w:tcBorders>
              <w:left w:val="single" w:sz="8" w:color="auto"/>
              <w:right w:val="single" w:sz="8" w:color="auto"/>
            </w:tcBorders>
            <w:gridSpan w:val="3"/>
            <w:vMerge w:val="continue"/>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2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210"/>
              <w:spacing w:after="0" w:line="170" w:lineRule="exact"/>
              <w:rPr>
                <w:sz w:val="20"/>
                <w:szCs w:val="20"/>
                <w:color w:val="auto"/>
              </w:rPr>
            </w:pPr>
            <w:r>
              <w:rPr>
                <w:rFonts w:ascii="Arial" w:cs="Arial" w:eastAsia="Arial" w:hAnsi="Arial"/>
                <w:sz w:val="18"/>
                <w:szCs w:val="18"/>
                <w:color w:val="auto"/>
                <w:w w:val="98"/>
              </w:rPr>
              <w:t>Owned by</w:t>
            </w:r>
          </w:p>
        </w:tc>
        <w:tc>
          <w:tcPr>
            <w:tcW w:w="64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9.</w:t>
            </w:r>
          </w:p>
        </w:tc>
        <w:tc>
          <w:tcPr>
            <w:tcW w:w="8720" w:type="dxa"/>
            <w:vAlign w:val="bottom"/>
            <w:tcBorders>
              <w:right w:val="single" w:sz="8" w:color="auto"/>
            </w:tcBorders>
            <w:gridSpan w:val="2"/>
          </w:tcPr>
          <w:p>
            <w:pPr>
              <w:ind w:left="100"/>
              <w:spacing w:after="0" w:line="17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gridSpan w:val="3"/>
          </w:tcPr>
          <w:p>
            <w:pPr>
              <w:jc w:val="center"/>
              <w:ind w:left="30"/>
              <w:spacing w:after="0" w:line="202" w:lineRule="exact"/>
              <w:rPr>
                <w:sz w:val="20"/>
                <w:szCs w:val="20"/>
                <w:color w:val="auto"/>
              </w:rPr>
            </w:pPr>
            <w:r>
              <w:rPr>
                <w:rFonts w:ascii="Arial" w:cs="Arial" w:eastAsia="Arial" w:hAnsi="Arial"/>
                <w:sz w:val="18"/>
                <w:szCs w:val="18"/>
                <w:color w:val="auto"/>
                <w:w w:val="99"/>
              </w:rPr>
              <w:t>Each Reporting</w:t>
            </w:r>
          </w:p>
        </w:tc>
        <w:tc>
          <w:tcPr>
            <w:tcW w:w="6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5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Person with</w:t>
            </w:r>
          </w:p>
        </w:tc>
        <w:tc>
          <w:tcPr>
            <w:tcW w:w="640" w:type="dxa"/>
            <w:vAlign w:val="bottom"/>
            <w:tcBorders>
              <w:right w:val="single" w:sz="8" w:color="auto"/>
            </w:tcBorders>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0</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18"/>
        </w:trPr>
        <w:tc>
          <w:tcPr>
            <w:tcW w:w="42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11.</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9,001,961</w:t>
            </w: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12.</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13.</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14.</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HC</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hanging="4"/>
        <w:spacing w:after="0" w:line="281" w:lineRule="auto"/>
        <w:tabs>
          <w:tab w:leader="none" w:pos="149"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182,158,820 shares of Class A Common Stock outstanding as of October 18, 2022, as reported in the Issuer’s Quarterly Report on Form 10-Q (“</w:t>
      </w:r>
      <w:r>
        <w:rPr>
          <w:rFonts w:ascii="Arial" w:cs="Arial" w:eastAsia="Arial" w:hAnsi="Arial"/>
          <w:sz w:val="18"/>
          <w:szCs w:val="18"/>
          <w:b w:val="1"/>
          <w:bCs w:val="1"/>
          <w:color w:val="auto"/>
        </w:rPr>
        <w:t>Form 10-Q</w:t>
      </w:r>
      <w:r>
        <w:rPr>
          <w:rFonts w:ascii="Arial" w:cs="Arial" w:eastAsia="Arial" w:hAnsi="Arial"/>
          <w:sz w:val="18"/>
          <w:szCs w:val="18"/>
          <w:color w:val="auto"/>
        </w:rPr>
        <w:t>”)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on October 20, 2022.</w:t>
      </w:r>
    </w:p>
    <w:p>
      <w:pPr>
        <w:sectPr>
          <w:pgSz w:w="11900" w:h="16838" w:orient="portrait"/>
          <w:cols w:equalWidth="0" w:num="1">
            <w:col w:w="11004"/>
          </w:cols>
          <w:pgMar w:left="436" w:top="268" w:right="45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52"/>
        </w:trPr>
        <w:tc>
          <w:tcPr>
            <w:tcW w:w="4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1"/>
                <w:szCs w:val="21"/>
                <w:color w:val="auto"/>
              </w:rPr>
            </w:pPr>
          </w:p>
        </w:tc>
        <w:tc>
          <w:tcPr>
            <w:tcW w:w="10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Schlumberger B.V.</w:t>
            </w: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13"/>
                <w:szCs w:val="13"/>
                <w:color w:val="auto"/>
              </w:rPr>
            </w:pPr>
          </w:p>
        </w:tc>
        <w:tc>
          <w:tcPr>
            <w:tcW w:w="10020" w:type="dxa"/>
            <w:vAlign w:val="bottom"/>
            <w:tcBorders>
              <w:right w:val="single" w:sz="8" w:color="auto"/>
            </w:tcBorders>
            <w:gridSpan w:val="4"/>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w:t>
            </w:r>
          </w:p>
        </w:tc>
        <w:tc>
          <w:tcPr>
            <w:tcW w:w="6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(b)</w:t>
            </w:r>
          </w:p>
        </w:tc>
        <w:tc>
          <w:tcPr>
            <w:tcW w:w="826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w w:val="99"/>
              </w:rPr>
              <w:t>SEC Use Only</w:t>
            </w:r>
          </w:p>
        </w:tc>
        <w:tc>
          <w:tcPr>
            <w:tcW w:w="460" w:type="dxa"/>
            <w:vAlign w:val="bottom"/>
          </w:tcPr>
          <w:p>
            <w:pPr>
              <w:spacing w:after="0"/>
              <w:rPr>
                <w:sz w:val="20"/>
                <w:szCs w:val="20"/>
                <w:color w:val="auto"/>
              </w:rPr>
            </w:pPr>
          </w:p>
        </w:tc>
        <w:tc>
          <w:tcPr>
            <w:tcW w:w="8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tcBorders>
            <w:gridSpan w:val="3"/>
          </w:tcPr>
          <w:p>
            <w:pPr>
              <w:spacing w:after="0"/>
              <w:rPr>
                <w:sz w:val="12"/>
                <w:szCs w:val="12"/>
                <w:color w:val="auto"/>
              </w:rPr>
            </w:pPr>
          </w:p>
        </w:tc>
        <w:tc>
          <w:tcPr>
            <w:tcW w:w="8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0"/>
                <w:szCs w:val="20"/>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8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AF</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Netherlands</w:t>
            </w:r>
          </w:p>
        </w:tc>
        <w:tc>
          <w:tcPr>
            <w:tcW w:w="46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0</w:t>
            </w: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Number of</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0"/>
        </w:trPr>
        <w:tc>
          <w:tcPr>
            <w:tcW w:w="42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1140" w:type="dxa"/>
            <w:vAlign w:val="bottom"/>
            <w:tcBorders>
              <w:right w:val="single" w:sz="8" w:color="auto"/>
            </w:tcBorders>
            <w:gridSpan w:val="2"/>
          </w:tcPr>
          <w:p>
            <w:pPr>
              <w:jc w:val="center"/>
              <w:ind w:right="210"/>
              <w:spacing w:after="0" w:line="202" w:lineRule="exact"/>
              <w:rPr>
                <w:sz w:val="20"/>
                <w:szCs w:val="20"/>
                <w:color w:val="auto"/>
              </w:rPr>
            </w:pPr>
            <w:r>
              <w:rPr>
                <w:rFonts w:ascii="Arial" w:cs="Arial" w:eastAsia="Arial" w:hAnsi="Arial"/>
                <w:sz w:val="18"/>
                <w:szCs w:val="18"/>
                <w:color w:val="auto"/>
                <w:w w:val="98"/>
              </w:rPr>
              <w:t>Shares</w:t>
            </w:r>
          </w:p>
        </w:tc>
        <w:tc>
          <w:tcPr>
            <w:tcW w:w="640" w:type="dxa"/>
            <w:vAlign w:val="bottom"/>
            <w:tcBorders>
              <w:right w:val="single" w:sz="8" w:color="auto"/>
            </w:tcBorders>
          </w:tcPr>
          <w:p>
            <w:pPr>
              <w:spacing w:after="0"/>
              <w:rPr>
                <w:sz w:val="17"/>
                <w:szCs w:val="17"/>
                <w:color w:val="auto"/>
              </w:rPr>
            </w:pPr>
          </w:p>
        </w:tc>
        <w:tc>
          <w:tcPr>
            <w:tcW w:w="87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04"/>
        </w:trPr>
        <w:tc>
          <w:tcPr>
            <w:tcW w:w="1560" w:type="dxa"/>
            <w:vAlign w:val="bottom"/>
            <w:tcBorders>
              <w:left w:val="single" w:sz="8" w:color="auto"/>
              <w:right w:val="single" w:sz="8" w:color="auto"/>
            </w:tcBorders>
            <w:gridSpan w:val="3"/>
            <w:vMerge w:val="restart"/>
          </w:tcPr>
          <w:p>
            <w:pPr>
              <w:jc w:val="center"/>
              <w:ind w:left="30"/>
              <w:spacing w:after="0" w:line="202" w:lineRule="exact"/>
              <w:rPr>
                <w:sz w:val="20"/>
                <w:szCs w:val="20"/>
                <w:color w:val="auto"/>
              </w:rPr>
            </w:pPr>
            <w:r>
              <w:rPr>
                <w:rFonts w:ascii="Arial" w:cs="Arial" w:eastAsia="Arial" w:hAnsi="Arial"/>
                <w:sz w:val="18"/>
                <w:szCs w:val="18"/>
                <w:color w:val="auto"/>
              </w:rPr>
              <w:t>Beneficially</w:t>
            </w:r>
          </w:p>
        </w:tc>
        <w:tc>
          <w:tcPr>
            <w:tcW w:w="640" w:type="dxa"/>
            <w:vAlign w:val="bottom"/>
            <w:tcBorders>
              <w:right w:val="single" w:sz="8" w:color="auto"/>
            </w:tcBorders>
          </w:tcPr>
          <w:p>
            <w:pPr>
              <w:spacing w:after="0"/>
              <w:rPr>
                <w:sz w:val="9"/>
                <w:szCs w:val="9"/>
                <w:color w:val="auto"/>
              </w:rPr>
            </w:pPr>
          </w:p>
        </w:tc>
        <w:tc>
          <w:tcPr>
            <w:tcW w:w="87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60" w:type="dxa"/>
            <w:vAlign w:val="bottom"/>
            <w:tcBorders>
              <w:left w:val="single" w:sz="8" w:color="auto"/>
              <w:right w:val="single" w:sz="8" w:color="auto"/>
            </w:tcBorders>
            <w:gridSpan w:val="3"/>
            <w:vMerge w:val="continue"/>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2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210"/>
              <w:spacing w:after="0" w:line="170" w:lineRule="exact"/>
              <w:rPr>
                <w:sz w:val="20"/>
                <w:szCs w:val="20"/>
                <w:color w:val="auto"/>
              </w:rPr>
            </w:pPr>
            <w:r>
              <w:rPr>
                <w:rFonts w:ascii="Arial" w:cs="Arial" w:eastAsia="Arial" w:hAnsi="Arial"/>
                <w:sz w:val="18"/>
                <w:szCs w:val="18"/>
                <w:color w:val="auto"/>
                <w:w w:val="98"/>
              </w:rPr>
              <w:t>Owned by</w:t>
            </w:r>
          </w:p>
        </w:tc>
        <w:tc>
          <w:tcPr>
            <w:tcW w:w="64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9.</w:t>
            </w:r>
          </w:p>
        </w:tc>
        <w:tc>
          <w:tcPr>
            <w:tcW w:w="8720" w:type="dxa"/>
            <w:vAlign w:val="bottom"/>
            <w:tcBorders>
              <w:right w:val="single" w:sz="8" w:color="auto"/>
            </w:tcBorders>
            <w:gridSpan w:val="2"/>
          </w:tcPr>
          <w:p>
            <w:pPr>
              <w:ind w:left="100"/>
              <w:spacing w:after="0" w:line="17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gridSpan w:val="3"/>
          </w:tcPr>
          <w:p>
            <w:pPr>
              <w:jc w:val="center"/>
              <w:ind w:left="30"/>
              <w:spacing w:after="0" w:line="202" w:lineRule="exact"/>
              <w:rPr>
                <w:sz w:val="20"/>
                <w:szCs w:val="20"/>
                <w:color w:val="auto"/>
              </w:rPr>
            </w:pPr>
            <w:r>
              <w:rPr>
                <w:rFonts w:ascii="Arial" w:cs="Arial" w:eastAsia="Arial" w:hAnsi="Arial"/>
                <w:sz w:val="18"/>
                <w:szCs w:val="18"/>
                <w:color w:val="auto"/>
                <w:w w:val="99"/>
              </w:rPr>
              <w:t>Each Reporting</w:t>
            </w:r>
          </w:p>
        </w:tc>
        <w:tc>
          <w:tcPr>
            <w:tcW w:w="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5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Person with</w:t>
            </w:r>
          </w:p>
        </w:tc>
        <w:tc>
          <w:tcPr>
            <w:tcW w:w="640" w:type="dxa"/>
            <w:vAlign w:val="bottom"/>
            <w:tcBorders>
              <w:right w:val="single" w:sz="8" w:color="auto"/>
            </w:tcBorders>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0</w:t>
            </w: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18"/>
        </w:trPr>
        <w:tc>
          <w:tcPr>
            <w:tcW w:w="42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11.</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9,001,961</w:t>
            </w:r>
          </w:p>
        </w:tc>
        <w:tc>
          <w:tcPr>
            <w:tcW w:w="46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12.</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13.</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14.</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HC</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hanging="4"/>
        <w:spacing w:after="0" w:line="271" w:lineRule="auto"/>
        <w:tabs>
          <w:tab w:leader="none" w:pos="125"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182,158,820 shares of Class A Common Stock outstanding as of October 18, 2022, as reported in the Issuer’s Form 10-Q filed with the SEC on October 20, 2022.</w:t>
      </w:r>
    </w:p>
    <w:p>
      <w:pPr>
        <w:sectPr>
          <w:pgSz w:w="11900" w:h="16838" w:orient="portrait"/>
          <w:cols w:equalWidth="0" w:num="1">
            <w:col w:w="11004"/>
          </w:cols>
          <w:pgMar w:left="436" w:top="268" w:right="45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52"/>
        </w:trPr>
        <w:tc>
          <w:tcPr>
            <w:tcW w:w="4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1"/>
                <w:szCs w:val="21"/>
                <w:color w:val="auto"/>
              </w:rPr>
            </w:pPr>
          </w:p>
        </w:tc>
        <w:tc>
          <w:tcPr>
            <w:tcW w:w="10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Schlumberger Holdings Corporation</w:t>
            </w: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13"/>
                <w:szCs w:val="13"/>
                <w:color w:val="auto"/>
              </w:rPr>
            </w:pPr>
          </w:p>
        </w:tc>
        <w:tc>
          <w:tcPr>
            <w:tcW w:w="10020" w:type="dxa"/>
            <w:vAlign w:val="bottom"/>
            <w:tcBorders>
              <w:right w:val="single" w:sz="8" w:color="auto"/>
            </w:tcBorders>
            <w:gridSpan w:val="4"/>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w:t>
            </w:r>
          </w:p>
        </w:tc>
        <w:tc>
          <w:tcPr>
            <w:tcW w:w="6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(b)</w:t>
            </w:r>
          </w:p>
        </w:tc>
        <w:tc>
          <w:tcPr>
            <w:tcW w:w="828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w w:val="99"/>
              </w:rPr>
              <w:t>SEC Use Only</w:t>
            </w:r>
          </w:p>
        </w:tc>
        <w:tc>
          <w:tcPr>
            <w:tcW w:w="440" w:type="dxa"/>
            <w:vAlign w:val="bottom"/>
          </w:tcPr>
          <w:p>
            <w:pPr>
              <w:spacing w:after="0"/>
              <w:rPr>
                <w:sz w:val="20"/>
                <w:szCs w:val="20"/>
                <w:color w:val="auto"/>
              </w:rPr>
            </w:pPr>
          </w:p>
        </w:tc>
        <w:tc>
          <w:tcPr>
            <w:tcW w:w="8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tcBorders>
            <w:gridSpan w:val="3"/>
          </w:tcPr>
          <w:p>
            <w:pPr>
              <w:spacing w:after="0"/>
              <w:rPr>
                <w:sz w:val="12"/>
                <w:szCs w:val="12"/>
                <w:color w:val="auto"/>
              </w:rPr>
            </w:pPr>
          </w:p>
        </w:tc>
        <w:tc>
          <w:tcPr>
            <w:tcW w:w="8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0"/>
                <w:szCs w:val="20"/>
                <w:color w:val="auto"/>
              </w:rPr>
            </w:pPr>
          </w:p>
        </w:tc>
        <w:tc>
          <w:tcPr>
            <w:tcW w:w="174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8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AF</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Delaware, United States</w:t>
            </w: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0</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Number of</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0"/>
        </w:trPr>
        <w:tc>
          <w:tcPr>
            <w:tcW w:w="42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1140" w:type="dxa"/>
            <w:vAlign w:val="bottom"/>
            <w:tcBorders>
              <w:right w:val="single" w:sz="8" w:color="auto"/>
            </w:tcBorders>
            <w:gridSpan w:val="2"/>
          </w:tcPr>
          <w:p>
            <w:pPr>
              <w:jc w:val="center"/>
              <w:ind w:right="210"/>
              <w:spacing w:after="0" w:line="202" w:lineRule="exact"/>
              <w:rPr>
                <w:sz w:val="20"/>
                <w:szCs w:val="20"/>
                <w:color w:val="auto"/>
              </w:rPr>
            </w:pPr>
            <w:r>
              <w:rPr>
                <w:rFonts w:ascii="Arial" w:cs="Arial" w:eastAsia="Arial" w:hAnsi="Arial"/>
                <w:sz w:val="18"/>
                <w:szCs w:val="18"/>
                <w:color w:val="auto"/>
                <w:w w:val="98"/>
              </w:rPr>
              <w:t>Shares</w:t>
            </w:r>
          </w:p>
        </w:tc>
        <w:tc>
          <w:tcPr>
            <w:tcW w:w="640" w:type="dxa"/>
            <w:vAlign w:val="bottom"/>
            <w:tcBorders>
              <w:right w:val="single" w:sz="8" w:color="auto"/>
            </w:tcBorders>
          </w:tcPr>
          <w:p>
            <w:pPr>
              <w:spacing w:after="0"/>
              <w:rPr>
                <w:sz w:val="17"/>
                <w:szCs w:val="17"/>
                <w:color w:val="auto"/>
              </w:rPr>
            </w:pPr>
          </w:p>
        </w:tc>
        <w:tc>
          <w:tcPr>
            <w:tcW w:w="87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04"/>
        </w:trPr>
        <w:tc>
          <w:tcPr>
            <w:tcW w:w="1560" w:type="dxa"/>
            <w:vAlign w:val="bottom"/>
            <w:tcBorders>
              <w:left w:val="single" w:sz="8" w:color="auto"/>
              <w:right w:val="single" w:sz="8" w:color="auto"/>
            </w:tcBorders>
            <w:gridSpan w:val="3"/>
            <w:vMerge w:val="restart"/>
          </w:tcPr>
          <w:p>
            <w:pPr>
              <w:jc w:val="center"/>
              <w:ind w:left="30"/>
              <w:spacing w:after="0" w:line="202" w:lineRule="exact"/>
              <w:rPr>
                <w:sz w:val="20"/>
                <w:szCs w:val="20"/>
                <w:color w:val="auto"/>
              </w:rPr>
            </w:pPr>
            <w:r>
              <w:rPr>
                <w:rFonts w:ascii="Arial" w:cs="Arial" w:eastAsia="Arial" w:hAnsi="Arial"/>
                <w:sz w:val="18"/>
                <w:szCs w:val="18"/>
                <w:color w:val="auto"/>
              </w:rPr>
              <w:t>Beneficially</w:t>
            </w:r>
          </w:p>
        </w:tc>
        <w:tc>
          <w:tcPr>
            <w:tcW w:w="640" w:type="dxa"/>
            <w:vAlign w:val="bottom"/>
            <w:tcBorders>
              <w:right w:val="single" w:sz="8" w:color="auto"/>
            </w:tcBorders>
          </w:tcPr>
          <w:p>
            <w:pPr>
              <w:spacing w:after="0"/>
              <w:rPr>
                <w:sz w:val="9"/>
                <w:szCs w:val="9"/>
                <w:color w:val="auto"/>
              </w:rPr>
            </w:pPr>
          </w:p>
        </w:tc>
        <w:tc>
          <w:tcPr>
            <w:tcW w:w="87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60" w:type="dxa"/>
            <w:vAlign w:val="bottom"/>
            <w:tcBorders>
              <w:left w:val="single" w:sz="8" w:color="auto"/>
              <w:right w:val="single" w:sz="8" w:color="auto"/>
            </w:tcBorders>
            <w:gridSpan w:val="3"/>
            <w:vMerge w:val="continue"/>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2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210"/>
              <w:spacing w:after="0" w:line="170" w:lineRule="exact"/>
              <w:rPr>
                <w:sz w:val="20"/>
                <w:szCs w:val="20"/>
                <w:color w:val="auto"/>
              </w:rPr>
            </w:pPr>
            <w:r>
              <w:rPr>
                <w:rFonts w:ascii="Arial" w:cs="Arial" w:eastAsia="Arial" w:hAnsi="Arial"/>
                <w:sz w:val="18"/>
                <w:szCs w:val="18"/>
                <w:color w:val="auto"/>
                <w:w w:val="98"/>
              </w:rPr>
              <w:t>Owned by</w:t>
            </w:r>
          </w:p>
        </w:tc>
        <w:tc>
          <w:tcPr>
            <w:tcW w:w="64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9.</w:t>
            </w:r>
          </w:p>
        </w:tc>
        <w:tc>
          <w:tcPr>
            <w:tcW w:w="8720" w:type="dxa"/>
            <w:vAlign w:val="bottom"/>
            <w:tcBorders>
              <w:right w:val="single" w:sz="8" w:color="auto"/>
            </w:tcBorders>
            <w:gridSpan w:val="2"/>
          </w:tcPr>
          <w:p>
            <w:pPr>
              <w:ind w:left="100"/>
              <w:spacing w:after="0" w:line="17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gridSpan w:val="3"/>
          </w:tcPr>
          <w:p>
            <w:pPr>
              <w:jc w:val="center"/>
              <w:ind w:left="30"/>
              <w:spacing w:after="0" w:line="202" w:lineRule="exact"/>
              <w:rPr>
                <w:sz w:val="20"/>
                <w:szCs w:val="20"/>
                <w:color w:val="auto"/>
              </w:rPr>
            </w:pPr>
            <w:r>
              <w:rPr>
                <w:rFonts w:ascii="Arial" w:cs="Arial" w:eastAsia="Arial" w:hAnsi="Arial"/>
                <w:sz w:val="18"/>
                <w:szCs w:val="18"/>
                <w:color w:val="auto"/>
                <w:w w:val="99"/>
              </w:rPr>
              <w:t>Each Reporting</w:t>
            </w:r>
          </w:p>
        </w:tc>
        <w:tc>
          <w:tcPr>
            <w:tcW w:w="6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5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Person with</w:t>
            </w:r>
          </w:p>
        </w:tc>
        <w:tc>
          <w:tcPr>
            <w:tcW w:w="640" w:type="dxa"/>
            <w:vAlign w:val="bottom"/>
            <w:tcBorders>
              <w:right w:val="single" w:sz="8" w:color="auto"/>
            </w:tcBorders>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0</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18"/>
        </w:trPr>
        <w:tc>
          <w:tcPr>
            <w:tcW w:w="42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11.</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9,001,961</w:t>
            </w: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12.</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13.</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14.</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HC</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hanging="4"/>
        <w:spacing w:after="0" w:line="271" w:lineRule="auto"/>
        <w:tabs>
          <w:tab w:leader="none" w:pos="12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182,158,820 shares of Class A Common Stock outstanding as of October 18, 2022, as reported in the Issuer’s Form 10-Q filed with the SEC on October 20, 2022.</w:t>
      </w:r>
    </w:p>
    <w:p>
      <w:pPr>
        <w:sectPr>
          <w:pgSz w:w="11900" w:h="16838" w:orient="portrait"/>
          <w:cols w:equalWidth="0" w:num="1">
            <w:col w:w="11004"/>
          </w:cols>
          <w:pgMar w:left="436" w:top="268" w:right="45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52"/>
        </w:trPr>
        <w:tc>
          <w:tcPr>
            <w:tcW w:w="4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1"/>
                <w:szCs w:val="21"/>
                <w:color w:val="auto"/>
              </w:rPr>
            </w:pPr>
          </w:p>
        </w:tc>
        <w:tc>
          <w:tcPr>
            <w:tcW w:w="100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Schlumberger Technology Corporation</w:t>
            </w: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13"/>
                <w:szCs w:val="13"/>
                <w:color w:val="auto"/>
              </w:rPr>
            </w:pPr>
          </w:p>
        </w:tc>
        <w:tc>
          <w:tcPr>
            <w:tcW w:w="10020" w:type="dxa"/>
            <w:vAlign w:val="bottom"/>
            <w:tcBorders>
              <w:right w:val="single" w:sz="8" w:color="auto"/>
            </w:tcBorders>
            <w:gridSpan w:val="4"/>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w:t>
            </w:r>
          </w:p>
        </w:tc>
        <w:tc>
          <w:tcPr>
            <w:tcW w:w="6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
              <w:spacing w:after="0"/>
              <w:rPr>
                <w:sz w:val="20"/>
                <w:szCs w:val="20"/>
                <w:color w:val="auto"/>
              </w:rPr>
            </w:pPr>
            <w:r>
              <w:rPr>
                <w:rFonts w:ascii="Arial" w:cs="Arial" w:eastAsia="Arial" w:hAnsi="Arial"/>
                <w:sz w:val="18"/>
                <w:szCs w:val="18"/>
                <w:color w:val="auto"/>
              </w:rPr>
              <w:t>(b)</w:t>
            </w:r>
          </w:p>
        </w:tc>
        <w:tc>
          <w:tcPr>
            <w:tcW w:w="818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w w:val="99"/>
              </w:rPr>
              <w:t>SEC Use Only</w:t>
            </w:r>
          </w:p>
        </w:tc>
        <w:tc>
          <w:tcPr>
            <w:tcW w:w="540" w:type="dxa"/>
            <w:vAlign w:val="bottom"/>
          </w:tcPr>
          <w:p>
            <w:pPr>
              <w:spacing w:after="0"/>
              <w:rPr>
                <w:sz w:val="20"/>
                <w:szCs w:val="20"/>
                <w:color w:val="auto"/>
              </w:rPr>
            </w:pPr>
          </w:p>
        </w:tc>
        <w:tc>
          <w:tcPr>
            <w:tcW w:w="8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gridSpan w:val="3"/>
          </w:tcPr>
          <w:p>
            <w:pPr>
              <w:spacing w:after="0"/>
              <w:rPr>
                <w:sz w:val="12"/>
                <w:szCs w:val="12"/>
                <w:color w:val="auto"/>
              </w:rPr>
            </w:pPr>
          </w:p>
        </w:tc>
        <w:tc>
          <w:tcPr>
            <w:tcW w:w="8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0"/>
                <w:szCs w:val="20"/>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8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AF</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00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color w:val="auto"/>
              </w:rPr>
              <w:t>Texas, United States</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0</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Number of</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0"/>
        </w:trPr>
        <w:tc>
          <w:tcPr>
            <w:tcW w:w="42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1140" w:type="dxa"/>
            <w:vAlign w:val="bottom"/>
            <w:tcBorders>
              <w:right w:val="single" w:sz="8" w:color="auto"/>
            </w:tcBorders>
            <w:gridSpan w:val="2"/>
          </w:tcPr>
          <w:p>
            <w:pPr>
              <w:jc w:val="center"/>
              <w:ind w:right="210"/>
              <w:spacing w:after="0" w:line="202" w:lineRule="exact"/>
              <w:rPr>
                <w:sz w:val="20"/>
                <w:szCs w:val="20"/>
                <w:color w:val="auto"/>
              </w:rPr>
            </w:pPr>
            <w:r>
              <w:rPr>
                <w:rFonts w:ascii="Arial" w:cs="Arial" w:eastAsia="Arial" w:hAnsi="Arial"/>
                <w:sz w:val="18"/>
                <w:szCs w:val="18"/>
                <w:color w:val="auto"/>
                <w:w w:val="98"/>
              </w:rPr>
              <w:t>Shares</w:t>
            </w:r>
          </w:p>
        </w:tc>
        <w:tc>
          <w:tcPr>
            <w:tcW w:w="640" w:type="dxa"/>
            <w:vAlign w:val="bottom"/>
            <w:tcBorders>
              <w:right w:val="single" w:sz="8" w:color="auto"/>
            </w:tcBorders>
          </w:tcPr>
          <w:p>
            <w:pPr>
              <w:spacing w:after="0"/>
              <w:rPr>
                <w:sz w:val="17"/>
                <w:szCs w:val="17"/>
                <w:color w:val="auto"/>
              </w:rPr>
            </w:pPr>
          </w:p>
        </w:tc>
        <w:tc>
          <w:tcPr>
            <w:tcW w:w="87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04"/>
        </w:trPr>
        <w:tc>
          <w:tcPr>
            <w:tcW w:w="1560" w:type="dxa"/>
            <w:vAlign w:val="bottom"/>
            <w:tcBorders>
              <w:left w:val="single" w:sz="8" w:color="auto"/>
              <w:right w:val="single" w:sz="8" w:color="auto"/>
            </w:tcBorders>
            <w:gridSpan w:val="3"/>
            <w:vMerge w:val="restart"/>
          </w:tcPr>
          <w:p>
            <w:pPr>
              <w:jc w:val="center"/>
              <w:ind w:left="30"/>
              <w:spacing w:after="0" w:line="202" w:lineRule="exact"/>
              <w:rPr>
                <w:sz w:val="20"/>
                <w:szCs w:val="20"/>
                <w:color w:val="auto"/>
              </w:rPr>
            </w:pPr>
            <w:r>
              <w:rPr>
                <w:rFonts w:ascii="Arial" w:cs="Arial" w:eastAsia="Arial" w:hAnsi="Arial"/>
                <w:sz w:val="18"/>
                <w:szCs w:val="18"/>
                <w:color w:val="auto"/>
              </w:rPr>
              <w:t>Beneficially</w:t>
            </w:r>
          </w:p>
        </w:tc>
        <w:tc>
          <w:tcPr>
            <w:tcW w:w="640" w:type="dxa"/>
            <w:vAlign w:val="bottom"/>
            <w:tcBorders>
              <w:right w:val="single" w:sz="8" w:color="auto"/>
            </w:tcBorders>
          </w:tcPr>
          <w:p>
            <w:pPr>
              <w:spacing w:after="0"/>
              <w:rPr>
                <w:sz w:val="9"/>
                <w:szCs w:val="9"/>
                <w:color w:val="auto"/>
              </w:rPr>
            </w:pPr>
          </w:p>
        </w:tc>
        <w:tc>
          <w:tcPr>
            <w:tcW w:w="87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60" w:type="dxa"/>
            <w:vAlign w:val="bottom"/>
            <w:tcBorders>
              <w:left w:val="single" w:sz="8" w:color="auto"/>
              <w:right w:val="single" w:sz="8" w:color="auto"/>
            </w:tcBorders>
            <w:gridSpan w:val="3"/>
            <w:vMerge w:val="continue"/>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2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210"/>
              <w:spacing w:after="0" w:line="170" w:lineRule="exact"/>
              <w:rPr>
                <w:sz w:val="20"/>
                <w:szCs w:val="20"/>
                <w:color w:val="auto"/>
              </w:rPr>
            </w:pPr>
            <w:r>
              <w:rPr>
                <w:rFonts w:ascii="Arial" w:cs="Arial" w:eastAsia="Arial" w:hAnsi="Arial"/>
                <w:sz w:val="18"/>
                <w:szCs w:val="18"/>
                <w:color w:val="auto"/>
                <w:w w:val="98"/>
              </w:rPr>
              <w:t>Owned by</w:t>
            </w:r>
          </w:p>
        </w:tc>
        <w:tc>
          <w:tcPr>
            <w:tcW w:w="64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9.</w:t>
            </w:r>
          </w:p>
        </w:tc>
        <w:tc>
          <w:tcPr>
            <w:tcW w:w="8720" w:type="dxa"/>
            <w:vAlign w:val="bottom"/>
            <w:tcBorders>
              <w:right w:val="single" w:sz="8" w:color="auto"/>
            </w:tcBorders>
            <w:gridSpan w:val="2"/>
          </w:tcPr>
          <w:p>
            <w:pPr>
              <w:ind w:left="100"/>
              <w:spacing w:after="0" w:line="17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gridSpan w:val="3"/>
          </w:tcPr>
          <w:p>
            <w:pPr>
              <w:jc w:val="center"/>
              <w:ind w:left="30"/>
              <w:spacing w:after="0" w:line="202" w:lineRule="exact"/>
              <w:rPr>
                <w:sz w:val="20"/>
                <w:szCs w:val="20"/>
                <w:color w:val="auto"/>
              </w:rPr>
            </w:pPr>
            <w:r>
              <w:rPr>
                <w:rFonts w:ascii="Arial" w:cs="Arial" w:eastAsia="Arial" w:hAnsi="Arial"/>
                <w:sz w:val="18"/>
                <w:szCs w:val="18"/>
                <w:color w:val="auto"/>
                <w:w w:val="99"/>
              </w:rPr>
              <w:t>Each Reporting</w:t>
            </w:r>
          </w:p>
        </w:tc>
        <w:tc>
          <w:tcPr>
            <w:tcW w:w="6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5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Person with</w:t>
            </w:r>
          </w:p>
        </w:tc>
        <w:tc>
          <w:tcPr>
            <w:tcW w:w="640" w:type="dxa"/>
            <w:vAlign w:val="bottom"/>
            <w:tcBorders>
              <w:right w:val="single" w:sz="8" w:color="auto"/>
            </w:tcBorders>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0</w:t>
            </w: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7"/>
        </w:trPr>
        <w:tc>
          <w:tcPr>
            <w:tcW w:w="4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9,001,961</w:t>
            </w:r>
          </w:p>
        </w:tc>
        <w:tc>
          <w:tcPr>
            <w:tcW w:w="0" w:type="dxa"/>
            <w:vAlign w:val="bottom"/>
          </w:tcPr>
          <w:p>
            <w:pPr>
              <w:spacing w:after="0"/>
              <w:rPr>
                <w:sz w:val="1"/>
                <w:szCs w:val="1"/>
                <w:color w:val="auto"/>
              </w:rPr>
            </w:pPr>
          </w:p>
        </w:tc>
      </w:tr>
      <w:tr>
        <w:trPr>
          <w:trHeight w:val="118"/>
        </w:trPr>
        <w:tc>
          <w:tcPr>
            <w:tcW w:w="42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11.</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9,001,961</w:t>
            </w:r>
          </w:p>
        </w:tc>
        <w:tc>
          <w:tcPr>
            <w:tcW w:w="540" w:type="dxa"/>
            <w:vAlign w:val="bottom"/>
          </w:tcPr>
          <w:p>
            <w:pPr>
              <w:spacing w:after="0"/>
              <w:rPr>
                <w:sz w:val="24"/>
                <w:szCs w:val="24"/>
                <w:color w:val="auto"/>
              </w:rPr>
            </w:pP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12.</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321"/>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13.</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5"/>
              </w:rPr>
              <w:t>14.</w:t>
            </w:r>
          </w:p>
        </w:tc>
        <w:tc>
          <w:tcPr>
            <w:tcW w:w="48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CO</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hanging="4"/>
        <w:spacing w:after="0" w:line="271" w:lineRule="auto"/>
        <w:tabs>
          <w:tab w:leader="none" w:pos="12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182,158,820 shares of Class A Common Stock outstanding as of October 18, 2022, as reported in the Issuer’s Form 10-Q filed with the SEC on October 20, 2022.</w:t>
      </w:r>
    </w:p>
    <w:p>
      <w:pPr>
        <w:sectPr>
          <w:pgSz w:w="11900" w:h="16838" w:orient="portrait"/>
          <w:cols w:equalWidth="0" w:num="1">
            <w:col w:w="11004"/>
          </w:cols>
          <w:pgMar w:left="436" w:top="268"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12"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This Amendment No. 7 to Schedule 13D (this “</w:t>
      </w:r>
      <w:r>
        <w:rPr>
          <w:rFonts w:ascii="Arial" w:cs="Arial" w:eastAsia="Arial" w:hAnsi="Arial"/>
          <w:sz w:val="18"/>
          <w:szCs w:val="18"/>
          <w:b w:val="1"/>
          <w:bCs w:val="1"/>
          <w:color w:val="auto"/>
        </w:rPr>
        <w:t>Amendment No. 7</w:t>
      </w:r>
      <w:r>
        <w:rPr>
          <w:rFonts w:ascii="Arial" w:cs="Arial" w:eastAsia="Arial" w:hAnsi="Arial"/>
          <w:sz w:val="18"/>
          <w:szCs w:val="18"/>
          <w:color w:val="auto"/>
        </w:rPr>
        <w:t>”) amends and supplements the Schedule 13D filed with the SEC on January 11, 2021, as amended by Amendment No. 1 to Schedule 13D, filed on September 29, 2021, Amendment No. 2 to Schedule 13D, filed on November 9, 2021, Amendment No. 3 to Schedule 13D, filed on March 3, 2022, Amendment No. 4 to Schedule 13D, filed on May 5, 2022, Amendment No. 5 to Schedule 13D, filed on June 10, 2022, and Amendment No. 6 to Schedule 13D, filed on October 26, 2022 (the “</w:t>
      </w:r>
      <w:r>
        <w:rPr>
          <w:rFonts w:ascii="Arial" w:cs="Arial" w:eastAsia="Arial" w:hAnsi="Arial"/>
          <w:sz w:val="18"/>
          <w:szCs w:val="18"/>
          <w:b w:val="1"/>
          <w:bCs w:val="1"/>
          <w:color w:val="auto"/>
        </w:rPr>
        <w:t>Current Schedule 13D</w:t>
      </w:r>
      <w:r>
        <w:rPr>
          <w:rFonts w:ascii="Arial" w:cs="Arial" w:eastAsia="Arial" w:hAnsi="Arial"/>
          <w:sz w:val="18"/>
          <w:szCs w:val="18"/>
          <w:color w:val="auto"/>
        </w:rPr>
        <w:t>”), relating to the Class A common stock, par value $0.01 per share (the “</w:t>
      </w:r>
      <w:r>
        <w:rPr>
          <w:rFonts w:ascii="Arial" w:cs="Arial" w:eastAsia="Arial" w:hAnsi="Arial"/>
          <w:sz w:val="18"/>
          <w:szCs w:val="18"/>
          <w:b w:val="1"/>
          <w:bCs w:val="1"/>
          <w:color w:val="auto"/>
        </w:rPr>
        <w:t>Common A Shares</w:t>
      </w:r>
      <w:r>
        <w:rPr>
          <w:rFonts w:ascii="Arial" w:cs="Arial" w:eastAsia="Arial" w:hAnsi="Arial"/>
          <w:sz w:val="18"/>
          <w:szCs w:val="18"/>
          <w:color w:val="auto"/>
        </w:rPr>
        <w:t>”), of Liberty Energy Inc. (the “</w:t>
      </w:r>
      <w:r>
        <w:rPr>
          <w:rFonts w:ascii="Arial" w:cs="Arial" w:eastAsia="Arial" w:hAnsi="Arial"/>
          <w:sz w:val="18"/>
          <w:szCs w:val="18"/>
          <w:b w:val="1"/>
          <w:bCs w:val="1"/>
          <w:color w:val="auto"/>
        </w:rPr>
        <w:t>Issuer</w:t>
      </w:r>
      <w:r>
        <w:rPr>
          <w:rFonts w:ascii="Arial" w:cs="Arial" w:eastAsia="Arial" w:hAnsi="Arial"/>
          <w:sz w:val="18"/>
          <w:szCs w:val="18"/>
          <w:color w:val="auto"/>
        </w:rPr>
        <w:t>”), formerly known as Liberty Oilfield Services Inc. Capitalized terms used herein without definition shall have the meaning set forth in the Current Schedule 13D.</w:t>
      </w: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 in Securities of the Issuer.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Current Schedule 13D is hereby amended and restated in its entirety as follows:</w:t>
      </w:r>
    </w:p>
    <w:p>
      <w:pPr>
        <w:spacing w:after="0" w:line="239" w:lineRule="exact"/>
        <w:rPr>
          <w:sz w:val="20"/>
          <w:szCs w:val="20"/>
          <w:color w:val="auto"/>
        </w:rPr>
      </w:pPr>
    </w:p>
    <w:p>
      <w:pPr>
        <w:jc w:val="both"/>
        <w:ind w:left="1180" w:hanging="644"/>
        <w:spacing w:after="0" w:line="242"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the date hereof, STC directly holds 9,001,961 Common A Shares, constituting approximately 4.9% of the 182,158,820 Common A Shares outstanding as of October 18, 2022, as reported in the Issuer’s Quarterly Report on Form 10-Q filed with the SEC on October 20, 2022. Since SHC controls STC, it is deemed to beneficially own the Common A Shares held directly by STC. Since Schlumberger BV controls SHC, it is deemed to beneficially own the Common A Shares held directly by STC. Since Schlumberger Limited controls Schlumberger BV, it is deemed to beneficially own the Common A Shares held directly by STC.</w:t>
      </w:r>
    </w:p>
    <w:p>
      <w:pPr>
        <w:spacing w:after="0" w:line="205" w:lineRule="exact"/>
        <w:rPr>
          <w:rFonts w:ascii="Arial" w:cs="Arial" w:eastAsia="Arial" w:hAnsi="Arial"/>
          <w:sz w:val="18"/>
          <w:szCs w:val="18"/>
          <w:color w:val="auto"/>
        </w:rPr>
      </w:pPr>
    </w:p>
    <w:p>
      <w:pPr>
        <w:ind w:left="1180" w:right="20" w:hanging="644"/>
        <w:spacing w:after="0" w:line="271"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Limited, Schlumberger BV, SHC and STC have shared voting power and shared dispositive power over the Common A Shares held directly by STC.</w:t>
      </w:r>
    </w:p>
    <w:p>
      <w:pPr>
        <w:spacing w:after="0" w:line="180" w:lineRule="exact"/>
        <w:rPr>
          <w:rFonts w:ascii="Arial" w:cs="Arial" w:eastAsia="Arial" w:hAnsi="Arial"/>
          <w:sz w:val="18"/>
          <w:szCs w:val="18"/>
          <w:color w:val="auto"/>
        </w:rPr>
      </w:pPr>
    </w:p>
    <w:p>
      <w:pPr>
        <w:ind w:left="1180" w:right="20" w:hanging="644"/>
        <w:spacing w:after="0" w:line="271"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October 24, 2022, STC sold 12,367,500 Common A Shares at a price of $15.33 per share pursuant to Rule 144 under the Securities Act of 1933, as amended, for aggregate consideration of $189,593,775.00.</w:t>
      </w:r>
    </w:p>
    <w:p>
      <w:pPr>
        <w:spacing w:after="0" w:line="154" w:lineRule="exact"/>
        <w:rPr>
          <w:sz w:val="20"/>
          <w:szCs w:val="20"/>
          <w:color w:val="auto"/>
        </w:rPr>
      </w:pPr>
    </w:p>
    <w:p>
      <w:pPr>
        <w:ind w:left="1200"/>
        <w:spacing w:after="0" w:line="271" w:lineRule="auto"/>
        <w:rPr>
          <w:sz w:val="20"/>
          <w:szCs w:val="20"/>
          <w:color w:val="auto"/>
        </w:rPr>
      </w:pPr>
      <w:r>
        <w:rPr>
          <w:rFonts w:ascii="Arial" w:cs="Arial" w:eastAsia="Arial" w:hAnsi="Arial"/>
          <w:sz w:val="18"/>
          <w:szCs w:val="18"/>
          <w:color w:val="auto"/>
        </w:rPr>
        <w:t>On November 15, 2022, Issuer repurchased from STC 1,700,000 Common A Shares at a price per share of $16.35, or aggregate consideration of $27,795,000. The Issuer cancelled and retired such repurchased shares.</w:t>
      </w:r>
    </w:p>
    <w:p>
      <w:pPr>
        <w:spacing w:after="0" w:line="181" w:lineRule="exact"/>
        <w:rPr>
          <w:sz w:val="20"/>
          <w:szCs w:val="20"/>
          <w:color w:val="auto"/>
        </w:rPr>
      </w:pPr>
    </w:p>
    <w:p>
      <w:pPr>
        <w:jc w:val="both"/>
        <w:ind w:left="1180" w:right="20" w:hanging="644"/>
        <w:spacing w:after="0" w:line="24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Reporting Persons have the right to receive distributions from, or proceeds from the sale of, the Common A Shares reported herein. Except as set forth in the preceding sentence, no other person is known by the Reporting Persons to have the right to receive or the power to direct the receipt of distributions from, or the proceeds from the sale of, Common A Shares beneficially owned by the Reporting Persons.</w:t>
      </w:r>
    </w:p>
    <w:p>
      <w:pPr>
        <w:spacing w:after="0" w:line="200" w:lineRule="exact"/>
        <w:rPr>
          <w:rFonts w:ascii="Arial" w:cs="Arial" w:eastAsia="Arial" w:hAnsi="Arial"/>
          <w:sz w:val="18"/>
          <w:szCs w:val="18"/>
          <w:color w:val="auto"/>
        </w:rPr>
      </w:pPr>
    </w:p>
    <w:p>
      <w:pPr>
        <w:ind w:left="1180" w:right="20" w:hanging="644"/>
        <w:spacing w:after="0" w:line="271"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November 15, 2022, the Reporting Persons ceased to be the beneficial owners of more than five percent of the Common A Shares.</w:t>
      </w:r>
    </w:p>
    <w:p>
      <w:pPr>
        <w:sectPr>
          <w:pgSz w:w="11900" w:h="16838" w:orient="portrait"/>
          <w:cols w:equalWidth="0" w:num="1">
            <w:col w:w="11020"/>
          </w:cols>
          <w:pgMar w:left="440" w:top="269"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2022</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12"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Samantha Blons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8890</wp:posOffset>
            </wp:positionV>
            <wp:extent cx="2374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Samantha Blons</w:t>
      </w:r>
    </w:p>
    <w:p>
      <w:pPr>
        <w:spacing w:after="0" w:line="4"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tab/>
        <w:t>Assistant Secretary</w:t>
      </w:r>
    </w:p>
    <w:p>
      <w:pPr>
        <w:spacing w:after="0" w:line="200" w:lineRule="exact"/>
        <w:rPr>
          <w:sz w:val="20"/>
          <w:szCs w:val="20"/>
          <w:color w:val="auto"/>
        </w:rPr>
      </w:pPr>
    </w:p>
    <w:p>
      <w:pPr>
        <w:spacing w:after="0" w:line="21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B.V.</w:t>
      </w:r>
    </w:p>
    <w:p>
      <w:pPr>
        <w:spacing w:after="0" w:line="212"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Eileen Hardell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8890</wp:posOffset>
            </wp:positionV>
            <wp:extent cx="2374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Eileen Hardell</w:t>
      </w:r>
    </w:p>
    <w:p>
      <w:pPr>
        <w:spacing w:after="0" w:line="4"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tab/>
        <w:t>Secretary</w:t>
      </w:r>
    </w:p>
    <w:p>
      <w:pPr>
        <w:spacing w:after="0" w:line="200" w:lineRule="exact"/>
        <w:rPr>
          <w:sz w:val="20"/>
          <w:szCs w:val="20"/>
          <w:color w:val="auto"/>
        </w:rPr>
      </w:pPr>
    </w:p>
    <w:p>
      <w:pPr>
        <w:spacing w:after="0" w:line="21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Holdings Corporation</w:t>
      </w:r>
    </w:p>
    <w:p>
      <w:pPr>
        <w:spacing w:after="0" w:line="212"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Jeanne Morrissette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8890</wp:posOffset>
            </wp:positionV>
            <wp:extent cx="23742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Jeanne Morrissette</w:t>
      </w:r>
    </w:p>
    <w:p>
      <w:pPr>
        <w:spacing w:after="0" w:line="4"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tab/>
        <w:t>Treasurer</w:t>
      </w:r>
    </w:p>
    <w:p>
      <w:pPr>
        <w:spacing w:after="0" w:line="200" w:lineRule="exact"/>
        <w:rPr>
          <w:sz w:val="20"/>
          <w:szCs w:val="20"/>
          <w:color w:val="auto"/>
        </w:rPr>
      </w:pPr>
    </w:p>
    <w:p>
      <w:pPr>
        <w:spacing w:after="0" w:line="21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Technology Corporation</w:t>
      </w:r>
    </w:p>
    <w:p>
      <w:pPr>
        <w:spacing w:after="0" w:line="212"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Jeanne Morrissette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8890</wp:posOffset>
            </wp:positionV>
            <wp:extent cx="2374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Jeanne Morrissette</w:t>
      </w:r>
    </w:p>
    <w:p>
      <w:pPr>
        <w:spacing w:after="0" w:line="4"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tab/>
        <w:t>Treasurer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Schedule 13D/A]</w:t>
      </w:r>
    </w:p>
    <w:sectPr>
      <w:pgSz w:w="11900" w:h="16838" w:orient="portrait"/>
      <w:cols w:equalWidth="0" w:num="1">
        <w:col w:w="11020"/>
      </w:cols>
      <w:pgMar w:left="440" w:top="2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2022-11-21T15:45:18Z</dcterms:created>
  <dcterms:modified xsi:type="dcterms:W3CDTF">2022-11-21T15:45:18Z</dcterms:modified>
</cp:coreProperties>
</file>