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333-271711</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Investment S.A.</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$500,000,000 5.000% Senior Notes due 2034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21, 2024</w:t>
      </w:r>
    </w:p>
    <w:p>
      <w:pPr>
        <w:sectPr>
          <w:pgSz w:w="11900" w:h="16838" w:orient="portrait"/>
          <w:cols w:equalWidth="0" w:num="1">
            <w:col w:w="11020"/>
          </w:cols>
          <w:pgMar w:left="440" w:top="229" w:right="439" w:bottom="1440" w:gutter="0" w:footer="0" w:header="0"/>
        </w:sect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Issuer:</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Schlumberger Investment S.A.</w:t>
      </w:r>
    </w:p>
    <w:p>
      <w:pPr>
        <w:spacing w:after="0" w:line="115"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Guarantor: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Schlumberger Limited</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Issue Format: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SEC registered</w:t>
      </w:r>
    </w:p>
    <w:p>
      <w:pPr>
        <w:spacing w:after="0" w:line="115"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Guarantor Ratings (Moody’s/S&amp;P)*: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A2 (positive) / A (positive)</w:t>
      </w:r>
    </w:p>
    <w:p>
      <w:pPr>
        <w:spacing w:after="0" w:line="104" w:lineRule="exact"/>
        <w:rPr>
          <w:sz w:val="24"/>
          <w:szCs w:val="24"/>
          <w:color w:val="auto"/>
        </w:rPr>
      </w:pPr>
    </w:p>
    <w:p>
      <w:pPr>
        <w:sectPr>
          <w:pgSz w:w="11900" w:h="16838" w:orient="portrait"/>
          <w:cols w:equalWidth="0" w:num="2">
            <w:col w:w="2840" w:space="36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May 21, 2024</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May 29, 2024</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5.000% Senior Notes due 2034 (the “Notes”)</w:t>
      </w:r>
    </w:p>
    <w:p>
      <w:pPr>
        <w:spacing w:after="0" w:line="115"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Principal Amount: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$500,000,000</w:t>
      </w:r>
    </w:p>
    <w:p>
      <w:pPr>
        <w:spacing w:after="0" w:line="115"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Coupon: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5.000%</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98.332%</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June 1 and December 1, beginning December 1, 2024</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June 1, 2034</w:t>
      </w:r>
    </w:p>
    <w:p>
      <w:pPr>
        <w:spacing w:after="0" w:line="115"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Make-Whole Call: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T+15 basis points (at any time before March 1, 2034)</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Par Call: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At any time on or after March 1, 2034</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UST 4.375% due May 15, 2034</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Treasury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4.416%</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+80 basis points</w:t>
      </w:r>
    </w:p>
    <w:p>
      <w:pPr>
        <w:spacing w:after="0" w:line="104" w:lineRule="exact"/>
        <w:rPr>
          <w:sz w:val="24"/>
          <w:szCs w:val="24"/>
          <w:color w:val="auto"/>
        </w:rPr>
      </w:pPr>
    </w:p>
    <w:p>
      <w:pPr>
        <w:sectPr>
          <w:pgSz w:w="11900" w:h="16838" w:orient="portrait"/>
          <w:cols w:equalWidth="0" w:num="2">
            <w:col w:w="2540" w:space="66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Reoffer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5.216%</w:t>
      </w:r>
    </w:p>
    <w:p>
      <w:pPr>
        <w:spacing w:after="0" w:line="104"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CUSIP: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806854 AM7</w:t>
      </w:r>
    </w:p>
    <w:p>
      <w:pPr>
        <w:spacing w:after="0" w:line="115"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US806854AM76</w:t>
      </w:r>
    </w:p>
    <w:p>
      <w:pPr>
        <w:spacing w:after="0" w:line="115" w:lineRule="exact"/>
        <w:rPr>
          <w:sz w:val="24"/>
          <w:szCs w:val="24"/>
          <w:color w:val="auto"/>
        </w:rPr>
      </w:pPr>
    </w:p>
    <w:p>
      <w:pPr>
        <w:sectPr>
          <w:pgSz w:w="11900" w:h="16838" w:orient="portrait"/>
          <w:cols w:equalWidth="0" w:num="2">
            <w:col w:w="2480" w:space="720"/>
            <w:col w:w="782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Concurrent Private Placement:</w:t>
      </w:r>
    </w:p>
    <w:p>
      <w:pPr>
        <w:spacing w:after="0" w:line="20" w:lineRule="exact"/>
        <w:rPr>
          <w:sz w:val="24"/>
          <w:szCs w:val="24"/>
          <w:color w:val="auto"/>
        </w:rPr>
      </w:pPr>
      <w:r>
        <w:rPr>
          <w:sz w:val="24"/>
          <w:szCs w:val="24"/>
          <w:color w:val="auto"/>
        </w:rPr>
        <w:br w:type="column"/>
      </w:r>
    </w:p>
    <w:p>
      <w:pPr>
        <w:ind w:right="100"/>
        <w:spacing w:after="0" w:line="238" w:lineRule="auto"/>
        <w:rPr>
          <w:sz w:val="20"/>
          <w:szCs w:val="20"/>
          <w:color w:val="auto"/>
        </w:rPr>
      </w:pPr>
      <w:r>
        <w:rPr>
          <w:rFonts w:ascii="Arial" w:cs="Arial" w:eastAsia="Arial" w:hAnsi="Arial"/>
          <w:sz w:val="18"/>
          <w:szCs w:val="18"/>
          <w:color w:val="auto"/>
        </w:rPr>
        <w:t>Substantially concurrently with this offering, Schlumberger Holdings Corporation, an indirect, wholly-owned subsidiary of Schlumberger Limited, expects to price an offering of $500 million aggregate principal amount of its senior notes due 2027 and $500 million aggregate principal amount of its senior notes due 2029 (the “concurrent private placement”). The concurrent private placement is being made by means of a confidential offering memorandum only to persons reasonably believed to be qualified institutional buyers (as defined in Rule 144A under the Securities Act of 1933, as amended) and persons outside the United States as defined in and pursuant to Regulation S under the Securities Act of 1933, as amended, and not by means of the prospectus supplement and accompanying prospectus to which this pricing term sheet relates. This communication is not an offer of any securities of Schlumberger Holdings Corporation. The concurrent offering may not be completed, and the completion of the concurrent offering is not a condition to the completion of the offering of the Notes or vice versa.</w:t>
      </w:r>
    </w:p>
    <w:p>
      <w:pPr>
        <w:sectPr>
          <w:pgSz w:w="11900" w:h="16838" w:orient="portrait"/>
          <w:cols w:equalWidth="0" w:num="2">
            <w:col w:w="2480" w:space="720"/>
            <w:col w:w="7820"/>
          </w:cols>
          <w:pgMar w:left="440" w:top="229"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-205740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234" w:lineRule="auto"/>
        <w:rPr>
          <w:sz w:val="20"/>
          <w:szCs w:val="20"/>
          <w:color w:val="auto"/>
        </w:rPr>
      </w:pPr>
      <w:r>
        <w:rPr>
          <w:rFonts w:ascii="Arial" w:cs="Arial" w:eastAsia="Arial" w:hAnsi="Arial"/>
          <w:sz w:val="18"/>
          <w:szCs w:val="18"/>
          <w:color w:val="auto"/>
        </w:rPr>
        <w:t>J.P. Morgan Securities LLC</w:t>
      </w:r>
    </w:p>
    <w:p>
      <w:pPr>
        <w:spacing w:after="0" w:line="235" w:lineRule="auto"/>
        <w:rPr>
          <w:sz w:val="20"/>
          <w:szCs w:val="20"/>
          <w:color w:val="auto"/>
        </w:rPr>
      </w:pPr>
      <w:r>
        <w:rPr>
          <w:rFonts w:ascii="Arial" w:cs="Arial" w:eastAsia="Arial" w:hAnsi="Arial"/>
          <w:sz w:val="18"/>
          <w:szCs w:val="18"/>
          <w:color w:val="auto"/>
        </w:rPr>
        <w:t>BBVA Securities Inc.</w:t>
      </w:r>
    </w:p>
    <w:p>
      <w:pPr>
        <w:spacing w:after="0" w:line="235" w:lineRule="auto"/>
        <w:rPr>
          <w:sz w:val="20"/>
          <w:szCs w:val="20"/>
          <w:color w:val="auto"/>
        </w:rPr>
      </w:pPr>
      <w:r>
        <w:rPr>
          <w:rFonts w:ascii="Arial" w:cs="Arial" w:eastAsia="Arial" w:hAnsi="Arial"/>
          <w:sz w:val="18"/>
          <w:szCs w:val="18"/>
          <w:color w:val="auto"/>
        </w:rPr>
        <w:t>Goldman Sachs &amp; Co. LLC</w:t>
      </w:r>
    </w:p>
    <w:p>
      <w:pPr>
        <w:spacing w:after="0" w:line="235" w:lineRule="auto"/>
        <w:rPr>
          <w:sz w:val="20"/>
          <w:szCs w:val="20"/>
          <w:color w:val="auto"/>
        </w:rPr>
      </w:pPr>
      <w:r>
        <w:rPr>
          <w:rFonts w:ascii="Arial" w:cs="Arial" w:eastAsia="Arial" w:hAnsi="Arial"/>
          <w:sz w:val="18"/>
          <w:szCs w:val="18"/>
          <w:color w:val="auto"/>
        </w:rPr>
        <w:t>Morgan Stanley &amp; Co. LLC</w:t>
      </w:r>
    </w:p>
    <w:p>
      <w:pPr>
        <w:spacing w:after="0"/>
        <w:rPr>
          <w:sz w:val="20"/>
          <w:szCs w:val="20"/>
          <w:color w:val="auto"/>
        </w:rPr>
      </w:pPr>
      <w:r>
        <w:rPr>
          <w:rFonts w:ascii="Arial" w:cs="Arial" w:eastAsia="Arial" w:hAnsi="Arial"/>
          <w:sz w:val="17"/>
          <w:szCs w:val="17"/>
          <w:color w:val="auto"/>
        </w:rPr>
        <w:t>SG Americas Securities,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Standard Chartered Bank</w:t>
      </w:r>
    </w:p>
    <w:p>
      <w:pPr>
        <w:spacing w:after="0" w:line="99" w:lineRule="exact"/>
        <w:rPr>
          <w:sz w:val="20"/>
          <w:szCs w:val="20"/>
          <w:color w:val="auto"/>
        </w:rPr>
      </w:pPr>
    </w:p>
    <w:p>
      <w:pPr>
        <w:sectPr>
          <w:pgSz w:w="11900" w:h="16838" w:orient="portrait"/>
          <w:cols w:equalWidth="0" w:num="2">
            <w:col w:w="2484" w:space="720"/>
            <w:col w:w="7740"/>
          </w:cols>
          <w:pgMar w:left="436" w:top="269" w:right="519" w:bottom="1440" w:gutter="0" w:footer="0" w:header="0"/>
        </w:sectPr>
      </w:pPr>
    </w:p>
    <w:p>
      <w:pPr>
        <w:ind w:left="4"/>
        <w:spacing w:after="0"/>
        <w:rPr>
          <w:sz w:val="20"/>
          <w:szCs w:val="20"/>
          <w:color w:val="auto"/>
        </w:rPr>
      </w:pPr>
      <w:r>
        <w:rPr>
          <w:rFonts w:ascii="Arial" w:cs="Arial" w:eastAsia="Arial" w:hAnsi="Arial"/>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4" w:lineRule="auto"/>
        <w:rPr>
          <w:sz w:val="20"/>
          <w:szCs w:val="20"/>
          <w:color w:val="auto"/>
        </w:rPr>
      </w:pPr>
      <w:r>
        <w:rPr>
          <w:rFonts w:ascii="Arial" w:cs="Arial" w:eastAsia="Arial" w:hAnsi="Arial"/>
          <w:sz w:val="18"/>
          <w:szCs w:val="18"/>
          <w:color w:val="auto"/>
        </w:rPr>
        <w:t>Deutsche Bank Securities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MUFG Securities Americas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UniCredit Capital Markets LLC</w:t>
      </w:r>
    </w:p>
    <w:p>
      <w:pPr>
        <w:spacing w:after="0" w:line="200" w:lineRule="exact"/>
        <w:rPr>
          <w:sz w:val="20"/>
          <w:szCs w:val="20"/>
          <w:color w:val="auto"/>
        </w:rPr>
      </w:pPr>
    </w:p>
    <w:p>
      <w:pPr>
        <w:sectPr>
          <w:pgSz w:w="11900" w:h="16838" w:orient="portrait"/>
          <w:cols w:equalWidth="0" w:num="2">
            <w:col w:w="2484" w:space="720"/>
            <w:col w:w="7740"/>
          </w:cols>
          <w:pgMar w:left="436" w:top="269" w:right="519" w:bottom="1440" w:gutter="0" w:footer="0" w:header="0"/>
          <w:type w:val="continuous"/>
        </w:sectPr>
      </w:pPr>
    </w:p>
    <w:p>
      <w:pPr>
        <w:spacing w:after="0" w:line="158" w:lineRule="exact"/>
        <w:rPr>
          <w:sz w:val="20"/>
          <w:szCs w:val="20"/>
          <w:color w:val="auto"/>
        </w:rPr>
      </w:pPr>
    </w:p>
    <w:p>
      <w:pPr>
        <w:ind w:left="424" w:right="820" w:hanging="424"/>
        <w:spacing w:after="0" w:line="278" w:lineRule="auto"/>
        <w:tabs>
          <w:tab w:leader="none" w:pos="424"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A securities rating is not a recommendation to buy, sell or hold securities and may be subject to revision or withdrawal at any time.</w:t>
      </w:r>
    </w:p>
    <w:p>
      <w:pPr>
        <w:spacing w:after="0" w:line="4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and Sale of the Notes</w:t>
      </w:r>
    </w:p>
    <w:p>
      <w:pPr>
        <w:spacing w:after="0" w:line="212" w:lineRule="exact"/>
        <w:rPr>
          <w:sz w:val="20"/>
          <w:szCs w:val="20"/>
          <w:color w:val="auto"/>
        </w:rPr>
      </w:pPr>
    </w:p>
    <w:p>
      <w:pPr>
        <w:ind w:left="4"/>
        <w:spacing w:after="0" w:line="247" w:lineRule="auto"/>
        <w:rPr>
          <w:sz w:val="20"/>
          <w:szCs w:val="20"/>
          <w:color w:val="auto"/>
        </w:rPr>
      </w:pPr>
      <w:r>
        <w:rPr>
          <w:rFonts w:ascii="Arial" w:cs="Arial" w:eastAsia="Arial" w:hAnsi="Arial"/>
          <w:sz w:val="18"/>
          <w:szCs w:val="18"/>
          <w:color w:val="auto"/>
        </w:rPr>
        <w:t>The Issuer expects to deliver the Notes against payment for the Notes on or about May 29, 2024 which will be the fifth business day following May 21, 2024,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T+5, to specify alternative settlement arrangements to prevent a failed settlement.</w:t>
      </w:r>
    </w:p>
    <w:p>
      <w:pPr>
        <w:spacing w:after="0" w:line="174" w:lineRule="exact"/>
        <w:rPr>
          <w:sz w:val="20"/>
          <w:szCs w:val="20"/>
          <w:color w:val="auto"/>
        </w:rPr>
      </w:pPr>
    </w:p>
    <w:p>
      <w:pPr>
        <w:ind w:left="4" w:right="20"/>
        <w:spacing w:after="0" w:line="244" w:lineRule="auto"/>
        <w:rPr>
          <w:sz w:val="20"/>
          <w:szCs w:val="20"/>
          <w:color w:val="auto"/>
        </w:rPr>
      </w:pPr>
      <w:r>
        <w:rPr>
          <w:rFonts w:ascii="Arial" w:cs="Arial" w:eastAsia="Arial" w:hAnsi="Arial"/>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contacting Citigroup Global Markets Inc. toll-free at 1-800-831-9146, HSBC Securities (USA) Inc. toll-free at 1-866-811-8049, J.P. Morgan Securities LLC collect at 1-212-834-4533.</w:t>
      </w:r>
    </w:p>
    <w:p>
      <w:pPr>
        <w:spacing w:after="0" w:line="170" w:lineRule="exact"/>
        <w:rPr>
          <w:sz w:val="20"/>
          <w:szCs w:val="20"/>
          <w:color w:val="auto"/>
        </w:rPr>
      </w:pPr>
    </w:p>
    <w:p>
      <w:pPr>
        <w:jc w:val="both"/>
        <w:ind w:left="4" w:right="100"/>
        <w:spacing w:after="0" w:line="256" w:lineRule="auto"/>
        <w:rPr>
          <w:sz w:val="20"/>
          <w:szCs w:val="20"/>
          <w:color w:val="auto"/>
        </w:rPr>
      </w:pPr>
      <w:r>
        <w:rPr>
          <w:rFonts w:ascii="Arial" w:cs="Arial" w:eastAsia="Arial" w:hAnsi="Arial"/>
          <w:sz w:val="18"/>
          <w:szCs w:val="18"/>
          <w:b w:val="1"/>
          <w:bCs w:val="1"/>
          <w:i w:val="1"/>
          <w:i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9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sectPr>
      <w:pgSz w:w="11900" w:h="16838" w:orient="portrait"/>
      <w:cols w:equalWidth="0" w:num="1">
        <w:col w:w="10944"/>
      </w:cols>
      <w:pgMar w:left="436" w:top="26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2024-05-21T16:27:56Z</dcterms:created>
  <dcterms:modified xsi:type="dcterms:W3CDTF">2024-05-21T16:27:56Z</dcterms:modified>
</cp:coreProperties>
</file>