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6"/>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44" w:lineRule="exact"/>
        <w:rPr>
          <w:sz w:val="24"/>
          <w:szCs w:val="24"/>
          <w:color w:val="auto"/>
        </w:rPr>
      </w:pPr>
    </w:p>
    <w:p>
      <w:pPr>
        <w:jc w:val="center"/>
        <w:ind w:right="16"/>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6"/>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203835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73" w:lineRule="exact"/>
        <w:rPr>
          <w:sz w:val="24"/>
          <w:szCs w:val="24"/>
          <w:color w:val="auto"/>
        </w:rPr>
      </w:pPr>
    </w:p>
    <w:p>
      <w:pPr>
        <w:jc w:val="center"/>
        <w:ind w:right="16"/>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231140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5" w:lineRule="exact"/>
        <w:rPr>
          <w:sz w:val="24"/>
          <w:szCs w:val="24"/>
          <w:color w:val="auto"/>
        </w:rPr>
      </w:pPr>
    </w:p>
    <w:p>
      <w:pPr>
        <w:jc w:val="center"/>
        <w:ind w:right="16"/>
        <w:spacing w:after="0"/>
        <w:rPr>
          <w:sz w:val="20"/>
          <w:szCs w:val="20"/>
          <w:color w:val="auto"/>
        </w:rPr>
      </w:pPr>
      <w:r>
        <w:rPr>
          <w:rFonts w:ascii="Arial" w:cs="Arial" w:eastAsia="Arial" w:hAnsi="Arial"/>
          <w:sz w:val="22"/>
          <w:szCs w:val="22"/>
          <w:b w:val="1"/>
          <w:bCs w:val="1"/>
          <w:color w:val="auto"/>
        </w:rPr>
        <w:t>CURRENT REPORT</w:t>
      </w:r>
    </w:p>
    <w:p>
      <w:pPr>
        <w:spacing w:after="0" w:line="2" w:lineRule="exact"/>
        <w:rPr>
          <w:sz w:val="24"/>
          <w:szCs w:val="24"/>
          <w:color w:val="auto"/>
        </w:rPr>
      </w:pPr>
    </w:p>
    <w:p>
      <w:pPr>
        <w:jc w:val="center"/>
        <w:ind w:right="16"/>
        <w:spacing w:after="0"/>
        <w:rPr>
          <w:sz w:val="20"/>
          <w:szCs w:val="20"/>
          <w:color w:val="auto"/>
        </w:rPr>
      </w:pPr>
      <w:r>
        <w:rPr>
          <w:rFonts w:ascii="Arial" w:cs="Arial" w:eastAsia="Arial" w:hAnsi="Arial"/>
          <w:sz w:val="22"/>
          <w:szCs w:val="22"/>
          <w:b w:val="1"/>
          <w:bCs w:val="1"/>
          <w:color w:val="auto"/>
        </w:rPr>
        <w:t>Pursuant to Section 13 or 15(d)</w:t>
      </w:r>
    </w:p>
    <w:p>
      <w:pPr>
        <w:jc w:val="center"/>
        <w:ind w:right="16"/>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57" w:lineRule="exact"/>
        <w:rPr>
          <w:sz w:val="24"/>
          <w:szCs w:val="24"/>
          <w:color w:val="auto"/>
        </w:rPr>
      </w:pPr>
    </w:p>
    <w:p>
      <w:pPr>
        <w:jc w:val="center"/>
        <w:ind w:right="16"/>
        <w:spacing w:after="0"/>
        <w:rPr>
          <w:sz w:val="20"/>
          <w:szCs w:val="20"/>
          <w:color w:val="auto"/>
        </w:rPr>
      </w:pPr>
      <w:r>
        <w:rPr>
          <w:rFonts w:ascii="Arial" w:cs="Arial" w:eastAsia="Arial" w:hAnsi="Arial"/>
          <w:sz w:val="22"/>
          <w:szCs w:val="22"/>
          <w:b w:val="1"/>
          <w:bCs w:val="1"/>
          <w:color w:val="auto"/>
        </w:rPr>
        <w:t>Date of Report (Date of earliest event reported): October 12,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217805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68" w:lineRule="exact"/>
        <w:rPr>
          <w:sz w:val="24"/>
          <w:szCs w:val="24"/>
          <w:color w:val="auto"/>
        </w:rPr>
      </w:pPr>
    </w:p>
    <w:p>
      <w:pPr>
        <w:jc w:val="center"/>
        <w:ind w:right="16"/>
        <w:spacing w:after="0"/>
        <w:rPr>
          <w:sz w:val="20"/>
          <w:szCs w:val="20"/>
          <w:color w:val="auto"/>
        </w:rPr>
      </w:pPr>
      <w:r>
        <w:rPr>
          <w:rFonts w:ascii="Arial" w:cs="Arial" w:eastAsia="Arial" w:hAnsi="Arial"/>
          <w:sz w:val="43"/>
          <w:szCs w:val="43"/>
          <w:b w:val="1"/>
          <w:bCs w:val="1"/>
          <w:color w:val="auto"/>
        </w:rPr>
        <w:t>SLB N.V. (SLB LIMITED)</w:t>
      </w:r>
    </w:p>
    <w:p>
      <w:pPr>
        <w:spacing w:after="0" w:line="48" w:lineRule="exact"/>
        <w:rPr>
          <w:sz w:val="24"/>
          <w:szCs w:val="24"/>
          <w:color w:val="auto"/>
        </w:rPr>
      </w:pPr>
    </w:p>
    <w:p>
      <w:pPr>
        <w:jc w:val="center"/>
        <w:ind w:right="16"/>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212090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460" w:right="439" w:bottom="1440" w:gutter="0" w:footer="0" w:header="0"/>
        </w:sectPr>
      </w:pPr>
    </w:p>
    <w:p>
      <w:pPr>
        <w:spacing w:after="0" w:line="200" w:lineRule="exact"/>
        <w:rPr>
          <w:sz w:val="24"/>
          <w:szCs w:val="24"/>
          <w:color w:val="auto"/>
        </w:rPr>
      </w:pPr>
    </w:p>
    <w:p>
      <w:pPr>
        <w:spacing w:after="0" w:line="372" w:lineRule="exact"/>
        <w:rPr>
          <w:sz w:val="24"/>
          <w:szCs w:val="24"/>
          <w:color w:val="auto"/>
        </w:rPr>
      </w:pPr>
    </w:p>
    <w:p>
      <w:pPr>
        <w:ind w:left="1504"/>
        <w:spacing w:after="0"/>
        <w:rPr>
          <w:sz w:val="20"/>
          <w:szCs w:val="20"/>
          <w:color w:val="auto"/>
        </w:rPr>
      </w:pPr>
      <w:r>
        <w:rPr>
          <w:rFonts w:ascii="Arial" w:cs="Arial" w:eastAsia="Arial" w:hAnsi="Arial"/>
          <w:sz w:val="17"/>
          <w:szCs w:val="17"/>
          <w:b w:val="1"/>
          <w:bCs w:val="1"/>
          <w:color w:val="auto"/>
        </w:rPr>
        <w:t>Curaçao</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52" w:lineRule="exact"/>
        <w:rPr>
          <w:sz w:val="24"/>
          <w:szCs w:val="24"/>
          <w:color w:val="auto"/>
        </w:rPr>
      </w:pPr>
    </w:p>
    <w:p>
      <w:pPr>
        <w:jc w:val="center"/>
        <w:ind w:right="2160"/>
        <w:spacing w:after="0"/>
        <w:rPr>
          <w:sz w:val="20"/>
          <w:szCs w:val="20"/>
          <w:color w:val="auto"/>
        </w:rPr>
      </w:pPr>
      <w:r>
        <w:rPr>
          <w:rFonts w:ascii="Arial" w:cs="Arial" w:eastAsia="Arial" w:hAnsi="Arial"/>
          <w:sz w:val="17"/>
          <w:szCs w:val="17"/>
          <w:b w:val="1"/>
          <w:bCs w:val="1"/>
          <w:color w:val="auto"/>
        </w:rPr>
        <w:t>1-4601</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52" w:lineRule="exact"/>
        <w:rPr>
          <w:sz w:val="24"/>
          <w:szCs w:val="24"/>
          <w:color w:val="auto"/>
        </w:rPr>
      </w:pPr>
    </w:p>
    <w:p>
      <w:pPr>
        <w:spacing w:after="0"/>
        <w:rPr>
          <w:sz w:val="20"/>
          <w:szCs w:val="20"/>
          <w:color w:val="auto"/>
        </w:rPr>
      </w:pPr>
      <w:r>
        <w:rPr>
          <w:rFonts w:ascii="Arial" w:cs="Arial" w:eastAsia="Arial" w:hAnsi="Arial"/>
          <w:sz w:val="17"/>
          <w:szCs w:val="17"/>
          <w:b w:val="1"/>
          <w:bCs w:val="1"/>
          <w:color w:val="auto"/>
        </w:rPr>
        <w:t>52-0684746</w:t>
      </w:r>
    </w:p>
    <w:p>
      <w:pPr>
        <w:spacing w:after="0" w:line="32" w:lineRule="exact"/>
        <w:rPr>
          <w:sz w:val="24"/>
          <w:szCs w:val="24"/>
          <w:color w:val="auto"/>
        </w:rPr>
      </w:pPr>
    </w:p>
    <w:p>
      <w:pPr>
        <w:sectPr>
          <w:pgSz w:w="11900" w:h="16838" w:orient="portrait"/>
          <w:cols w:equalWidth="0" w:num="3">
            <w:col w:w="4624" w:space="720"/>
            <w:col w:w="2720" w:space="720"/>
            <w:col w:w="2240"/>
          </w:cols>
          <w:pgMar w:left="436" w:top="460" w:right="439" w:bottom="1440" w:gutter="0" w:footer="0" w:header="0"/>
          <w:type w:val="continuous"/>
        </w:sectPr>
      </w:pPr>
    </w:p>
    <w:p>
      <w:pPr>
        <w:jc w:val="center"/>
        <w:ind w:right="716"/>
        <w:spacing w:after="0"/>
        <w:rPr>
          <w:sz w:val="20"/>
          <w:szCs w:val="20"/>
          <w:color w:val="auto"/>
        </w:rPr>
      </w:pPr>
      <w:r>
        <w:rPr>
          <w:rFonts w:ascii="Arial" w:cs="Arial" w:eastAsia="Arial" w:hAnsi="Arial"/>
          <w:sz w:val="14"/>
          <w:szCs w:val="14"/>
          <w:b w:val="1"/>
          <w:bCs w:val="1"/>
          <w:color w:val="auto"/>
        </w:rPr>
        <w:t>(State or other jurisdiction</w:t>
      </w:r>
    </w:p>
    <w:p>
      <w:pPr>
        <w:jc w:val="center"/>
        <w:ind w:right="716"/>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b w:val="1"/>
          <w:bCs w:val="1"/>
          <w:color w:val="auto"/>
        </w:rPr>
        <w:t>(Commission</w:t>
      </w:r>
    </w:p>
    <w:p>
      <w:pPr>
        <w:ind w:left="20"/>
        <w:spacing w:after="0"/>
        <w:rPr>
          <w:sz w:val="20"/>
          <w:szCs w:val="20"/>
          <w:color w:val="auto"/>
        </w:rPr>
      </w:pPr>
      <w:r>
        <w:rPr>
          <w:rFonts w:ascii="Arial" w:cs="Arial" w:eastAsia="Arial" w:hAnsi="Arial"/>
          <w:sz w:val="14"/>
          <w:szCs w:val="14"/>
          <w:b w:val="1"/>
          <w:bCs w:val="1"/>
          <w:color w:val="auto"/>
        </w:rPr>
        <w:t>File Number)</w:t>
      </w:r>
    </w:p>
    <w:p>
      <w:pPr>
        <w:spacing w:after="0" w:line="20" w:lineRule="exact"/>
        <w:rPr>
          <w:sz w:val="24"/>
          <w:szCs w:val="24"/>
          <w:color w:val="auto"/>
        </w:rPr>
      </w:pPr>
      <w:r>
        <w:rPr>
          <w:sz w:val="24"/>
          <w:szCs w:val="24"/>
          <w:color w:val="auto"/>
        </w:rPr>
        <w:br w:type="column"/>
      </w:r>
    </w:p>
    <w:p>
      <w:pPr>
        <w:jc w:val="center"/>
        <w:ind w:right="1160"/>
        <w:spacing w:after="0"/>
        <w:rPr>
          <w:sz w:val="20"/>
          <w:szCs w:val="20"/>
          <w:color w:val="auto"/>
        </w:rPr>
      </w:pPr>
      <w:r>
        <w:rPr>
          <w:rFonts w:ascii="Arial" w:cs="Arial" w:eastAsia="Arial" w:hAnsi="Arial"/>
          <w:sz w:val="14"/>
          <w:szCs w:val="14"/>
          <w:b w:val="1"/>
          <w:bCs w:val="1"/>
          <w:color w:val="auto"/>
        </w:rPr>
        <w:t>(IRS Employer</w:t>
      </w:r>
    </w:p>
    <w:p>
      <w:pPr>
        <w:jc w:val="center"/>
        <w:ind w:right="1160"/>
        <w:spacing w:after="0"/>
        <w:rPr>
          <w:sz w:val="20"/>
          <w:szCs w:val="20"/>
          <w:color w:val="auto"/>
        </w:rPr>
      </w:pPr>
      <w:r>
        <w:rPr>
          <w:rFonts w:ascii="Arial" w:cs="Arial" w:eastAsia="Arial" w:hAnsi="Arial"/>
          <w:sz w:val="14"/>
          <w:szCs w:val="14"/>
          <w:b w:val="1"/>
          <w:bCs w:val="1"/>
          <w:color w:val="auto"/>
        </w:rPr>
        <w:t>Identification No.)</w:t>
      </w:r>
    </w:p>
    <w:p>
      <w:pPr>
        <w:spacing w:after="0" w:line="180" w:lineRule="exact"/>
        <w:rPr>
          <w:sz w:val="24"/>
          <w:szCs w:val="24"/>
          <w:color w:val="auto"/>
        </w:rPr>
      </w:pPr>
    </w:p>
    <w:p>
      <w:pPr>
        <w:sectPr>
          <w:pgSz w:w="11900" w:h="16838" w:orient="portrait"/>
          <w:cols w:equalWidth="0" w:num="3">
            <w:col w:w="4444" w:space="720"/>
            <w:col w:w="2760" w:space="720"/>
            <w:col w:w="2380"/>
          </w:cols>
          <w:pgMar w:left="436" w:top="460" w:right="439" w:bottom="1440" w:gutter="0" w:footer="0" w:header="0"/>
          <w:type w:val="continuous"/>
        </w:sectPr>
      </w:pPr>
    </w:p>
    <w:p>
      <w:pPr>
        <w:jc w:val="center"/>
        <w:ind w:right="16"/>
        <w:spacing w:after="0"/>
        <w:rPr>
          <w:sz w:val="20"/>
          <w:szCs w:val="20"/>
          <w:color w:val="auto"/>
        </w:rPr>
      </w:pPr>
      <w:r>
        <w:rPr>
          <w:rFonts w:ascii="Arial" w:cs="Arial" w:eastAsia="Arial" w:hAnsi="Arial"/>
          <w:sz w:val="18"/>
          <w:szCs w:val="18"/>
          <w:b w:val="1"/>
          <w:bCs w:val="1"/>
          <w:color w:val="auto"/>
        </w:rPr>
        <w:t>42 rue Saint-Dominique, Paris, France 75007</w:t>
      </w:r>
    </w:p>
    <w:p>
      <w:pPr>
        <w:spacing w:after="0" w:line="9" w:lineRule="exact"/>
        <w:rPr>
          <w:sz w:val="24"/>
          <w:szCs w:val="24"/>
          <w:color w:val="auto"/>
        </w:rPr>
      </w:pPr>
    </w:p>
    <w:p>
      <w:pPr>
        <w:jc w:val="center"/>
        <w:ind w:right="16"/>
        <w:spacing w:after="0"/>
        <w:rPr>
          <w:sz w:val="20"/>
          <w:szCs w:val="20"/>
          <w:color w:val="auto"/>
        </w:rPr>
      </w:pPr>
      <w:r>
        <w:rPr>
          <w:rFonts w:ascii="Arial" w:cs="Arial" w:eastAsia="Arial" w:hAnsi="Arial"/>
          <w:sz w:val="18"/>
          <w:szCs w:val="18"/>
          <w:b w:val="1"/>
          <w:bCs w:val="1"/>
          <w:color w:val="auto"/>
        </w:rPr>
        <w:t>5599 San Felipe, Houston, Texas, U.S.A. 77056</w:t>
      </w:r>
    </w:p>
    <w:p>
      <w:pPr>
        <w:jc w:val="center"/>
        <w:ind w:right="16"/>
        <w:spacing w:after="0"/>
        <w:rPr>
          <w:sz w:val="20"/>
          <w:szCs w:val="20"/>
          <w:color w:val="auto"/>
        </w:rPr>
      </w:pPr>
      <w:r>
        <w:rPr>
          <w:rFonts w:ascii="Arial" w:cs="Arial" w:eastAsia="Arial" w:hAnsi="Arial"/>
          <w:sz w:val="17"/>
          <w:szCs w:val="17"/>
          <w:b w:val="1"/>
          <w:bCs w:val="1"/>
          <w:color w:val="auto"/>
        </w:rPr>
        <w:t>62 Buckingham Gate, London, United Kingdom SW1E 6AJ</w:t>
      </w:r>
    </w:p>
    <w:p>
      <w:pPr>
        <w:spacing w:after="0" w:line="7" w:lineRule="exact"/>
        <w:rPr>
          <w:sz w:val="24"/>
          <w:szCs w:val="24"/>
          <w:color w:val="auto"/>
        </w:rPr>
      </w:pPr>
    </w:p>
    <w:p>
      <w:pPr>
        <w:jc w:val="center"/>
        <w:ind w:right="16"/>
        <w:spacing w:after="0"/>
        <w:rPr>
          <w:sz w:val="20"/>
          <w:szCs w:val="20"/>
          <w:color w:val="auto"/>
        </w:rPr>
      </w:pPr>
      <w:r>
        <w:rPr>
          <w:rFonts w:ascii="Arial" w:cs="Arial" w:eastAsia="Arial" w:hAnsi="Arial"/>
          <w:sz w:val="18"/>
          <w:szCs w:val="18"/>
          <w:b w:val="1"/>
          <w:bCs w:val="1"/>
          <w:color w:val="auto"/>
        </w:rPr>
        <w:t>Parkstraat 83, The Hague, The Netherlands 2514 JG</w:t>
      </w:r>
    </w:p>
    <w:p>
      <w:pPr>
        <w:spacing w:after="0" w:line="1" w:lineRule="exact"/>
        <w:rPr>
          <w:sz w:val="24"/>
          <w:szCs w:val="24"/>
          <w:color w:val="auto"/>
        </w:rPr>
      </w:pPr>
    </w:p>
    <w:p>
      <w:pPr>
        <w:jc w:val="center"/>
        <w:ind w:right="16"/>
        <w:spacing w:after="0"/>
        <w:rPr>
          <w:sz w:val="20"/>
          <w:szCs w:val="20"/>
          <w:color w:val="auto"/>
        </w:rPr>
      </w:pPr>
      <w:r>
        <w:rPr>
          <w:rFonts w:ascii="Arial" w:cs="Arial" w:eastAsia="Arial" w:hAnsi="Arial"/>
          <w:sz w:val="14"/>
          <w:szCs w:val="14"/>
          <w:b w:val="1"/>
          <w:bCs w:val="1"/>
          <w:color w:val="auto"/>
        </w:rPr>
        <w:t>(Addresses of principal executive offices and zip or postal codes)</w:t>
      </w:r>
    </w:p>
    <w:p>
      <w:pPr>
        <w:sectPr>
          <w:pgSz w:w="11900" w:h="16838" w:orient="portrait"/>
          <w:cols w:equalWidth="0" w:num="1">
            <w:col w:w="11024"/>
          </w:cols>
          <w:pgMar w:left="436" w:top="460" w:right="439" w:bottom="1440" w:gutter="0" w:footer="0" w:header="0"/>
          <w:type w:val="continuous"/>
        </w:sectPr>
      </w:pPr>
    </w:p>
    <w:p>
      <w:pPr>
        <w:spacing w:after="0" w:line="153"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Registrant’s telephone number in the United States, including area code: (713) 513-2000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214630</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2" w:lineRule="exact"/>
        <w:rPr>
          <w:sz w:val="24"/>
          <w:szCs w:val="24"/>
          <w:color w:val="auto"/>
        </w:rPr>
      </w:pPr>
    </w:p>
    <w:p>
      <w:pPr>
        <w:ind w:left="4" w:right="120"/>
        <w:spacing w:after="0" w:line="271"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w:t>
      </w:r>
      <w:r>
        <w:rPr>
          <w:rFonts w:ascii="Arial" w:cs="Arial" w:eastAsia="Arial" w:hAnsi="Arial"/>
          <w:sz w:val="18"/>
          <w:szCs w:val="18"/>
          <w:i w:val="1"/>
          <w:iCs w:val="1"/>
          <w:color w:val="auto"/>
        </w:rPr>
        <w:t>see</w:t>
      </w:r>
      <w:r>
        <w:rPr>
          <w:rFonts w:ascii="Arial" w:cs="Arial" w:eastAsia="Arial" w:hAnsi="Arial"/>
          <w:sz w:val="18"/>
          <w:szCs w:val="18"/>
          <w:color w:val="auto"/>
        </w:rPr>
        <w:t xml:space="preserve"> General Instruction A.2. below):</w:t>
      </w:r>
    </w:p>
    <w:p>
      <w:pPr>
        <w:spacing w:after="0" w:line="59"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185" w:lineRule="exact"/>
        <w:rPr>
          <w:sz w:val="24"/>
          <w:szCs w:val="24"/>
          <w:color w:val="auto"/>
        </w:rPr>
      </w:pPr>
    </w:p>
    <w:p>
      <w:pPr>
        <w:ind w:left="4"/>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21" w:lineRule="exact"/>
        <w:rPr>
          <w:sz w:val="24"/>
          <w:szCs w:val="24"/>
          <w:color w:val="auto"/>
        </w:rPr>
      </w:pPr>
    </w:p>
    <w:tbl>
      <w:tblPr>
        <w:tblLayout w:type="fixed"/>
        <w:tblInd w:w="4" w:type="dxa"/>
        <w:tblCellMar>
          <w:top w:w="0" w:type="dxa"/>
          <w:left w:w="0" w:type="dxa"/>
          <w:bottom w:w="0" w:type="dxa"/>
          <w:right w:w="0" w:type="dxa"/>
        </w:tblCellMar>
      </w:tblPr>
      <w:tr>
        <w:trPr>
          <w:trHeight w:val="162"/>
        </w:trPr>
        <w:tc>
          <w:tcPr>
            <w:tcW w:w="3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Trading</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rPr>
              <w:t>Name of each exchange</w:t>
            </w:r>
          </w:p>
        </w:tc>
      </w:tr>
      <w:tr>
        <w:trPr>
          <w:trHeight w:val="185"/>
        </w:trPr>
        <w:tc>
          <w:tcPr>
            <w:tcW w:w="38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Symbol(s)</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rPr>
              <w:t>on which registered</w:t>
            </w:r>
          </w:p>
        </w:tc>
      </w:tr>
      <w:tr>
        <w:trPr>
          <w:trHeight w:val="232"/>
        </w:trPr>
        <w:tc>
          <w:tcPr>
            <w:tcW w:w="37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common stock, par value $0.01 per share</w:t>
            </w:r>
          </w:p>
        </w:tc>
        <w:tc>
          <w:tcPr>
            <w:tcW w:w="120" w:type="dxa"/>
            <w:vAlign w:val="bottom"/>
          </w:tcPr>
          <w:p>
            <w:pPr>
              <w:spacing w:after="0"/>
              <w:rPr>
                <w:sz w:val="20"/>
                <w:szCs w:val="20"/>
                <w:color w:val="auto"/>
              </w:rPr>
            </w:pPr>
          </w:p>
        </w:tc>
        <w:tc>
          <w:tcPr>
            <w:tcW w:w="35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SLB</w:t>
            </w:r>
          </w:p>
        </w:tc>
        <w:tc>
          <w:tcPr>
            <w:tcW w:w="100" w:type="dxa"/>
            <w:vAlign w:val="bottom"/>
          </w:tcPr>
          <w:p>
            <w:pPr>
              <w:spacing w:after="0"/>
              <w:rPr>
                <w:sz w:val="20"/>
                <w:szCs w:val="20"/>
                <w:color w:val="auto"/>
              </w:rPr>
            </w:pPr>
          </w:p>
        </w:tc>
        <w:tc>
          <w:tcPr>
            <w:tcW w:w="35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8"/>
              </w:rPr>
              <w:t>New York Stock Exchange</w:t>
            </w:r>
          </w:p>
        </w:tc>
      </w:tr>
    </w:tbl>
    <w:p>
      <w:pPr>
        <w:spacing w:after="0" w:line="120" w:lineRule="exact"/>
        <w:rPr>
          <w:sz w:val="24"/>
          <w:szCs w:val="24"/>
          <w:color w:val="auto"/>
        </w:rPr>
      </w:pPr>
    </w:p>
    <w:p>
      <w:pPr>
        <w:ind w:left="4" w:right="660"/>
        <w:spacing w:after="0" w:line="271"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86" w:lineRule="exact"/>
        <w:rPr>
          <w:sz w:val="24"/>
          <w:szCs w:val="24"/>
          <w:color w:val="auto"/>
        </w:rPr>
      </w:pPr>
    </w:p>
    <w:p>
      <w:pPr>
        <w:ind w:left="4"/>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25" w:lineRule="exact"/>
        <w:rPr>
          <w:sz w:val="24"/>
          <w:szCs w:val="24"/>
          <w:color w:val="auto"/>
        </w:rPr>
      </w:pPr>
    </w:p>
    <w:p>
      <w:pPr>
        <w:ind w:left="4" w:right="860"/>
        <w:spacing w:after="0" w:line="233" w:lineRule="exact"/>
        <w:rPr>
          <w:sz w:val="20"/>
          <w:szCs w:val="20"/>
          <w:color w:val="auto"/>
        </w:rPr>
      </w:pPr>
      <w:r>
        <w:rPr>
          <w:rFonts w:ascii="Arial" w:cs="Arial" w:eastAsia="Arial" w:hAnsi="Arial"/>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128905</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171450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460" w:right="439" w:bottom="1440" w:gutter="0" w:footer="0" w:header="0"/>
          <w:type w:val="continuous"/>
        </w:sectPr>
      </w:pPr>
    </w:p>
    <w:bookmarkStart w:id="1" w:name="page2"/>
    <w:bookmarkEnd w:id="1"/>
    <w:p>
      <w:pPr>
        <w:spacing w:after="0" w:line="281"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5.02 Departure of Directors or Certain Officers; Election of Directors; Appointment of Certain Officers; Compensatory Arrangements of Certain Officers.</w:t>
      </w:r>
    </w:p>
    <w:p>
      <w:pPr>
        <w:spacing w:after="0" w:line="28" w:lineRule="exact"/>
        <w:rPr>
          <w:sz w:val="20"/>
          <w:szCs w:val="20"/>
          <w:color w:val="auto"/>
        </w:rPr>
      </w:pPr>
    </w:p>
    <w:p>
      <w:pPr>
        <w:ind w:right="40" w:firstLine="440"/>
        <w:spacing w:after="0" w:line="271" w:lineRule="auto"/>
        <w:rPr>
          <w:sz w:val="20"/>
          <w:szCs w:val="20"/>
          <w:color w:val="auto"/>
        </w:rPr>
      </w:pPr>
      <w:r>
        <w:rPr>
          <w:rFonts w:ascii="Arial" w:cs="Arial" w:eastAsia="Arial" w:hAnsi="Arial"/>
          <w:sz w:val="18"/>
          <w:szCs w:val="18"/>
          <w:color w:val="auto"/>
        </w:rPr>
        <w:t>On October 12, 2025, Ms. Mamatha Chamarthi resigned from the Board of Directors of SLB Limited (“SLB”). Ms. Chamarthi’s resignation is not a result of any disagreement with SLB.</w:t>
      </w:r>
    </w:p>
    <w:p>
      <w:pPr>
        <w:sectPr>
          <w:pgSz w:w="11900" w:h="16838" w:orient="portrait"/>
          <w:cols w:equalWidth="0" w:num="1">
            <w:col w:w="10420"/>
          </w:cols>
          <w:pgMar w:left="440" w:top="296" w:right="1039" w:bottom="1440" w:gutter="0" w:footer="0" w:header="0"/>
        </w:sectPr>
      </w:pPr>
    </w:p>
    <w:bookmarkStart w:id="2" w:name="page3"/>
    <w:bookmarkEnd w:id="2"/>
    <w:p>
      <w:pPr>
        <w:jc w:val="center"/>
        <w:ind w:right="-1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SIGNATURES</w:t>
      </w:r>
    </w:p>
    <w:p>
      <w:pPr>
        <w:spacing w:after="0" w:line="212" w:lineRule="exact"/>
        <w:rPr>
          <w:sz w:val="20"/>
          <w:szCs w:val="20"/>
          <w:color w:val="auto"/>
        </w:rPr>
      </w:pPr>
    </w:p>
    <w:p>
      <w:pPr>
        <w:ind w:firstLine="440"/>
        <w:spacing w:after="0" w:line="27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SLB LIMITED</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/s/ Dianne B. Ralston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8890</wp:posOffset>
            </wp:positionV>
            <wp:extent cx="279463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color w:val="auto"/>
        </w:rPr>
        <w:t>Dianne B. Ralston</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color w:val="auto"/>
        </w:rPr>
        <w:t>Chief Legal Officer and Secretary</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Date: October 15, 2025</w:t>
      </w:r>
    </w:p>
    <w:sectPr>
      <w:pgSz w:w="11900" w:h="16838" w:orient="portrait"/>
      <w:cols w:equalWidth="0" w:num="1">
        <w:col w:w="10840"/>
      </w:cols>
      <w:pgMar w:left="440" w:top="296" w:right="6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2025-10-15T05:19:46Z</dcterms:created>
  <dcterms:modified xsi:type="dcterms:W3CDTF">2025-10-15T05:19:46Z</dcterms:modified>
</cp:coreProperties>
</file>