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Schorn Patrick</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460" w:type="dxa"/>
            <w:vAlign w:val="bottom"/>
            <w:tcBorders>
              <w:top w:val="single" w:sz="8" w:color="0000EE"/>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01/18/2019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EVP Wells</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jc w:val="center"/>
              <w:ind w:left="4"/>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44,015</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7"/>
              <w:spacing w:after="0"/>
              <w:rPr>
                <w:sz w:val="20"/>
                <w:szCs w:val="20"/>
                <w:color w:val="auto"/>
              </w:rPr>
            </w:pPr>
            <w:r>
              <w:rPr>
                <w:rFonts w:ascii="Arial" w:cs="Arial" w:eastAsia="Arial" w:hAnsi="Arial"/>
                <w:sz w:val="18"/>
                <w:szCs w:val="18"/>
                <w:color w:val="0000FF"/>
                <w:w w:val="87"/>
              </w:rPr>
              <w:t>79,015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48,000</w:t>
            </w:r>
            <w:r>
              <w:rPr>
                <w:rFonts w:ascii="Arial" w:cs="Arial" w:eastAsia="Arial" w:hAnsi="Arial"/>
                <w:sz w:val="22"/>
                <w:szCs w:val="22"/>
                <w:color w:val="008000"/>
                <w:w w:val="84"/>
                <w:vertAlign w:val="superscript"/>
              </w:rPr>
              <w:t>(2)</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127,015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Pr>
          <w:p>
            <w:pPr>
              <w:jc w:val="center"/>
              <w:ind w:left="169"/>
              <w:spacing w:after="0"/>
              <w:rPr>
                <w:sz w:val="20"/>
                <w:szCs w:val="20"/>
                <w:color w:val="auto"/>
              </w:rPr>
            </w:pPr>
            <w:r>
              <w:rPr>
                <w:rFonts w:ascii="Arial" w:cs="Arial" w:eastAsia="Arial" w:hAnsi="Arial"/>
                <w:sz w:val="18"/>
                <w:szCs w:val="18"/>
                <w:color w:val="0000FF"/>
                <w:w w:val="88"/>
              </w:rPr>
              <w:t>8,000</w:t>
            </w:r>
          </w:p>
        </w:tc>
        <w:tc>
          <w:tcPr>
            <w:tcW w:w="34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43.97</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119,015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18, 2019 upon achievement of the performance criteria and vesting of performance share units granted on January 21, 2016.</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18, 2019 upon achievement of the performance criteria and vesting of performance share units granted on January 19, 2017.</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01/23/2019</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2880"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2019-12-23T21:20:55Z</dcterms:created>
  <dcterms:modified xsi:type="dcterms:W3CDTF">2019-12-23T21:20:55Z</dcterms:modified>
</cp:coreProperties>
</file>