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gridSpan w:val="2"/>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2060" w:type="dxa"/>
            <w:vAlign w:val="bottom"/>
          </w:tcPr>
          <w:p>
            <w:pPr>
              <w:ind w:left="68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54"/>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7120" w:type="dxa"/>
            <w:vAlign w:val="bottom"/>
            <w:vMerge w:val="restart"/>
          </w:tcPr>
          <w:p>
            <w:pPr>
              <w:jc w:val="center"/>
              <w:ind w:left="54"/>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040" w:type="dxa"/>
            <w:vAlign w:val="bottom"/>
            <w:tcBorders>
              <w:bottom w:val="single" w:sz="8" w:color="2C2C2C"/>
            </w:tcBorders>
          </w:tcPr>
          <w:p>
            <w:pPr>
              <w:spacing w:after="0" w:line="20" w:lineRule="exact"/>
              <w:rPr>
                <w:sz w:val="1"/>
                <w:szCs w:val="1"/>
                <w:color w:val="auto"/>
              </w:rPr>
            </w:pPr>
          </w:p>
        </w:tc>
        <w:tc>
          <w:tcPr>
            <w:tcW w:w="10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71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7120" w:type="dxa"/>
            <w:vAlign w:val="bottom"/>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continue"/>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7120" w:type="dxa"/>
            <w:vAlign w:val="bottom"/>
            <w:vMerge w:val="restart"/>
          </w:tcPr>
          <w:p>
            <w:pPr>
              <w:jc w:val="center"/>
              <w:ind w:left="54"/>
              <w:spacing w:after="0"/>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040" w:type="dxa"/>
            <w:vAlign w:val="bottom"/>
            <w:tcBorders>
              <w:top w:val="single" w:sz="8" w:color="808080"/>
              <w:bottom w:val="single" w:sz="8" w:color="2C2C2C"/>
            </w:tcBorders>
          </w:tcPr>
          <w:p>
            <w:pPr>
              <w:spacing w:after="0" w:line="20" w:lineRule="exact"/>
              <w:rPr>
                <w:sz w:val="1"/>
                <w:szCs w:val="1"/>
                <w:color w:val="auto"/>
              </w:rPr>
            </w:pPr>
          </w:p>
        </w:tc>
        <w:tc>
          <w:tcPr>
            <w:tcW w:w="10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0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1040" w:type="dxa"/>
            <w:vAlign w:val="bottom"/>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80" w:type="dxa"/>
            <w:vAlign w:val="bottom"/>
            <w:gridSpan w:val="2"/>
            <w:vMerge w:val="restart"/>
          </w:tcPr>
          <w:p>
            <w:pPr>
              <w:ind w:left="220"/>
              <w:spacing w:after="0"/>
              <w:rPr>
                <w:sz w:val="20"/>
                <w:szCs w:val="20"/>
                <w:color w:val="auto"/>
              </w:rPr>
            </w:pPr>
            <w:r>
              <w:rPr>
                <w:rFonts w:ascii="Arial" w:cs="Arial" w:eastAsia="Arial" w:hAnsi="Arial"/>
                <w:sz w:val="12"/>
                <w:szCs w:val="12"/>
                <w:color w:val="auto"/>
              </w:rPr>
              <w:t>December 31,</w:t>
            </w: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060" w:type="dxa"/>
            <w:vAlign w:val="bottom"/>
          </w:tcPr>
          <w:p>
            <w:pPr>
              <w:spacing w:after="0"/>
              <w:rPr>
                <w:sz w:val="7"/>
                <w:szCs w:val="7"/>
                <w:color w:val="auto"/>
              </w:rPr>
            </w:pPr>
          </w:p>
        </w:tc>
        <w:tc>
          <w:tcPr>
            <w:tcW w:w="7120" w:type="dxa"/>
            <w:vAlign w:val="bottom"/>
            <w:vMerge w:val="restart"/>
          </w:tcPr>
          <w:p>
            <w:pPr>
              <w:jc w:val="center"/>
              <w:ind w:left="54"/>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7"/>
                <w:szCs w:val="7"/>
                <w:color w:val="auto"/>
              </w:rPr>
            </w:pPr>
          </w:p>
        </w:tc>
        <w:tc>
          <w:tcPr>
            <w:tcW w:w="1040" w:type="dxa"/>
            <w:vAlign w:val="bottom"/>
            <w:vMerge w:val="restart"/>
          </w:tcPr>
          <w:p>
            <w:pPr>
              <w:ind w:left="60"/>
              <w:spacing w:after="0"/>
              <w:rPr>
                <w:sz w:val="20"/>
                <w:szCs w:val="20"/>
                <w:color w:val="auto"/>
              </w:rPr>
            </w:pPr>
            <w:r>
              <w:rPr>
                <w:rFonts w:ascii="Arial" w:cs="Arial" w:eastAsia="Arial" w:hAnsi="Arial"/>
                <w:sz w:val="12"/>
                <w:szCs w:val="12"/>
                <w:color w:val="auto"/>
              </w:rPr>
              <w:t>Expires:</w:t>
            </w:r>
          </w:p>
        </w:tc>
        <w:tc>
          <w:tcPr>
            <w:tcW w:w="108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060" w:type="dxa"/>
            <w:vAlign w:val="bottom"/>
          </w:tcPr>
          <w:p>
            <w:pPr>
              <w:spacing w:after="0"/>
              <w:rPr>
                <w:sz w:val="6"/>
                <w:szCs w:val="6"/>
                <w:color w:val="auto"/>
              </w:rPr>
            </w:pPr>
          </w:p>
        </w:tc>
        <w:tc>
          <w:tcPr>
            <w:tcW w:w="71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040" w:type="dxa"/>
            <w:vAlign w:val="bottom"/>
            <w:vMerge w:val="restart"/>
          </w:tcPr>
          <w:p>
            <w:pPr>
              <w:jc w:val="right"/>
              <w:spacing w:after="0"/>
              <w:rPr>
                <w:sz w:val="20"/>
                <w:szCs w:val="20"/>
                <w:color w:val="auto"/>
              </w:rPr>
            </w:pPr>
            <w:r>
              <w:rPr>
                <w:rFonts w:ascii="Arial" w:cs="Arial" w:eastAsia="Arial" w:hAnsi="Arial"/>
                <w:sz w:val="12"/>
                <w:szCs w:val="12"/>
                <w:color w:val="auto"/>
              </w:rPr>
              <w:t>2014</w:t>
            </w: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060" w:type="dxa"/>
            <w:vAlign w:val="bottom"/>
          </w:tcPr>
          <w:p>
            <w:pPr>
              <w:spacing w:after="0"/>
              <w:rPr>
                <w:sz w:val="9"/>
                <w:szCs w:val="9"/>
                <w:color w:val="auto"/>
              </w:rPr>
            </w:pPr>
          </w:p>
        </w:tc>
        <w:tc>
          <w:tcPr>
            <w:tcW w:w="71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7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7120" w:type="dxa"/>
            <w:vAlign w:val="bottom"/>
            <w:vMerge w:val="restart"/>
          </w:tcPr>
          <w:p>
            <w:pPr>
              <w:jc w:val="center"/>
              <w:ind w:left="54"/>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5"/>
                <w:szCs w:val="15"/>
                <w:color w:val="auto"/>
              </w:rPr>
            </w:pPr>
          </w:p>
        </w:tc>
        <w:tc>
          <w:tcPr>
            <w:tcW w:w="1040" w:type="dxa"/>
            <w:vAlign w:val="bottom"/>
          </w:tcPr>
          <w:p>
            <w:pPr>
              <w:ind w:left="60"/>
              <w:spacing w:after="0"/>
              <w:rPr>
                <w:sz w:val="20"/>
                <w:szCs w:val="20"/>
                <w:color w:val="auto"/>
              </w:rPr>
            </w:pPr>
            <w:r>
              <w:rPr>
                <w:rFonts w:ascii="Arial" w:cs="Arial" w:eastAsia="Arial" w:hAnsi="Arial"/>
                <w:sz w:val="12"/>
                <w:szCs w:val="12"/>
                <w:color w:val="auto"/>
              </w:rPr>
              <w:t>hours per</w:t>
            </w:r>
          </w:p>
        </w:tc>
        <w:tc>
          <w:tcPr>
            <w:tcW w:w="1040" w:type="dxa"/>
            <w:vAlign w:val="bottom"/>
            <w:vMerge w:val="restart"/>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60" w:type="dxa"/>
            <w:vAlign w:val="bottom"/>
          </w:tcPr>
          <w:p>
            <w:pPr>
              <w:spacing w:after="0"/>
              <w:rPr>
                <w:sz w:val="5"/>
                <w:szCs w:val="5"/>
                <w:color w:val="auto"/>
              </w:rPr>
            </w:pPr>
          </w:p>
        </w:tc>
        <w:tc>
          <w:tcPr>
            <w:tcW w:w="71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040" w:type="dxa"/>
            <w:vAlign w:val="bottom"/>
            <w:vMerge w:val="restart"/>
          </w:tcPr>
          <w:p>
            <w:pPr>
              <w:ind w:left="60"/>
              <w:spacing w:after="0"/>
              <w:rPr>
                <w:sz w:val="20"/>
                <w:szCs w:val="20"/>
                <w:color w:val="auto"/>
              </w:rPr>
            </w:pPr>
            <w:r>
              <w:rPr>
                <w:rFonts w:ascii="Arial" w:cs="Arial" w:eastAsia="Arial" w:hAnsi="Arial"/>
                <w:sz w:val="12"/>
                <w:szCs w:val="12"/>
                <w:color w:val="auto"/>
              </w:rPr>
              <w:t>response:</w:t>
            </w:r>
          </w:p>
        </w:tc>
        <w:tc>
          <w:tcPr>
            <w:tcW w:w="10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060" w:type="dxa"/>
            <w:vAlign w:val="bottom"/>
          </w:tcPr>
          <w:p>
            <w:pPr>
              <w:spacing w:after="0"/>
              <w:rPr>
                <w:sz w:val="6"/>
                <w:szCs w:val="6"/>
                <w:color w:val="auto"/>
              </w:rPr>
            </w:pPr>
          </w:p>
        </w:tc>
        <w:tc>
          <w:tcPr>
            <w:tcW w:w="7120" w:type="dxa"/>
            <w:vAlign w:val="bottom"/>
            <w:vMerge w:val="restart"/>
          </w:tcPr>
          <w:p>
            <w:pPr>
              <w:jc w:val="center"/>
              <w:ind w:left="54"/>
              <w:spacing w:after="0" w:line="102" w:lineRule="exact"/>
              <w:rPr>
                <w:sz w:val="20"/>
                <w:szCs w:val="20"/>
                <w:color w:val="auto"/>
              </w:rPr>
            </w:pPr>
            <w:r>
              <w:rPr>
                <w:rFonts w:ascii="Arial" w:cs="Arial" w:eastAsia="Arial" w:hAnsi="Arial"/>
                <w:sz w:val="11"/>
                <w:szCs w:val="11"/>
                <w:color w:val="auto"/>
              </w:rPr>
              <w:t>or Section 30(h) of the Investment Company Act of 1940</w:t>
            </w:r>
          </w:p>
        </w:tc>
        <w:tc>
          <w:tcPr>
            <w:tcW w:w="4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0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060" w:type="dxa"/>
            <w:vAlign w:val="bottom"/>
          </w:tcPr>
          <w:p>
            <w:pPr>
              <w:spacing w:after="0"/>
              <w:rPr>
                <w:sz w:val="3"/>
                <w:szCs w:val="3"/>
                <w:color w:val="auto"/>
              </w:rPr>
            </w:pPr>
          </w:p>
        </w:tc>
        <w:tc>
          <w:tcPr>
            <w:tcW w:w="71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040" w:type="dxa"/>
            <w:vAlign w:val="bottom"/>
            <w:tcBorders>
              <w:bottom w:val="single" w:sz="8" w:color="808080"/>
            </w:tcBorders>
          </w:tcPr>
          <w:p>
            <w:pPr>
              <w:spacing w:after="0"/>
              <w:rPr>
                <w:sz w:val="3"/>
                <w:szCs w:val="3"/>
                <w:color w:val="auto"/>
              </w:rPr>
            </w:pPr>
          </w:p>
        </w:tc>
        <w:tc>
          <w:tcPr>
            <w:tcW w:w="10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040" w:type="dxa"/>
            <w:vAlign w:val="bottom"/>
            <w:tcBorders>
              <w:bottom w:val="single" w:sz="8" w:color="2C2C2C"/>
            </w:tcBorders>
          </w:tcPr>
          <w:p>
            <w:pPr>
              <w:spacing w:after="0" w:line="20" w:lineRule="exact"/>
              <w:rPr>
                <w:sz w:val="1"/>
                <w:szCs w:val="1"/>
                <w:color w:val="auto"/>
              </w:rPr>
            </w:pPr>
          </w:p>
        </w:tc>
        <w:tc>
          <w:tcPr>
            <w:tcW w:w="10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5"/>
        </w:trPr>
        <w:tc>
          <w:tcPr>
            <w:tcW w:w="20" w:type="dxa"/>
            <w:vAlign w:val="bottom"/>
            <w:tcBorders>
              <w:bottom w:val="single" w:sz="8" w:color="808080"/>
            </w:tcBorders>
          </w:tcPr>
          <w:p>
            <w:pPr>
              <w:spacing w:after="0"/>
              <w:rPr>
                <w:sz w:val="4"/>
                <w:szCs w:val="4"/>
                <w:color w:val="auto"/>
              </w:rPr>
            </w:pPr>
          </w:p>
        </w:tc>
        <w:tc>
          <w:tcPr>
            <w:tcW w:w="2060" w:type="dxa"/>
            <w:vAlign w:val="bottom"/>
            <w:tcBorders>
              <w:bottom w:val="single" w:sz="8" w:color="2C2C2C"/>
            </w:tcBorders>
          </w:tcPr>
          <w:p>
            <w:pPr>
              <w:spacing w:after="0"/>
              <w:rPr>
                <w:sz w:val="4"/>
                <w:szCs w:val="4"/>
                <w:color w:val="auto"/>
              </w:rPr>
            </w:pPr>
          </w:p>
        </w:tc>
        <w:tc>
          <w:tcPr>
            <w:tcW w:w="7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-998220</wp:posOffset>
            </wp:positionV>
            <wp:extent cx="7272020" cy="89185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8918575"/>
                    </a:xfrm>
                    <a:prstGeom prst="rect">
                      <a:avLst/>
                    </a:prstGeom>
                    <a:noFill/>
                  </pic:spPr>
                </pic:pic>
              </a:graphicData>
            </a:graphic>
          </wp:anchor>
        </w:drawing>
      </w:r>
    </w:p>
    <w:p>
      <w:pPr>
        <w:sectPr>
          <w:pgSz w:w="11900" w:h="16838" w:orient="portrait"/>
          <w:cols w:equalWidth="0" w:num="1">
            <w:col w:w="11420"/>
          </w:cols>
          <w:pgMar w:left="240" w:top="226" w:right="239" w:bottom="0" w:gutter="0" w:footer="0" w:header="0"/>
        </w:sectPr>
      </w:pPr>
    </w:p>
    <w:tbl>
      <w:tblPr>
        <w:tblLayout w:type="fixed"/>
        <w:tblInd w:w="80" w:type="dxa"/>
        <w:tblCellMar>
          <w:top w:w="0" w:type="dxa"/>
          <w:left w:w="0" w:type="dxa"/>
          <w:bottom w:w="0" w:type="dxa"/>
          <w:right w:w="0" w:type="dxa"/>
        </w:tblCellMar>
      </w:tblPr>
      <w:tr>
        <w:trPr>
          <w:trHeight w:val="216"/>
        </w:trPr>
        <w:tc>
          <w:tcPr>
            <w:tcW w:w="3260" w:type="dxa"/>
            <w:vAlign w:val="bottom"/>
            <w:gridSpan w:val="4"/>
          </w:tcPr>
          <w:p>
            <w:pPr>
              <w:spacing w:after="0" w:line="217"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9">
              <w:r>
                <w:rPr>
                  <w:rFonts w:ascii="Arial" w:cs="Arial" w:eastAsia="Arial" w:hAnsi="Arial"/>
                  <w:sz w:val="22"/>
                  <w:szCs w:val="22"/>
                  <w:color w:val="0000EE"/>
                </w:rPr>
                <w:t>PFERDEHIRT DOUG</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980" w:type="dxa"/>
            <w:vAlign w:val="bottom"/>
            <w:tcBorders>
              <w:top w:val="single" w:sz="8" w:color="0000EE"/>
              <w:bottom w:val="single" w:sz="8" w:color="9A9A9A"/>
            </w:tcBorders>
          </w:tcPr>
          <w:p>
            <w:pPr>
              <w:spacing w:after="0"/>
              <w:rPr>
                <w:sz w:val="15"/>
                <w:szCs w:val="15"/>
                <w:color w:val="auto"/>
              </w:rPr>
            </w:pPr>
          </w:p>
        </w:tc>
        <w:tc>
          <w:tcPr>
            <w:tcW w:w="124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06/26/2003</w:t>
            </w:r>
          </w:p>
        </w:tc>
        <w:tc>
          <w:tcPr>
            <w:tcW w:w="0" w:type="dxa"/>
            <w:vAlign w:val="bottom"/>
          </w:tcPr>
          <w:p>
            <w:pPr>
              <w:spacing w:after="0"/>
              <w:rPr>
                <w:sz w:val="1"/>
                <w:szCs w:val="1"/>
                <w:color w:val="auto"/>
              </w:rPr>
            </w:pPr>
          </w:p>
        </w:tc>
      </w:tr>
    </w:tbl>
    <w:p>
      <w:pPr>
        <w:spacing w:after="0" w:line="14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(Last)</w:t>
            </w:r>
          </w:p>
        </w:tc>
        <w:tc>
          <w:tcPr>
            <w:tcW w:w="1080" w:type="dxa"/>
            <w:vAlign w:val="bottom"/>
          </w:tcPr>
          <w:p>
            <w:pPr>
              <w:ind w:left="34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78"/>
        </w:trPr>
        <w:tc>
          <w:tcPr>
            <w:tcW w:w="20" w:type="dxa"/>
            <w:vAlign w:val="bottom"/>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r>
      <w:tr>
        <w:trPr>
          <w:trHeight w:val="270"/>
        </w:trPr>
        <w:tc>
          <w:tcPr>
            <w:tcW w:w="8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8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183"/>
        </w:trPr>
        <w:tc>
          <w:tcPr>
            <w:tcW w:w="20" w:type="dxa"/>
            <w:vAlign w:val="bottom"/>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r>
      <w:tr>
        <w:trPr>
          <w:trHeight w:val="310"/>
        </w:trPr>
        <w:tc>
          <w:tcPr>
            <w:tcW w:w="20" w:type="dxa"/>
            <w:vAlign w:val="bottom"/>
          </w:tcPr>
          <w:p>
            <w:pPr>
              <w:spacing w:after="0"/>
              <w:rPr>
                <w:sz w:val="24"/>
                <w:szCs w:val="2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(City)</w:t>
            </w:r>
          </w:p>
        </w:tc>
        <w:tc>
          <w:tcPr>
            <w:tcW w:w="1080" w:type="dxa"/>
            <w:vAlign w:val="bottom"/>
          </w:tcPr>
          <w:p>
            <w:pPr>
              <w:ind w:left="34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0">
        <w:r>
          <w:rPr>
            <w:rFonts w:ascii="Arial" w:cs="Arial" w:eastAsia="Arial" w:hAnsi="Arial"/>
            <w:sz w:val="22"/>
            <w:szCs w:val="22"/>
            <w:u w:val="single" w:color="auto"/>
            <w:color w:val="0000EE"/>
          </w:rPr>
          <w:t>SCHLUMBERGER LTD /NV/</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slb</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156"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3"/>
          </w:tcPr>
          <w:p>
            <w:pPr>
              <w:spacing w:after="0"/>
              <w:rPr>
                <w:sz w:val="20"/>
                <w:szCs w:val="20"/>
                <w:color w:val="auto"/>
              </w:rPr>
            </w:pPr>
            <w:r>
              <w:rPr>
                <w:rFonts w:ascii="Arial" w:cs="Arial" w:eastAsia="Arial" w:hAnsi="Arial"/>
                <w:sz w:val="14"/>
                <w:szCs w:val="14"/>
                <w:color w:val="auto"/>
              </w:rPr>
              <w:t>4. Relationship of Reporting Person(s) to Issuer</w:t>
            </w:r>
          </w:p>
        </w:tc>
        <w:tc>
          <w:tcPr>
            <w:tcW w:w="2880" w:type="dxa"/>
            <w:vAlign w:val="bottom"/>
          </w:tcPr>
          <w:p>
            <w:pPr>
              <w:ind w:left="80"/>
              <w:spacing w:after="0"/>
              <w:rPr>
                <w:sz w:val="20"/>
                <w:szCs w:val="20"/>
                <w:color w:val="auto"/>
              </w:rPr>
            </w:pPr>
            <w:r>
              <w:rPr>
                <w:rFonts w:ascii="Arial" w:cs="Arial" w:eastAsia="Arial" w:hAnsi="Arial"/>
                <w:sz w:val="14"/>
                <w:szCs w:val="14"/>
                <w:color w:val="auto"/>
              </w:rPr>
              <w:t>5. If Amendment, Date of Original Filed</w:t>
            </w:r>
          </w:p>
        </w:tc>
        <w:tc>
          <w:tcPr>
            <w:tcW w:w="0" w:type="dxa"/>
            <w:vAlign w:val="bottom"/>
          </w:tcPr>
          <w:p>
            <w:pPr>
              <w:spacing w:after="0"/>
              <w:rPr>
                <w:sz w:val="1"/>
                <w:szCs w:val="1"/>
                <w:color w:val="auto"/>
              </w:rPr>
            </w:pPr>
          </w:p>
        </w:tc>
      </w:tr>
      <w:tr>
        <w:trPr>
          <w:trHeight w:val="162"/>
        </w:trPr>
        <w:tc>
          <w:tcPr>
            <w:tcW w:w="1840" w:type="dxa"/>
            <w:vAlign w:val="bottom"/>
            <w:gridSpan w:val="2"/>
          </w:tcPr>
          <w:p>
            <w:pPr>
              <w:spacing w:after="0"/>
              <w:rPr>
                <w:sz w:val="20"/>
                <w:szCs w:val="20"/>
                <w:color w:val="auto"/>
              </w:rPr>
            </w:pPr>
            <w:r>
              <w:rPr>
                <w:rFonts w:ascii="Arial" w:cs="Arial" w:eastAsia="Arial" w:hAnsi="Arial"/>
                <w:sz w:val="14"/>
                <w:szCs w:val="14"/>
                <w:color w:val="auto"/>
              </w:rPr>
              <w:t>(Check all applicable)</w:t>
            </w:r>
          </w:p>
        </w:tc>
        <w:tc>
          <w:tcPr>
            <w:tcW w:w="1480" w:type="dxa"/>
            <w:vAlign w:val="bottom"/>
          </w:tcPr>
          <w:p>
            <w:pPr>
              <w:spacing w:after="0"/>
              <w:rPr>
                <w:sz w:val="14"/>
                <w:szCs w:val="14"/>
                <w:color w:val="auto"/>
              </w:rPr>
            </w:pPr>
          </w:p>
        </w:tc>
        <w:tc>
          <w:tcPr>
            <w:tcW w:w="2880" w:type="dxa"/>
            <w:vAlign w:val="bottom"/>
          </w:tcPr>
          <w:p>
            <w:pPr>
              <w:ind w:left="80"/>
              <w:spacing w:after="0"/>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75"/>
        </w:trPr>
        <w:tc>
          <w:tcPr>
            <w:tcW w:w="420" w:type="dxa"/>
            <w:vAlign w:val="bottom"/>
          </w:tcPr>
          <w:p>
            <w:pPr>
              <w:spacing w:after="0"/>
              <w:rPr>
                <w:sz w:val="6"/>
                <w:szCs w:val="6"/>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Director</w:t>
            </w:r>
          </w:p>
        </w:tc>
        <w:tc>
          <w:tcPr>
            <w:tcW w:w="1480" w:type="dxa"/>
            <w:vAlign w:val="bottom"/>
            <w:vMerge w:val="restart"/>
          </w:tcPr>
          <w:p>
            <w:pPr>
              <w:ind w:left="320"/>
              <w:spacing w:after="0"/>
              <w:rPr>
                <w:sz w:val="20"/>
                <w:szCs w:val="20"/>
                <w:color w:val="auto"/>
              </w:rPr>
            </w:pPr>
            <w:r>
              <w:rPr>
                <w:rFonts w:ascii="Arial" w:cs="Arial" w:eastAsia="Arial" w:hAnsi="Arial"/>
                <w:sz w:val="14"/>
                <w:szCs w:val="14"/>
                <w:color w:val="auto"/>
              </w:rPr>
              <w:t>10% Owner</w:t>
            </w:r>
          </w:p>
        </w:tc>
        <w:tc>
          <w:tcPr>
            <w:tcW w:w="288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4"/>
        </w:trPr>
        <w:tc>
          <w:tcPr>
            <w:tcW w:w="420" w:type="dxa"/>
            <w:vAlign w:val="bottom"/>
          </w:tcPr>
          <w:p>
            <w:pPr>
              <w:spacing w:after="0"/>
              <w:rPr>
                <w:sz w:val="8"/>
                <w:szCs w:val="8"/>
                <w:color w:val="auto"/>
              </w:rPr>
            </w:pPr>
          </w:p>
        </w:tc>
        <w:tc>
          <w:tcPr>
            <w:tcW w:w="1420" w:type="dxa"/>
            <w:vAlign w:val="bottom"/>
            <w:vMerge w:val="continue"/>
          </w:tcPr>
          <w:p>
            <w:pPr>
              <w:spacing w:after="0"/>
              <w:rPr>
                <w:sz w:val="8"/>
                <w:szCs w:val="8"/>
                <w:color w:val="auto"/>
              </w:rPr>
            </w:pPr>
          </w:p>
        </w:tc>
        <w:tc>
          <w:tcPr>
            <w:tcW w:w="1480" w:type="dxa"/>
            <w:vAlign w:val="bottom"/>
            <w:vMerge w:val="continue"/>
          </w:tcPr>
          <w:p>
            <w:pPr>
              <w:spacing w:after="0"/>
              <w:rPr>
                <w:sz w:val="8"/>
                <w:szCs w:val="8"/>
                <w:color w:val="auto"/>
              </w:rPr>
            </w:pPr>
          </w:p>
        </w:tc>
        <w:tc>
          <w:tcPr>
            <w:tcW w:w="2880" w:type="dxa"/>
            <w:vAlign w:val="bottom"/>
            <w:vMerge w:val="restart"/>
          </w:tcPr>
          <w:p>
            <w:pPr>
              <w:ind w:left="80"/>
              <w:spacing w:after="0"/>
              <w:rPr>
                <w:sz w:val="20"/>
                <w:szCs w:val="20"/>
                <w:color w:val="auto"/>
              </w:rPr>
            </w:pPr>
            <w:r>
              <w:rPr>
                <w:rFonts w:ascii="Arial" w:cs="Arial" w:eastAsia="Arial" w:hAnsi="Arial"/>
                <w:sz w:val="14"/>
                <w:szCs w:val="14"/>
                <w:color w:val="auto"/>
              </w:rPr>
              <w:t>6. Individual or Joint/Group Filing (Check</w:t>
            </w:r>
          </w:p>
        </w:tc>
        <w:tc>
          <w:tcPr>
            <w:tcW w:w="0" w:type="dxa"/>
            <w:vAlign w:val="bottom"/>
          </w:tcPr>
          <w:p>
            <w:pPr>
              <w:spacing w:after="0"/>
              <w:rPr>
                <w:sz w:val="1"/>
                <w:szCs w:val="1"/>
                <w:color w:val="auto"/>
              </w:rPr>
            </w:pPr>
          </w:p>
        </w:tc>
      </w:tr>
      <w:tr>
        <w:trPr>
          <w:trHeight w:val="108"/>
        </w:trPr>
        <w:tc>
          <w:tcPr>
            <w:tcW w:w="420" w:type="dxa"/>
            <w:vAlign w:val="bottom"/>
            <w:vMerge w:val="restart"/>
          </w:tcPr>
          <w:p>
            <w:pPr>
              <w:ind w:left="200"/>
              <w:spacing w:after="0"/>
              <w:rPr>
                <w:sz w:val="20"/>
                <w:szCs w:val="20"/>
                <w:color w:val="auto"/>
              </w:rPr>
            </w:pPr>
            <w:r>
              <w:rPr>
                <w:rFonts w:ascii="Arial" w:cs="Arial" w:eastAsia="Arial" w:hAnsi="Arial"/>
                <w:sz w:val="18"/>
                <w:szCs w:val="18"/>
                <w:color w:val="0000FF"/>
              </w:rPr>
              <w:t>X</w:t>
            </w: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Officer (give title</w:t>
            </w:r>
          </w:p>
        </w:tc>
        <w:tc>
          <w:tcPr>
            <w:tcW w:w="1480" w:type="dxa"/>
            <w:vAlign w:val="bottom"/>
            <w:vMerge w:val="restart"/>
          </w:tcPr>
          <w:p>
            <w:pPr>
              <w:ind w:left="320"/>
              <w:spacing w:after="0"/>
              <w:rPr>
                <w:sz w:val="20"/>
                <w:szCs w:val="20"/>
                <w:color w:val="auto"/>
              </w:rPr>
            </w:pPr>
            <w:r>
              <w:rPr>
                <w:rFonts w:ascii="Arial" w:cs="Arial" w:eastAsia="Arial" w:hAnsi="Arial"/>
                <w:sz w:val="14"/>
                <w:szCs w:val="14"/>
                <w:color w:val="auto"/>
              </w:rPr>
              <w:t>Other (specify</w:t>
            </w:r>
          </w:p>
        </w:tc>
        <w:tc>
          <w:tcPr>
            <w:tcW w:w="2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420" w:type="dxa"/>
            <w:vAlign w:val="bottom"/>
            <w:vMerge w:val="continue"/>
          </w:tcPr>
          <w:p>
            <w:pPr>
              <w:spacing w:after="0"/>
              <w:rPr>
                <w:sz w:val="7"/>
                <w:szCs w:val="7"/>
                <w:color w:val="auto"/>
              </w:rPr>
            </w:pPr>
          </w:p>
        </w:tc>
        <w:tc>
          <w:tcPr>
            <w:tcW w:w="1420" w:type="dxa"/>
            <w:vAlign w:val="bottom"/>
            <w:vMerge w:val="continue"/>
          </w:tcPr>
          <w:p>
            <w:pPr>
              <w:spacing w:after="0"/>
              <w:rPr>
                <w:sz w:val="7"/>
                <w:szCs w:val="7"/>
                <w:color w:val="auto"/>
              </w:rPr>
            </w:pPr>
          </w:p>
        </w:tc>
        <w:tc>
          <w:tcPr>
            <w:tcW w:w="1480" w:type="dxa"/>
            <w:vAlign w:val="bottom"/>
            <w:vMerge w:val="continue"/>
          </w:tcPr>
          <w:p>
            <w:pPr>
              <w:spacing w:after="0"/>
              <w:rPr>
                <w:sz w:val="7"/>
                <w:szCs w:val="7"/>
                <w:color w:val="auto"/>
              </w:rPr>
            </w:pPr>
          </w:p>
        </w:tc>
        <w:tc>
          <w:tcPr>
            <w:tcW w:w="2880" w:type="dxa"/>
            <w:vAlign w:val="bottom"/>
            <w:vMerge w:val="restart"/>
          </w:tcPr>
          <w:p>
            <w:pPr>
              <w:ind w:left="80"/>
              <w:spacing w:after="0"/>
              <w:rPr>
                <w:sz w:val="20"/>
                <w:szCs w:val="20"/>
                <w:color w:val="auto"/>
              </w:rPr>
            </w:pPr>
            <w:r>
              <w:rPr>
                <w:rFonts w:ascii="Arial" w:cs="Arial" w:eastAsia="Arial" w:hAnsi="Arial"/>
                <w:sz w:val="14"/>
                <w:szCs w:val="14"/>
                <w:color w:val="auto"/>
              </w:rPr>
              <w:t>Applicable Line)</w:t>
            </w:r>
          </w:p>
        </w:tc>
        <w:tc>
          <w:tcPr>
            <w:tcW w:w="0" w:type="dxa"/>
            <w:vAlign w:val="bottom"/>
          </w:tcPr>
          <w:p>
            <w:pPr>
              <w:spacing w:after="0"/>
              <w:rPr>
                <w:sz w:val="1"/>
                <w:szCs w:val="1"/>
                <w:color w:val="auto"/>
              </w:rPr>
            </w:pPr>
          </w:p>
        </w:tc>
      </w:tr>
      <w:tr>
        <w:trPr>
          <w:trHeight w:val="114"/>
        </w:trPr>
        <w:tc>
          <w:tcPr>
            <w:tcW w:w="420" w:type="dxa"/>
            <w:vAlign w:val="bottom"/>
            <w:vMerge w:val="continue"/>
          </w:tcPr>
          <w:p>
            <w:pPr>
              <w:spacing w:after="0"/>
              <w:rPr>
                <w:sz w:val="9"/>
                <w:szCs w:val="9"/>
                <w:color w:val="auto"/>
              </w:rPr>
            </w:pPr>
          </w:p>
        </w:tc>
        <w:tc>
          <w:tcPr>
            <w:tcW w:w="1420" w:type="dxa"/>
            <w:vAlign w:val="bottom"/>
          </w:tcPr>
          <w:p>
            <w:pPr>
              <w:ind w:left="120"/>
              <w:spacing w:after="0" w:line="114" w:lineRule="exact"/>
              <w:rPr>
                <w:sz w:val="20"/>
                <w:szCs w:val="20"/>
                <w:color w:val="auto"/>
              </w:rPr>
            </w:pPr>
            <w:r>
              <w:rPr>
                <w:rFonts w:ascii="Arial" w:cs="Arial" w:eastAsia="Arial" w:hAnsi="Arial"/>
                <w:sz w:val="12"/>
                <w:szCs w:val="12"/>
                <w:color w:val="auto"/>
              </w:rPr>
              <w:t>below)</w:t>
            </w:r>
          </w:p>
        </w:tc>
        <w:tc>
          <w:tcPr>
            <w:tcW w:w="1480" w:type="dxa"/>
            <w:vAlign w:val="bottom"/>
          </w:tcPr>
          <w:p>
            <w:pPr>
              <w:ind w:left="320"/>
              <w:spacing w:after="0" w:line="114" w:lineRule="exact"/>
              <w:rPr>
                <w:sz w:val="20"/>
                <w:szCs w:val="20"/>
                <w:color w:val="auto"/>
              </w:rPr>
            </w:pPr>
            <w:r>
              <w:rPr>
                <w:rFonts w:ascii="Arial" w:cs="Arial" w:eastAsia="Arial" w:hAnsi="Arial"/>
                <w:sz w:val="12"/>
                <w:szCs w:val="12"/>
                <w:color w:val="auto"/>
              </w:rPr>
              <w:t>below)</w:t>
            </w:r>
          </w:p>
        </w:tc>
        <w:tc>
          <w:tcPr>
            <w:tcW w:w="2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tbl>
      <w:tblPr>
        <w:tblLayout w:type="fixed"/>
        <w:tblInd w:w="920" w:type="dxa"/>
        <w:tblCellMar>
          <w:top w:w="0" w:type="dxa"/>
          <w:left w:w="0" w:type="dxa"/>
          <w:bottom w:w="0" w:type="dxa"/>
          <w:right w:w="0" w:type="dxa"/>
        </w:tblCellMar>
      </w:tblPr>
      <w:tr>
        <w:trPr>
          <w:trHeight w:val="222"/>
        </w:trPr>
        <w:tc>
          <w:tcPr>
            <w:tcW w:w="2020" w:type="dxa"/>
            <w:vAlign w:val="bottom"/>
            <w:vMerge w:val="restart"/>
          </w:tcPr>
          <w:p>
            <w:pPr>
              <w:spacing w:after="0"/>
              <w:rPr>
                <w:sz w:val="20"/>
                <w:szCs w:val="20"/>
                <w:color w:val="auto"/>
              </w:rPr>
            </w:pPr>
            <w:r>
              <w:rPr>
                <w:rFonts w:ascii="Arial" w:cs="Arial" w:eastAsia="Arial" w:hAnsi="Arial"/>
                <w:sz w:val="18"/>
                <w:szCs w:val="18"/>
                <w:color w:val="0000FF"/>
              </w:rPr>
              <w:t>VICE PRESIDENT</w:t>
            </w:r>
          </w:p>
        </w:tc>
        <w:tc>
          <w:tcPr>
            <w:tcW w:w="3100" w:type="dxa"/>
            <w:vAlign w:val="bottom"/>
          </w:tcPr>
          <w:p>
            <w:pPr>
              <w:ind w:left="6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81"/>
        </w:trPr>
        <w:tc>
          <w:tcPr>
            <w:tcW w:w="2020" w:type="dxa"/>
            <w:vAlign w:val="bottom"/>
            <w:vMerge w:val="continue"/>
          </w:tcPr>
          <w:p>
            <w:pPr>
              <w:spacing w:after="0"/>
              <w:rPr>
                <w:sz w:val="7"/>
                <w:szCs w:val="7"/>
                <w:color w:val="auto"/>
              </w:rPr>
            </w:pPr>
          </w:p>
        </w:tc>
        <w:tc>
          <w:tcPr>
            <w:tcW w:w="3100" w:type="dxa"/>
            <w:vAlign w:val="bottom"/>
            <w:vMerge w:val="restart"/>
          </w:tcPr>
          <w:p>
            <w:pPr>
              <w:ind w:left="940"/>
              <w:spacing w:after="0"/>
              <w:rPr>
                <w:sz w:val="20"/>
                <w:szCs w:val="20"/>
                <w:color w:val="auto"/>
              </w:rPr>
            </w:pPr>
            <w:r>
              <w:rPr>
                <w:rFonts w:ascii="Arial" w:cs="Arial" w:eastAsia="Arial" w:hAnsi="Arial"/>
                <w:sz w:val="14"/>
                <w:szCs w:val="14"/>
                <w:color w:val="auto"/>
              </w:rPr>
              <w:t>Form filed by More than One</w:t>
            </w:r>
          </w:p>
        </w:tc>
        <w:tc>
          <w:tcPr>
            <w:tcW w:w="0" w:type="dxa"/>
            <w:vAlign w:val="bottom"/>
          </w:tcPr>
          <w:p>
            <w:pPr>
              <w:spacing w:after="0"/>
              <w:rPr>
                <w:sz w:val="1"/>
                <w:szCs w:val="1"/>
                <w:color w:val="auto"/>
              </w:rPr>
            </w:pPr>
          </w:p>
        </w:tc>
      </w:tr>
      <w:tr>
        <w:trPr>
          <w:trHeight w:val="109"/>
        </w:trPr>
        <w:tc>
          <w:tcPr>
            <w:tcW w:w="2020" w:type="dxa"/>
            <w:vAlign w:val="bottom"/>
          </w:tcPr>
          <w:p>
            <w:pPr>
              <w:spacing w:after="0"/>
              <w:rPr>
                <w:sz w:val="9"/>
                <w:szCs w:val="9"/>
                <w:color w:val="auto"/>
              </w:rPr>
            </w:pPr>
          </w:p>
        </w:tc>
        <w:tc>
          <w:tcPr>
            <w:tcW w:w="3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020" w:type="dxa"/>
            <w:vAlign w:val="bottom"/>
          </w:tcPr>
          <w:p>
            <w:pPr>
              <w:spacing w:after="0"/>
              <w:rPr>
                <w:sz w:val="14"/>
                <w:szCs w:val="14"/>
                <w:color w:val="auto"/>
              </w:rPr>
            </w:pPr>
          </w:p>
        </w:tc>
        <w:tc>
          <w:tcPr>
            <w:tcW w:w="3100" w:type="dxa"/>
            <w:vAlign w:val="bottom"/>
          </w:tcPr>
          <w:p>
            <w:pPr>
              <w:ind w:left="940"/>
              <w:spacing w:after="0"/>
              <w:rPr>
                <w:sz w:val="20"/>
                <w:szCs w:val="20"/>
                <w:color w:val="auto"/>
              </w:rPr>
            </w:pPr>
            <w:r>
              <w:rPr>
                <w:rFonts w:ascii="Arial" w:cs="Arial" w:eastAsia="Arial" w:hAnsi="Arial"/>
                <w:sz w:val="14"/>
                <w:szCs w:val="14"/>
                <w:color w:val="auto"/>
              </w:rPr>
              <w:t>Reporting Person</w:t>
            </w:r>
          </w:p>
        </w:tc>
        <w:tc>
          <w:tcPr>
            <w:tcW w:w="0" w:type="dxa"/>
            <w:vAlign w:val="bottom"/>
          </w:tcPr>
          <w:p>
            <w:pPr>
              <w:spacing w:after="0"/>
              <w:rPr>
                <w:sz w:val="1"/>
                <w:szCs w:val="1"/>
                <w:color w:val="auto"/>
              </w:rPr>
            </w:pPr>
          </w:p>
        </w:tc>
      </w:tr>
    </w:tbl>
    <w:p>
      <w:pPr>
        <w:spacing w:after="0" w:line="265" w:lineRule="exact"/>
        <w:rPr>
          <w:sz w:val="24"/>
          <w:szCs w:val="24"/>
          <w:color w:val="auto"/>
        </w:rPr>
      </w:pPr>
    </w:p>
    <w:p>
      <w:pPr>
        <w:sectPr>
          <w:pgSz w:w="11900" w:h="16838" w:orient="portrait"/>
          <w:cols w:equalWidth="0" w:num="2">
            <w:col w:w="4720" w:space="480"/>
            <w:col w:w="622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60" w:type="dxa"/>
            <w:vAlign w:val="bottom"/>
          </w:tcPr>
          <w:p>
            <w:pPr>
              <w:ind w:left="660"/>
              <w:spacing w:after="0"/>
              <w:rPr>
                <w:sz w:val="20"/>
                <w:szCs w:val="20"/>
                <w:color w:val="auto"/>
              </w:rPr>
            </w:pPr>
            <w:r>
              <w:rPr>
                <w:rFonts w:ascii="Arial" w:cs="Arial" w:eastAsia="Arial" w:hAnsi="Arial"/>
                <w:sz w:val="18"/>
                <w:szCs w:val="18"/>
                <w:color w:val="0000FF"/>
              </w:rPr>
              <w:t>4,945</w:t>
            </w:r>
          </w:p>
        </w:tc>
        <w:tc>
          <w:tcPr>
            <w:tcW w:w="900" w:type="dxa"/>
            <w:vAlign w:val="bottom"/>
          </w:tcPr>
          <w:p>
            <w:pPr>
              <w:ind w:left="64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3560" w:type="dxa"/>
            <w:vAlign w:val="bottom"/>
            <w:tcBorders>
              <w:bottom w:val="single" w:sz="8" w:color="2C2C2C"/>
            </w:tcBorders>
          </w:tcPr>
          <w:p>
            <w:pPr>
              <w:spacing w:after="0"/>
              <w:rPr>
                <w:sz w:val="8"/>
                <w:szCs w:val="8"/>
                <w:color w:val="auto"/>
              </w:rPr>
            </w:pPr>
          </w:p>
        </w:tc>
        <w:tc>
          <w:tcPr>
            <w:tcW w:w="444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3560" w:type="dxa"/>
            <w:vAlign w:val="bottom"/>
            <w:tcBorders>
              <w:top w:val="single" w:sz="8" w:color="2C2C2C"/>
            </w:tcBorders>
          </w:tcPr>
          <w:p>
            <w:pPr>
              <w:spacing w:after="0"/>
              <w:rPr>
                <w:sz w:val="19"/>
                <w:szCs w:val="19"/>
                <w:color w:val="auto"/>
              </w:rPr>
            </w:pPr>
          </w:p>
        </w:tc>
        <w:tc>
          <w:tcPr>
            <w:tcW w:w="4440" w:type="dxa"/>
            <w:vAlign w:val="bottom"/>
            <w:tcBorders>
              <w:top w:val="single" w:sz="8" w:color="2C2C2C"/>
            </w:tcBorders>
            <w:gridSpan w:val="4"/>
          </w:tcPr>
          <w:p>
            <w:pPr>
              <w:ind w:left="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880" w:type="dxa"/>
            <w:vAlign w:val="bottom"/>
            <w:gridSpan w:val="6"/>
          </w:tcPr>
          <w:p>
            <w:pPr>
              <w:ind w:left="32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56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5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56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5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0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5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5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Incentive Stock Option (right to buy)</w:t>
            </w:r>
          </w:p>
        </w:tc>
        <w:tc>
          <w:tcPr>
            <w:tcW w:w="880" w:type="dxa"/>
            <w:vAlign w:val="bottom"/>
            <w:tcBorders>
              <w:bottom w:val="single" w:sz="8" w:color="2C2C2C"/>
            </w:tcBorders>
          </w:tcPr>
          <w:p>
            <w:pPr>
              <w:ind w:left="60"/>
              <w:spacing w:after="0"/>
              <w:rPr>
                <w:sz w:val="20"/>
                <w:szCs w:val="20"/>
                <w:color w:val="auto"/>
              </w:rPr>
            </w:pPr>
            <w:r>
              <w:rPr>
                <w:rFonts w:ascii="Arial" w:cs="Arial" w:eastAsia="Arial" w:hAnsi="Arial"/>
                <w:sz w:val="14"/>
                <w:szCs w:val="14"/>
                <w:color w:val="0000FF"/>
                <w:w w:val="90"/>
              </w:rPr>
              <w:t>10/19/1995</w:t>
            </w:r>
            <w:r>
              <w:rPr>
                <w:rFonts w:ascii="Arial" w:cs="Arial" w:eastAsia="Arial" w:hAnsi="Arial"/>
                <w:sz w:val="22"/>
                <w:szCs w:val="22"/>
                <w:color w:val="008000"/>
                <w:w w:val="90"/>
                <w:vertAlign w:val="superscript"/>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10/19/2004</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jc w:val="center"/>
              <w:ind w:left="137"/>
              <w:spacing w:after="0"/>
              <w:rPr>
                <w:sz w:val="20"/>
                <w:szCs w:val="20"/>
                <w:color w:val="auto"/>
              </w:rPr>
            </w:pPr>
            <w:r>
              <w:rPr>
                <w:rFonts w:ascii="Arial" w:cs="Arial" w:eastAsia="Arial" w:hAnsi="Arial"/>
                <w:sz w:val="18"/>
                <w:szCs w:val="18"/>
                <w:color w:val="0000FF"/>
                <w:w w:val="88"/>
              </w:rPr>
              <w:t>5,495</w:t>
            </w:r>
          </w:p>
        </w:tc>
        <w:tc>
          <w:tcPr>
            <w:tcW w:w="880" w:type="dxa"/>
            <w:vAlign w:val="bottom"/>
            <w:tcBorders>
              <w:bottom w:val="single" w:sz="8" w:color="2C2C2C"/>
            </w:tcBorders>
          </w:tcPr>
          <w:p>
            <w:pPr>
              <w:jc w:val="right"/>
              <w:ind w:right="118"/>
              <w:spacing w:after="0"/>
              <w:rPr>
                <w:sz w:val="20"/>
                <w:szCs w:val="20"/>
                <w:color w:val="auto"/>
              </w:rPr>
            </w:pPr>
            <w:r>
              <w:rPr>
                <w:rFonts w:ascii="Arial" w:cs="Arial" w:eastAsia="Arial" w:hAnsi="Arial"/>
                <w:sz w:val="18"/>
                <w:szCs w:val="18"/>
                <w:color w:val="0000FF"/>
              </w:rPr>
              <w:t>24.966</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5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Incentive Stock Option (right to buy)</w:t>
            </w:r>
          </w:p>
        </w:tc>
        <w:tc>
          <w:tcPr>
            <w:tcW w:w="880" w:type="dxa"/>
            <w:vAlign w:val="bottom"/>
            <w:tcBorders>
              <w:bottom w:val="single" w:sz="8" w:color="2C2C2C"/>
            </w:tcBorders>
          </w:tcPr>
          <w:p>
            <w:pPr>
              <w:ind w:left="60"/>
              <w:spacing w:after="0"/>
              <w:rPr>
                <w:sz w:val="20"/>
                <w:szCs w:val="20"/>
                <w:color w:val="auto"/>
              </w:rPr>
            </w:pPr>
            <w:r>
              <w:rPr>
                <w:rFonts w:ascii="Arial" w:cs="Arial" w:eastAsia="Arial" w:hAnsi="Arial"/>
                <w:sz w:val="14"/>
                <w:szCs w:val="14"/>
                <w:color w:val="0000FF"/>
                <w:w w:val="90"/>
              </w:rPr>
              <w:t>04/16/1997</w:t>
            </w:r>
            <w:r>
              <w:rPr>
                <w:rFonts w:ascii="Arial" w:cs="Arial" w:eastAsia="Arial" w:hAnsi="Arial"/>
                <w:sz w:val="22"/>
                <w:szCs w:val="22"/>
                <w:color w:val="008000"/>
                <w:w w:val="90"/>
                <w:vertAlign w:val="superscript"/>
              </w:rPr>
              <w:t>(2)</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04/16/2006</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jc w:val="center"/>
              <w:ind w:left="137"/>
              <w:spacing w:after="0"/>
              <w:rPr>
                <w:sz w:val="20"/>
                <w:szCs w:val="20"/>
                <w:color w:val="auto"/>
              </w:rPr>
            </w:pPr>
            <w:r>
              <w:rPr>
                <w:rFonts w:ascii="Arial" w:cs="Arial" w:eastAsia="Arial" w:hAnsi="Arial"/>
                <w:sz w:val="18"/>
                <w:szCs w:val="18"/>
                <w:color w:val="0000FF"/>
                <w:w w:val="88"/>
              </w:rPr>
              <w:t>6,594</w:t>
            </w:r>
          </w:p>
        </w:tc>
        <w:tc>
          <w:tcPr>
            <w:tcW w:w="880" w:type="dxa"/>
            <w:vAlign w:val="bottom"/>
            <w:tcBorders>
              <w:bottom w:val="single" w:sz="8" w:color="2C2C2C"/>
            </w:tcBorders>
          </w:tcPr>
          <w:p>
            <w:pPr>
              <w:jc w:val="right"/>
              <w:ind w:right="118"/>
              <w:spacing w:after="0"/>
              <w:rPr>
                <w:sz w:val="20"/>
                <w:szCs w:val="20"/>
                <w:color w:val="auto"/>
              </w:rPr>
            </w:pPr>
            <w:r>
              <w:rPr>
                <w:rFonts w:ascii="Arial" w:cs="Arial" w:eastAsia="Arial" w:hAnsi="Arial"/>
                <w:sz w:val="18"/>
                <w:szCs w:val="18"/>
                <w:color w:val="0000FF"/>
              </w:rPr>
              <w:t>38.473</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5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Incentive Stock Option (right to buy)</w:t>
            </w:r>
          </w:p>
        </w:tc>
        <w:tc>
          <w:tcPr>
            <w:tcW w:w="880" w:type="dxa"/>
            <w:vAlign w:val="bottom"/>
            <w:tcBorders>
              <w:bottom w:val="single" w:sz="8" w:color="2C2C2C"/>
            </w:tcBorders>
          </w:tcPr>
          <w:p>
            <w:pPr>
              <w:ind w:left="60"/>
              <w:spacing w:after="0"/>
              <w:rPr>
                <w:sz w:val="20"/>
                <w:szCs w:val="20"/>
                <w:color w:val="auto"/>
              </w:rPr>
            </w:pPr>
            <w:r>
              <w:rPr>
                <w:rFonts w:ascii="Arial" w:cs="Arial" w:eastAsia="Arial" w:hAnsi="Arial"/>
                <w:sz w:val="14"/>
                <w:szCs w:val="14"/>
                <w:color w:val="0000FF"/>
                <w:w w:val="90"/>
              </w:rPr>
              <w:t>10/16/1997</w:t>
            </w:r>
            <w:r>
              <w:rPr>
                <w:rFonts w:ascii="Arial" w:cs="Arial" w:eastAsia="Arial" w:hAnsi="Arial"/>
                <w:sz w:val="22"/>
                <w:szCs w:val="22"/>
                <w:color w:val="008000"/>
                <w:w w:val="90"/>
                <w:vertAlign w:val="superscript"/>
              </w:rPr>
              <w:t>(3)</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10/16/2006</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jc w:val="center"/>
              <w:ind w:left="137"/>
              <w:spacing w:after="0"/>
              <w:rPr>
                <w:sz w:val="20"/>
                <w:szCs w:val="20"/>
                <w:color w:val="auto"/>
              </w:rPr>
            </w:pPr>
            <w:r>
              <w:rPr>
                <w:rFonts w:ascii="Arial" w:cs="Arial" w:eastAsia="Arial" w:hAnsi="Arial"/>
                <w:sz w:val="18"/>
                <w:szCs w:val="18"/>
                <w:color w:val="0000FF"/>
                <w:w w:val="93"/>
              </w:rPr>
              <w:t>340</w:t>
            </w:r>
          </w:p>
        </w:tc>
        <w:tc>
          <w:tcPr>
            <w:tcW w:w="880" w:type="dxa"/>
            <w:vAlign w:val="bottom"/>
            <w:tcBorders>
              <w:bottom w:val="single" w:sz="8" w:color="2C2C2C"/>
            </w:tcBorders>
          </w:tcPr>
          <w:p>
            <w:pPr>
              <w:jc w:val="right"/>
              <w:ind w:right="118"/>
              <w:spacing w:after="0"/>
              <w:rPr>
                <w:sz w:val="20"/>
                <w:szCs w:val="20"/>
                <w:color w:val="auto"/>
              </w:rPr>
            </w:pPr>
            <w:r>
              <w:rPr>
                <w:rFonts w:ascii="Arial" w:cs="Arial" w:eastAsia="Arial" w:hAnsi="Arial"/>
                <w:sz w:val="18"/>
                <w:szCs w:val="18"/>
                <w:color w:val="0000FF"/>
              </w:rPr>
              <w:t>42.596</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5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Incentive Stock Option (right to buy)</w:t>
            </w:r>
          </w:p>
        </w:tc>
        <w:tc>
          <w:tcPr>
            <w:tcW w:w="880" w:type="dxa"/>
            <w:vAlign w:val="bottom"/>
            <w:tcBorders>
              <w:bottom w:val="single" w:sz="8" w:color="2C2C2C"/>
            </w:tcBorders>
          </w:tcPr>
          <w:p>
            <w:pPr>
              <w:ind w:left="60"/>
              <w:spacing w:after="0"/>
              <w:rPr>
                <w:sz w:val="20"/>
                <w:szCs w:val="20"/>
                <w:color w:val="auto"/>
              </w:rPr>
            </w:pPr>
            <w:r>
              <w:rPr>
                <w:rFonts w:ascii="Arial" w:cs="Arial" w:eastAsia="Arial" w:hAnsi="Arial"/>
                <w:sz w:val="14"/>
                <w:szCs w:val="14"/>
                <w:color w:val="0000FF"/>
                <w:w w:val="90"/>
              </w:rPr>
              <w:t>04/21/2000</w:t>
            </w:r>
            <w:r>
              <w:rPr>
                <w:rFonts w:ascii="Arial" w:cs="Arial" w:eastAsia="Arial" w:hAnsi="Arial"/>
                <w:sz w:val="22"/>
                <w:szCs w:val="22"/>
                <w:color w:val="008000"/>
                <w:w w:val="90"/>
                <w:vertAlign w:val="superscript"/>
              </w:rPr>
              <w:t>(4)</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04/21/2009</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jc w:val="center"/>
              <w:ind w:left="137"/>
              <w:spacing w:after="0"/>
              <w:rPr>
                <w:sz w:val="20"/>
                <w:szCs w:val="20"/>
                <w:color w:val="auto"/>
              </w:rPr>
            </w:pPr>
            <w:r>
              <w:rPr>
                <w:rFonts w:ascii="Arial" w:cs="Arial" w:eastAsia="Arial" w:hAnsi="Arial"/>
                <w:sz w:val="18"/>
                <w:szCs w:val="18"/>
                <w:color w:val="0000FF"/>
                <w:w w:val="88"/>
              </w:rPr>
              <w:t>3,622</w:t>
            </w:r>
          </w:p>
        </w:tc>
        <w:tc>
          <w:tcPr>
            <w:tcW w:w="880" w:type="dxa"/>
            <w:vAlign w:val="bottom"/>
            <w:tcBorders>
              <w:bottom w:val="single" w:sz="8" w:color="2C2C2C"/>
            </w:tcBorders>
          </w:tcPr>
          <w:p>
            <w:pPr>
              <w:jc w:val="right"/>
              <w:ind w:right="118"/>
              <w:spacing w:after="0"/>
              <w:rPr>
                <w:sz w:val="20"/>
                <w:szCs w:val="20"/>
                <w:color w:val="auto"/>
              </w:rPr>
            </w:pPr>
            <w:r>
              <w:rPr>
                <w:rFonts w:ascii="Arial" w:cs="Arial" w:eastAsia="Arial" w:hAnsi="Arial"/>
                <w:sz w:val="18"/>
                <w:szCs w:val="18"/>
                <w:color w:val="0000FF"/>
              </w:rPr>
              <w:t>55.619</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5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Incentive Stock Option (right to buy)</w:t>
            </w:r>
          </w:p>
        </w:tc>
        <w:tc>
          <w:tcPr>
            <w:tcW w:w="880" w:type="dxa"/>
            <w:vAlign w:val="bottom"/>
            <w:tcBorders>
              <w:bottom w:val="single" w:sz="8" w:color="2C2C2C"/>
            </w:tcBorders>
          </w:tcPr>
          <w:p>
            <w:pPr>
              <w:ind w:left="60"/>
              <w:spacing w:after="0"/>
              <w:rPr>
                <w:sz w:val="20"/>
                <w:szCs w:val="20"/>
                <w:color w:val="auto"/>
              </w:rPr>
            </w:pPr>
            <w:r>
              <w:rPr>
                <w:rFonts w:ascii="Arial" w:cs="Arial" w:eastAsia="Arial" w:hAnsi="Arial"/>
                <w:sz w:val="14"/>
                <w:szCs w:val="14"/>
                <w:color w:val="0000FF"/>
                <w:w w:val="90"/>
              </w:rPr>
              <w:t>04/17/2003</w:t>
            </w:r>
            <w:r>
              <w:rPr>
                <w:rFonts w:ascii="Arial" w:cs="Arial" w:eastAsia="Arial" w:hAnsi="Arial"/>
                <w:sz w:val="22"/>
                <w:szCs w:val="22"/>
                <w:color w:val="008000"/>
                <w:w w:val="90"/>
                <w:vertAlign w:val="superscript"/>
              </w:rPr>
              <w:t>(5)</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04/17/2012</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jc w:val="center"/>
              <w:ind w:left="137"/>
              <w:spacing w:after="0"/>
              <w:rPr>
                <w:sz w:val="20"/>
                <w:szCs w:val="20"/>
                <w:color w:val="auto"/>
              </w:rPr>
            </w:pPr>
            <w:r>
              <w:rPr>
                <w:rFonts w:ascii="Arial" w:cs="Arial" w:eastAsia="Arial" w:hAnsi="Arial"/>
                <w:sz w:val="18"/>
                <w:szCs w:val="18"/>
                <w:color w:val="0000FF"/>
                <w:w w:val="88"/>
              </w:rPr>
              <w:t>3,588</w:t>
            </w:r>
          </w:p>
        </w:tc>
        <w:tc>
          <w:tcPr>
            <w:tcW w:w="880" w:type="dxa"/>
            <w:vAlign w:val="bottom"/>
            <w:tcBorders>
              <w:bottom w:val="single" w:sz="8" w:color="2C2C2C"/>
            </w:tcBorders>
          </w:tcPr>
          <w:p>
            <w:pPr>
              <w:jc w:val="right"/>
              <w:ind w:right="118"/>
              <w:spacing w:after="0"/>
              <w:rPr>
                <w:sz w:val="20"/>
                <w:szCs w:val="20"/>
                <w:color w:val="auto"/>
              </w:rPr>
            </w:pPr>
            <w:r>
              <w:rPr>
                <w:rFonts w:ascii="Arial" w:cs="Arial" w:eastAsia="Arial" w:hAnsi="Arial"/>
                <w:sz w:val="18"/>
                <w:szCs w:val="18"/>
                <w:color w:val="0000FF"/>
              </w:rPr>
              <w:t>55.745</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5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Incentive Stock Option (right to buy)</w:t>
            </w:r>
          </w:p>
        </w:tc>
        <w:tc>
          <w:tcPr>
            <w:tcW w:w="880" w:type="dxa"/>
            <w:vAlign w:val="bottom"/>
            <w:tcBorders>
              <w:bottom w:val="single" w:sz="8" w:color="2C2C2C"/>
            </w:tcBorders>
          </w:tcPr>
          <w:p>
            <w:pPr>
              <w:ind w:left="60"/>
              <w:spacing w:after="0"/>
              <w:rPr>
                <w:sz w:val="20"/>
                <w:szCs w:val="20"/>
                <w:color w:val="auto"/>
              </w:rPr>
            </w:pPr>
            <w:r>
              <w:rPr>
                <w:rFonts w:ascii="Arial" w:cs="Arial" w:eastAsia="Arial" w:hAnsi="Arial"/>
                <w:sz w:val="14"/>
                <w:szCs w:val="14"/>
                <w:color w:val="0000FF"/>
                <w:w w:val="90"/>
              </w:rPr>
              <w:t>04/19/2001</w:t>
            </w:r>
            <w:r>
              <w:rPr>
                <w:rFonts w:ascii="Arial" w:cs="Arial" w:eastAsia="Arial" w:hAnsi="Arial"/>
                <w:sz w:val="22"/>
                <w:szCs w:val="22"/>
                <w:color w:val="008000"/>
                <w:w w:val="90"/>
                <w:vertAlign w:val="superscript"/>
              </w:rPr>
              <w:t>(6)</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04/19/2010</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jc w:val="center"/>
              <w:ind w:left="137"/>
              <w:spacing w:after="0"/>
              <w:rPr>
                <w:sz w:val="20"/>
                <w:szCs w:val="20"/>
                <w:color w:val="auto"/>
              </w:rPr>
            </w:pPr>
            <w:r>
              <w:rPr>
                <w:rFonts w:ascii="Arial" w:cs="Arial" w:eastAsia="Arial" w:hAnsi="Arial"/>
                <w:sz w:val="18"/>
                <w:szCs w:val="18"/>
                <w:color w:val="0000FF"/>
                <w:w w:val="88"/>
              </w:rPr>
              <w:t>3,041</w:t>
            </w:r>
          </w:p>
        </w:tc>
        <w:tc>
          <w:tcPr>
            <w:tcW w:w="880" w:type="dxa"/>
            <w:vAlign w:val="bottom"/>
            <w:tcBorders>
              <w:bottom w:val="single" w:sz="8" w:color="2C2C2C"/>
            </w:tcBorders>
          </w:tcPr>
          <w:p>
            <w:pPr>
              <w:jc w:val="right"/>
              <w:ind w:right="118"/>
              <w:spacing w:after="0"/>
              <w:rPr>
                <w:sz w:val="20"/>
                <w:szCs w:val="20"/>
                <w:color w:val="auto"/>
              </w:rPr>
            </w:pPr>
            <w:r>
              <w:rPr>
                <w:rFonts w:ascii="Arial" w:cs="Arial" w:eastAsia="Arial" w:hAnsi="Arial"/>
                <w:sz w:val="18"/>
                <w:szCs w:val="18"/>
                <w:color w:val="0000FF"/>
              </w:rPr>
              <w:t>73.032</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5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Incentive Stock Option (right to buy)</w:t>
            </w:r>
          </w:p>
        </w:tc>
        <w:tc>
          <w:tcPr>
            <w:tcW w:w="880" w:type="dxa"/>
            <w:vAlign w:val="bottom"/>
            <w:tcBorders>
              <w:bottom w:val="single" w:sz="8" w:color="2C2C2C"/>
            </w:tcBorders>
          </w:tcPr>
          <w:p>
            <w:pPr>
              <w:ind w:left="60"/>
              <w:spacing w:after="0"/>
              <w:rPr>
                <w:sz w:val="20"/>
                <w:szCs w:val="20"/>
                <w:color w:val="auto"/>
              </w:rPr>
            </w:pPr>
            <w:r>
              <w:rPr>
                <w:rFonts w:ascii="Arial" w:cs="Arial" w:eastAsia="Arial" w:hAnsi="Arial"/>
                <w:sz w:val="14"/>
                <w:szCs w:val="14"/>
                <w:color w:val="0000FF"/>
                <w:w w:val="90"/>
              </w:rPr>
              <w:t>10/19/2001</w:t>
            </w:r>
            <w:r>
              <w:rPr>
                <w:rFonts w:ascii="Arial" w:cs="Arial" w:eastAsia="Arial" w:hAnsi="Arial"/>
                <w:sz w:val="22"/>
                <w:szCs w:val="22"/>
                <w:color w:val="008000"/>
                <w:w w:val="90"/>
                <w:vertAlign w:val="superscript"/>
              </w:rPr>
              <w:t>(7)</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10/19/2010</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jc w:val="center"/>
              <w:ind w:left="137"/>
              <w:spacing w:after="0"/>
              <w:rPr>
                <w:sz w:val="20"/>
                <w:szCs w:val="20"/>
                <w:color w:val="auto"/>
              </w:rPr>
            </w:pPr>
            <w:r>
              <w:rPr>
                <w:rFonts w:ascii="Arial" w:cs="Arial" w:eastAsia="Arial" w:hAnsi="Arial"/>
                <w:sz w:val="18"/>
                <w:szCs w:val="18"/>
                <w:color w:val="0000FF"/>
                <w:w w:val="93"/>
              </w:rPr>
              <w:t>150</w:t>
            </w:r>
          </w:p>
        </w:tc>
        <w:tc>
          <w:tcPr>
            <w:tcW w:w="880" w:type="dxa"/>
            <w:vAlign w:val="bottom"/>
            <w:tcBorders>
              <w:bottom w:val="single" w:sz="8" w:color="2C2C2C"/>
            </w:tcBorders>
          </w:tcPr>
          <w:p>
            <w:pPr>
              <w:jc w:val="right"/>
              <w:ind w:right="118"/>
              <w:spacing w:after="0"/>
              <w:rPr>
                <w:sz w:val="20"/>
                <w:szCs w:val="20"/>
                <w:color w:val="auto"/>
              </w:rPr>
            </w:pPr>
            <w:r>
              <w:rPr>
                <w:rFonts w:ascii="Arial" w:cs="Arial" w:eastAsia="Arial" w:hAnsi="Arial"/>
                <w:sz w:val="18"/>
                <w:szCs w:val="18"/>
                <w:color w:val="0000FF"/>
              </w:rPr>
              <w:t>82.282</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5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Incentive Stock Option (right to buy)</w:t>
            </w:r>
          </w:p>
        </w:tc>
        <w:tc>
          <w:tcPr>
            <w:tcW w:w="880" w:type="dxa"/>
            <w:vAlign w:val="bottom"/>
            <w:tcBorders>
              <w:bottom w:val="single" w:sz="8" w:color="2C2C2C"/>
            </w:tcBorders>
          </w:tcPr>
          <w:p>
            <w:pPr>
              <w:ind w:left="60"/>
              <w:spacing w:after="0"/>
              <w:rPr>
                <w:sz w:val="20"/>
                <w:szCs w:val="20"/>
                <w:color w:val="auto"/>
              </w:rPr>
            </w:pPr>
            <w:r>
              <w:rPr>
                <w:rFonts w:ascii="Arial" w:cs="Arial" w:eastAsia="Arial" w:hAnsi="Arial"/>
                <w:sz w:val="14"/>
                <w:szCs w:val="14"/>
                <w:color w:val="0000FF"/>
                <w:w w:val="90"/>
              </w:rPr>
              <w:t>10/21/1998</w:t>
            </w:r>
            <w:r>
              <w:rPr>
                <w:rFonts w:ascii="Arial" w:cs="Arial" w:eastAsia="Arial" w:hAnsi="Arial"/>
                <w:sz w:val="22"/>
                <w:szCs w:val="22"/>
                <w:color w:val="008000"/>
                <w:w w:val="90"/>
                <w:vertAlign w:val="superscript"/>
              </w:rPr>
              <w:t>(8)</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10/21/2007</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jc w:val="center"/>
              <w:ind w:left="137"/>
              <w:spacing w:after="0"/>
              <w:rPr>
                <w:sz w:val="20"/>
                <w:szCs w:val="20"/>
                <w:color w:val="auto"/>
              </w:rPr>
            </w:pPr>
            <w:r>
              <w:rPr>
                <w:rFonts w:ascii="Arial" w:cs="Arial" w:eastAsia="Arial" w:hAnsi="Arial"/>
                <w:sz w:val="18"/>
                <w:szCs w:val="18"/>
                <w:color w:val="0000FF"/>
                <w:w w:val="88"/>
              </w:rPr>
              <w:t>1,148</w:t>
            </w:r>
          </w:p>
        </w:tc>
        <w:tc>
          <w:tcPr>
            <w:tcW w:w="880" w:type="dxa"/>
            <w:vAlign w:val="bottom"/>
            <w:tcBorders>
              <w:bottom w:val="single" w:sz="8" w:color="2C2C2C"/>
            </w:tcBorders>
          </w:tcPr>
          <w:p>
            <w:pPr>
              <w:jc w:val="right"/>
              <w:ind w:right="118"/>
              <w:spacing w:after="0"/>
              <w:rPr>
                <w:sz w:val="20"/>
                <w:szCs w:val="20"/>
                <w:color w:val="auto"/>
              </w:rPr>
            </w:pPr>
            <w:r>
              <w:rPr>
                <w:rFonts w:ascii="Arial" w:cs="Arial" w:eastAsia="Arial" w:hAnsi="Arial"/>
                <w:sz w:val="18"/>
                <w:szCs w:val="18"/>
                <w:color w:val="0000FF"/>
              </w:rPr>
              <w:t>82.348</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w w:val="95"/>
              </w:rPr>
              <w:t>NQ Stock Option (right to buy) w/ tandem Tax</w:t>
            </w:r>
          </w:p>
        </w:tc>
        <w:tc>
          <w:tcPr>
            <w:tcW w:w="880" w:type="dxa"/>
            <w:vAlign w:val="bottom"/>
            <w:vMerge w:val="restart"/>
          </w:tcPr>
          <w:p>
            <w:pPr>
              <w:ind w:left="60"/>
              <w:spacing w:after="0"/>
              <w:rPr>
                <w:sz w:val="20"/>
                <w:szCs w:val="20"/>
                <w:color w:val="auto"/>
              </w:rPr>
            </w:pPr>
            <w:r>
              <w:rPr>
                <w:rFonts w:ascii="Arial" w:cs="Arial" w:eastAsia="Arial" w:hAnsi="Arial"/>
                <w:sz w:val="14"/>
                <w:szCs w:val="14"/>
                <w:color w:val="0000FF"/>
                <w:w w:val="90"/>
              </w:rPr>
              <w:t>10/16/1997</w:t>
            </w:r>
            <w:r>
              <w:rPr>
                <w:rFonts w:ascii="Arial" w:cs="Arial" w:eastAsia="Arial" w:hAnsi="Arial"/>
                <w:sz w:val="22"/>
                <w:szCs w:val="22"/>
                <w:color w:val="008000"/>
                <w:w w:val="90"/>
                <w:vertAlign w:val="superscript"/>
              </w:rPr>
              <w:t>(3)</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10/16/2006</w:t>
            </w:r>
          </w:p>
        </w:tc>
        <w:tc>
          <w:tcPr>
            <w:tcW w:w="1860" w:type="dxa"/>
            <w:vAlign w:val="bottom"/>
            <w:vMerge w:val="restart"/>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vMerge w:val="restart"/>
          </w:tcPr>
          <w:p>
            <w:pPr>
              <w:jc w:val="center"/>
              <w:ind w:left="137"/>
              <w:spacing w:after="0"/>
              <w:rPr>
                <w:sz w:val="20"/>
                <w:szCs w:val="20"/>
                <w:color w:val="auto"/>
              </w:rPr>
            </w:pPr>
            <w:r>
              <w:rPr>
                <w:rFonts w:ascii="Arial" w:cs="Arial" w:eastAsia="Arial" w:hAnsi="Arial"/>
                <w:sz w:val="18"/>
                <w:szCs w:val="18"/>
                <w:color w:val="0000FF"/>
                <w:w w:val="88"/>
              </w:rPr>
              <w:t>8,451</w:t>
            </w:r>
          </w:p>
        </w:tc>
        <w:tc>
          <w:tcPr>
            <w:tcW w:w="880" w:type="dxa"/>
            <w:vAlign w:val="bottom"/>
            <w:vMerge w:val="restart"/>
          </w:tcPr>
          <w:p>
            <w:pPr>
              <w:jc w:val="right"/>
              <w:ind w:right="118"/>
              <w:spacing w:after="0"/>
              <w:rPr>
                <w:sz w:val="20"/>
                <w:szCs w:val="20"/>
                <w:color w:val="auto"/>
              </w:rPr>
            </w:pPr>
            <w:r>
              <w:rPr>
                <w:rFonts w:ascii="Arial" w:cs="Arial" w:eastAsia="Arial" w:hAnsi="Arial"/>
                <w:sz w:val="18"/>
                <w:szCs w:val="18"/>
                <w:color w:val="0000FF"/>
              </w:rPr>
              <w:t>42.596</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560" w:type="dxa"/>
            <w:vAlign w:val="bottom"/>
            <w:vMerge w:val="restart"/>
          </w:tcPr>
          <w:p>
            <w:pPr>
              <w:ind w:left="60"/>
              <w:spacing w:after="0"/>
              <w:rPr>
                <w:sz w:val="20"/>
                <w:szCs w:val="20"/>
                <w:color w:val="auto"/>
              </w:rPr>
            </w:pPr>
            <w:r>
              <w:rPr>
                <w:rFonts w:ascii="Arial" w:cs="Arial" w:eastAsia="Arial" w:hAnsi="Arial"/>
                <w:sz w:val="18"/>
                <w:szCs w:val="18"/>
                <w:color w:val="0000FF"/>
              </w:rPr>
              <w:t>w/h right</w:t>
            </w:r>
          </w:p>
        </w:tc>
        <w:tc>
          <w:tcPr>
            <w:tcW w:w="8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86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560" w:type="dxa"/>
            <w:vAlign w:val="bottom"/>
            <w:vMerge w:val="continue"/>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w w:val="95"/>
              </w:rPr>
              <w:t>NQ Stock Option (right to buy) w/ tandem Tax</w:t>
            </w:r>
          </w:p>
        </w:tc>
        <w:tc>
          <w:tcPr>
            <w:tcW w:w="880" w:type="dxa"/>
            <w:vAlign w:val="bottom"/>
            <w:vMerge w:val="restart"/>
          </w:tcPr>
          <w:p>
            <w:pPr>
              <w:ind w:left="60"/>
              <w:spacing w:after="0"/>
              <w:rPr>
                <w:sz w:val="20"/>
                <w:szCs w:val="20"/>
                <w:color w:val="auto"/>
              </w:rPr>
            </w:pPr>
            <w:r>
              <w:rPr>
                <w:rFonts w:ascii="Arial" w:cs="Arial" w:eastAsia="Arial" w:hAnsi="Arial"/>
                <w:sz w:val="14"/>
                <w:szCs w:val="14"/>
                <w:color w:val="0000FF"/>
                <w:w w:val="90"/>
              </w:rPr>
              <w:t>04/21/2000</w:t>
            </w:r>
            <w:r>
              <w:rPr>
                <w:rFonts w:ascii="Arial" w:cs="Arial" w:eastAsia="Arial" w:hAnsi="Arial"/>
                <w:sz w:val="22"/>
                <w:szCs w:val="22"/>
                <w:color w:val="008000"/>
                <w:w w:val="90"/>
                <w:vertAlign w:val="superscript"/>
              </w:rPr>
              <w:t>(4)</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04/21/2009</w:t>
            </w:r>
          </w:p>
        </w:tc>
        <w:tc>
          <w:tcPr>
            <w:tcW w:w="1860" w:type="dxa"/>
            <w:vAlign w:val="bottom"/>
            <w:vMerge w:val="restart"/>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vMerge w:val="restart"/>
          </w:tcPr>
          <w:p>
            <w:pPr>
              <w:jc w:val="center"/>
              <w:ind w:left="137"/>
              <w:spacing w:after="0"/>
              <w:rPr>
                <w:sz w:val="20"/>
                <w:szCs w:val="20"/>
                <w:color w:val="auto"/>
              </w:rPr>
            </w:pPr>
            <w:r>
              <w:rPr>
                <w:rFonts w:ascii="Arial" w:cs="Arial" w:eastAsia="Arial" w:hAnsi="Arial"/>
                <w:sz w:val="18"/>
                <w:szCs w:val="18"/>
                <w:color w:val="0000FF"/>
                <w:w w:val="93"/>
              </w:rPr>
              <w:t>773</w:t>
            </w:r>
          </w:p>
        </w:tc>
        <w:tc>
          <w:tcPr>
            <w:tcW w:w="880" w:type="dxa"/>
            <w:vAlign w:val="bottom"/>
            <w:vMerge w:val="restart"/>
          </w:tcPr>
          <w:p>
            <w:pPr>
              <w:jc w:val="right"/>
              <w:ind w:right="118"/>
              <w:spacing w:after="0"/>
              <w:rPr>
                <w:sz w:val="20"/>
                <w:szCs w:val="20"/>
                <w:color w:val="auto"/>
              </w:rPr>
            </w:pPr>
            <w:r>
              <w:rPr>
                <w:rFonts w:ascii="Arial" w:cs="Arial" w:eastAsia="Arial" w:hAnsi="Arial"/>
                <w:sz w:val="18"/>
                <w:szCs w:val="18"/>
                <w:color w:val="0000FF"/>
              </w:rPr>
              <w:t>55.619</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560" w:type="dxa"/>
            <w:vAlign w:val="bottom"/>
            <w:vMerge w:val="restart"/>
          </w:tcPr>
          <w:p>
            <w:pPr>
              <w:ind w:left="60"/>
              <w:spacing w:after="0"/>
              <w:rPr>
                <w:sz w:val="20"/>
                <w:szCs w:val="20"/>
                <w:color w:val="auto"/>
              </w:rPr>
            </w:pPr>
            <w:r>
              <w:rPr>
                <w:rFonts w:ascii="Arial" w:cs="Arial" w:eastAsia="Arial" w:hAnsi="Arial"/>
                <w:sz w:val="18"/>
                <w:szCs w:val="18"/>
                <w:color w:val="0000FF"/>
              </w:rPr>
              <w:t>w/h right</w:t>
            </w:r>
          </w:p>
        </w:tc>
        <w:tc>
          <w:tcPr>
            <w:tcW w:w="8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86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560" w:type="dxa"/>
            <w:vAlign w:val="bottom"/>
            <w:vMerge w:val="continue"/>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w w:val="95"/>
              </w:rPr>
              <w:t>NQ Stock Option (right to buy) w/ tandem Tax</w:t>
            </w:r>
          </w:p>
        </w:tc>
        <w:tc>
          <w:tcPr>
            <w:tcW w:w="880" w:type="dxa"/>
            <w:vAlign w:val="bottom"/>
            <w:vMerge w:val="restart"/>
          </w:tcPr>
          <w:p>
            <w:pPr>
              <w:ind w:left="60"/>
              <w:spacing w:after="0"/>
              <w:rPr>
                <w:sz w:val="20"/>
                <w:szCs w:val="20"/>
                <w:color w:val="auto"/>
              </w:rPr>
            </w:pPr>
            <w:r>
              <w:rPr>
                <w:rFonts w:ascii="Arial" w:cs="Arial" w:eastAsia="Arial" w:hAnsi="Arial"/>
                <w:sz w:val="14"/>
                <w:szCs w:val="14"/>
                <w:color w:val="0000FF"/>
                <w:w w:val="90"/>
              </w:rPr>
              <w:t>04/17/2003</w:t>
            </w:r>
            <w:r>
              <w:rPr>
                <w:rFonts w:ascii="Arial" w:cs="Arial" w:eastAsia="Arial" w:hAnsi="Arial"/>
                <w:sz w:val="22"/>
                <w:szCs w:val="22"/>
                <w:color w:val="008000"/>
                <w:w w:val="90"/>
                <w:vertAlign w:val="superscript"/>
              </w:rPr>
              <w:t>(5)</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04/17/2012</w:t>
            </w:r>
          </w:p>
        </w:tc>
        <w:tc>
          <w:tcPr>
            <w:tcW w:w="1860" w:type="dxa"/>
            <w:vAlign w:val="bottom"/>
            <w:vMerge w:val="restart"/>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vMerge w:val="restart"/>
          </w:tcPr>
          <w:p>
            <w:pPr>
              <w:jc w:val="center"/>
              <w:ind w:left="137"/>
              <w:spacing w:after="0"/>
              <w:rPr>
                <w:sz w:val="20"/>
                <w:szCs w:val="20"/>
                <w:color w:val="auto"/>
              </w:rPr>
            </w:pPr>
            <w:r>
              <w:rPr>
                <w:rFonts w:ascii="Arial" w:cs="Arial" w:eastAsia="Arial" w:hAnsi="Arial"/>
                <w:sz w:val="18"/>
                <w:szCs w:val="18"/>
                <w:color w:val="0000FF"/>
                <w:w w:val="87"/>
              </w:rPr>
              <w:t>11,412</w:t>
            </w:r>
          </w:p>
        </w:tc>
        <w:tc>
          <w:tcPr>
            <w:tcW w:w="880" w:type="dxa"/>
            <w:vAlign w:val="bottom"/>
            <w:vMerge w:val="restart"/>
          </w:tcPr>
          <w:p>
            <w:pPr>
              <w:jc w:val="right"/>
              <w:ind w:right="118"/>
              <w:spacing w:after="0"/>
              <w:rPr>
                <w:sz w:val="20"/>
                <w:szCs w:val="20"/>
                <w:color w:val="auto"/>
              </w:rPr>
            </w:pPr>
            <w:r>
              <w:rPr>
                <w:rFonts w:ascii="Arial" w:cs="Arial" w:eastAsia="Arial" w:hAnsi="Arial"/>
                <w:sz w:val="18"/>
                <w:szCs w:val="18"/>
                <w:color w:val="0000FF"/>
              </w:rPr>
              <w:t>55.745</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560" w:type="dxa"/>
            <w:vAlign w:val="bottom"/>
            <w:vMerge w:val="restart"/>
          </w:tcPr>
          <w:p>
            <w:pPr>
              <w:ind w:left="60"/>
              <w:spacing w:after="0"/>
              <w:rPr>
                <w:sz w:val="20"/>
                <w:szCs w:val="20"/>
                <w:color w:val="auto"/>
              </w:rPr>
            </w:pPr>
            <w:r>
              <w:rPr>
                <w:rFonts w:ascii="Arial" w:cs="Arial" w:eastAsia="Arial" w:hAnsi="Arial"/>
                <w:sz w:val="18"/>
                <w:szCs w:val="18"/>
                <w:color w:val="0000FF"/>
              </w:rPr>
              <w:t>w/h right</w:t>
            </w:r>
          </w:p>
        </w:tc>
        <w:tc>
          <w:tcPr>
            <w:tcW w:w="8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86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560" w:type="dxa"/>
            <w:vAlign w:val="bottom"/>
            <w:vMerge w:val="continue"/>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w w:val="95"/>
              </w:rPr>
              <w:t>NQ Stock Option (right to buy) w/ tandem Tax</w:t>
            </w:r>
          </w:p>
        </w:tc>
        <w:tc>
          <w:tcPr>
            <w:tcW w:w="880" w:type="dxa"/>
            <w:vAlign w:val="bottom"/>
            <w:vMerge w:val="restart"/>
          </w:tcPr>
          <w:p>
            <w:pPr>
              <w:ind w:left="60"/>
              <w:spacing w:after="0"/>
              <w:rPr>
                <w:sz w:val="20"/>
                <w:szCs w:val="20"/>
                <w:color w:val="auto"/>
              </w:rPr>
            </w:pPr>
            <w:r>
              <w:rPr>
                <w:rFonts w:ascii="Arial" w:cs="Arial" w:eastAsia="Arial" w:hAnsi="Arial"/>
                <w:sz w:val="14"/>
                <w:szCs w:val="14"/>
                <w:color w:val="0000FF"/>
                <w:w w:val="90"/>
              </w:rPr>
              <w:t>04/15/1999</w:t>
            </w:r>
            <w:r>
              <w:rPr>
                <w:rFonts w:ascii="Arial" w:cs="Arial" w:eastAsia="Arial" w:hAnsi="Arial"/>
                <w:sz w:val="22"/>
                <w:szCs w:val="22"/>
                <w:color w:val="008000"/>
                <w:w w:val="90"/>
                <w:vertAlign w:val="superscript"/>
              </w:rPr>
              <w:t>(9)</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04/15/2008</w:t>
            </w:r>
          </w:p>
        </w:tc>
        <w:tc>
          <w:tcPr>
            <w:tcW w:w="1860" w:type="dxa"/>
            <w:vAlign w:val="bottom"/>
            <w:vMerge w:val="restart"/>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vMerge w:val="restart"/>
          </w:tcPr>
          <w:p>
            <w:pPr>
              <w:jc w:val="center"/>
              <w:ind w:left="137"/>
              <w:spacing w:after="0"/>
              <w:rPr>
                <w:sz w:val="20"/>
                <w:szCs w:val="20"/>
                <w:color w:val="auto"/>
              </w:rPr>
            </w:pPr>
            <w:r>
              <w:rPr>
                <w:rFonts w:ascii="Arial" w:cs="Arial" w:eastAsia="Arial" w:hAnsi="Arial"/>
                <w:sz w:val="18"/>
                <w:szCs w:val="18"/>
                <w:color w:val="0000FF"/>
                <w:w w:val="88"/>
              </w:rPr>
              <w:t>4,396</w:t>
            </w:r>
          </w:p>
        </w:tc>
        <w:tc>
          <w:tcPr>
            <w:tcW w:w="880" w:type="dxa"/>
            <w:vAlign w:val="bottom"/>
            <w:vMerge w:val="restart"/>
          </w:tcPr>
          <w:p>
            <w:pPr>
              <w:jc w:val="right"/>
              <w:ind w:right="118"/>
              <w:spacing w:after="0"/>
              <w:rPr>
                <w:sz w:val="20"/>
                <w:szCs w:val="20"/>
                <w:color w:val="auto"/>
              </w:rPr>
            </w:pPr>
            <w:r>
              <w:rPr>
                <w:rFonts w:ascii="Arial" w:cs="Arial" w:eastAsia="Arial" w:hAnsi="Arial"/>
                <w:sz w:val="18"/>
                <w:szCs w:val="18"/>
                <w:color w:val="0000FF"/>
              </w:rPr>
              <w:t>71.315</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560" w:type="dxa"/>
            <w:vAlign w:val="bottom"/>
            <w:vMerge w:val="restart"/>
          </w:tcPr>
          <w:p>
            <w:pPr>
              <w:ind w:left="60"/>
              <w:spacing w:after="0"/>
              <w:rPr>
                <w:sz w:val="20"/>
                <w:szCs w:val="20"/>
                <w:color w:val="auto"/>
              </w:rPr>
            </w:pPr>
            <w:r>
              <w:rPr>
                <w:rFonts w:ascii="Arial" w:cs="Arial" w:eastAsia="Arial" w:hAnsi="Arial"/>
                <w:sz w:val="18"/>
                <w:szCs w:val="18"/>
                <w:color w:val="0000FF"/>
              </w:rPr>
              <w:t>w/h right</w:t>
            </w:r>
          </w:p>
        </w:tc>
        <w:tc>
          <w:tcPr>
            <w:tcW w:w="8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86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560" w:type="dxa"/>
            <w:vAlign w:val="bottom"/>
            <w:vMerge w:val="continue"/>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w w:val="95"/>
              </w:rPr>
              <w:t>NQ Stock Option (right to buy) w/ tandem Tax</w:t>
            </w:r>
          </w:p>
        </w:tc>
        <w:tc>
          <w:tcPr>
            <w:tcW w:w="880" w:type="dxa"/>
            <w:vAlign w:val="bottom"/>
            <w:vMerge w:val="restart"/>
          </w:tcPr>
          <w:p>
            <w:pPr>
              <w:ind w:left="60"/>
              <w:spacing w:after="0"/>
              <w:rPr>
                <w:sz w:val="20"/>
                <w:szCs w:val="20"/>
                <w:color w:val="auto"/>
              </w:rPr>
            </w:pPr>
            <w:r>
              <w:rPr>
                <w:rFonts w:ascii="Arial" w:cs="Arial" w:eastAsia="Arial" w:hAnsi="Arial"/>
                <w:sz w:val="14"/>
                <w:szCs w:val="14"/>
                <w:color w:val="0000FF"/>
                <w:w w:val="90"/>
              </w:rPr>
              <w:t>04/19/2001</w:t>
            </w:r>
            <w:r>
              <w:rPr>
                <w:rFonts w:ascii="Arial" w:cs="Arial" w:eastAsia="Arial" w:hAnsi="Arial"/>
                <w:sz w:val="22"/>
                <w:szCs w:val="22"/>
                <w:color w:val="008000"/>
                <w:w w:val="90"/>
                <w:vertAlign w:val="superscript"/>
              </w:rPr>
              <w:t>(6)</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04/19/2010</w:t>
            </w:r>
          </w:p>
        </w:tc>
        <w:tc>
          <w:tcPr>
            <w:tcW w:w="1860" w:type="dxa"/>
            <w:vAlign w:val="bottom"/>
            <w:vMerge w:val="restart"/>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vMerge w:val="restart"/>
          </w:tcPr>
          <w:p>
            <w:pPr>
              <w:jc w:val="center"/>
              <w:ind w:left="137"/>
              <w:spacing w:after="0"/>
              <w:rPr>
                <w:sz w:val="20"/>
                <w:szCs w:val="20"/>
                <w:color w:val="auto"/>
              </w:rPr>
            </w:pPr>
            <w:r>
              <w:rPr>
                <w:rFonts w:ascii="Arial" w:cs="Arial" w:eastAsia="Arial" w:hAnsi="Arial"/>
                <w:sz w:val="18"/>
                <w:szCs w:val="18"/>
                <w:color w:val="0000FF"/>
                <w:w w:val="88"/>
              </w:rPr>
              <w:t>2,959</w:t>
            </w:r>
          </w:p>
        </w:tc>
        <w:tc>
          <w:tcPr>
            <w:tcW w:w="880" w:type="dxa"/>
            <w:vAlign w:val="bottom"/>
            <w:vMerge w:val="restart"/>
          </w:tcPr>
          <w:p>
            <w:pPr>
              <w:jc w:val="right"/>
              <w:ind w:right="118"/>
              <w:spacing w:after="0"/>
              <w:rPr>
                <w:sz w:val="20"/>
                <w:szCs w:val="20"/>
                <w:color w:val="auto"/>
              </w:rPr>
            </w:pPr>
            <w:r>
              <w:rPr>
                <w:rFonts w:ascii="Arial" w:cs="Arial" w:eastAsia="Arial" w:hAnsi="Arial"/>
                <w:sz w:val="18"/>
                <w:szCs w:val="18"/>
                <w:color w:val="0000FF"/>
              </w:rPr>
              <w:t>73.032</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560" w:type="dxa"/>
            <w:vAlign w:val="bottom"/>
            <w:vMerge w:val="restart"/>
          </w:tcPr>
          <w:p>
            <w:pPr>
              <w:ind w:left="60"/>
              <w:spacing w:after="0"/>
              <w:rPr>
                <w:sz w:val="20"/>
                <w:szCs w:val="20"/>
                <w:color w:val="auto"/>
              </w:rPr>
            </w:pPr>
            <w:r>
              <w:rPr>
                <w:rFonts w:ascii="Arial" w:cs="Arial" w:eastAsia="Arial" w:hAnsi="Arial"/>
                <w:sz w:val="18"/>
                <w:szCs w:val="18"/>
                <w:color w:val="0000FF"/>
              </w:rPr>
              <w:t>w/h right</w:t>
            </w:r>
          </w:p>
        </w:tc>
        <w:tc>
          <w:tcPr>
            <w:tcW w:w="8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86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560" w:type="dxa"/>
            <w:vAlign w:val="bottom"/>
            <w:vMerge w:val="continue"/>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w w:val="95"/>
              </w:rPr>
              <w:t>NQ Stock Option (right to buy) w/ tandem Tax</w:t>
            </w:r>
          </w:p>
        </w:tc>
        <w:tc>
          <w:tcPr>
            <w:tcW w:w="880" w:type="dxa"/>
            <w:vAlign w:val="bottom"/>
            <w:vMerge w:val="restart"/>
          </w:tcPr>
          <w:p>
            <w:pPr>
              <w:ind w:left="60"/>
              <w:spacing w:after="0"/>
              <w:rPr>
                <w:sz w:val="20"/>
                <w:szCs w:val="20"/>
                <w:color w:val="auto"/>
              </w:rPr>
            </w:pPr>
            <w:r>
              <w:rPr>
                <w:rFonts w:ascii="Arial" w:cs="Arial" w:eastAsia="Arial" w:hAnsi="Arial"/>
                <w:sz w:val="14"/>
                <w:szCs w:val="14"/>
                <w:color w:val="0000FF"/>
                <w:w w:val="90"/>
              </w:rPr>
              <w:t>10/19/2001</w:t>
            </w:r>
            <w:r>
              <w:rPr>
                <w:rFonts w:ascii="Arial" w:cs="Arial" w:eastAsia="Arial" w:hAnsi="Arial"/>
                <w:sz w:val="22"/>
                <w:szCs w:val="22"/>
                <w:color w:val="008000"/>
                <w:w w:val="90"/>
                <w:vertAlign w:val="superscript"/>
              </w:rPr>
              <w:t>(7)</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10/19/2010</w:t>
            </w:r>
          </w:p>
        </w:tc>
        <w:tc>
          <w:tcPr>
            <w:tcW w:w="1860" w:type="dxa"/>
            <w:vAlign w:val="bottom"/>
            <w:vMerge w:val="restart"/>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vMerge w:val="restart"/>
          </w:tcPr>
          <w:p>
            <w:pPr>
              <w:jc w:val="center"/>
              <w:ind w:left="137"/>
              <w:spacing w:after="0"/>
              <w:rPr>
                <w:sz w:val="20"/>
                <w:szCs w:val="20"/>
                <w:color w:val="auto"/>
              </w:rPr>
            </w:pPr>
            <w:r>
              <w:rPr>
                <w:rFonts w:ascii="Arial" w:cs="Arial" w:eastAsia="Arial" w:hAnsi="Arial"/>
                <w:sz w:val="18"/>
                <w:szCs w:val="18"/>
                <w:color w:val="0000FF"/>
                <w:w w:val="88"/>
              </w:rPr>
              <w:t>4,850</w:t>
            </w:r>
          </w:p>
        </w:tc>
        <w:tc>
          <w:tcPr>
            <w:tcW w:w="880" w:type="dxa"/>
            <w:vAlign w:val="bottom"/>
            <w:vMerge w:val="restart"/>
          </w:tcPr>
          <w:p>
            <w:pPr>
              <w:jc w:val="right"/>
              <w:ind w:right="118"/>
              <w:spacing w:after="0"/>
              <w:rPr>
                <w:sz w:val="20"/>
                <w:szCs w:val="20"/>
                <w:color w:val="auto"/>
              </w:rPr>
            </w:pPr>
            <w:r>
              <w:rPr>
                <w:rFonts w:ascii="Arial" w:cs="Arial" w:eastAsia="Arial" w:hAnsi="Arial"/>
                <w:sz w:val="18"/>
                <w:szCs w:val="18"/>
                <w:color w:val="0000FF"/>
              </w:rPr>
              <w:t>82.282</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560" w:type="dxa"/>
            <w:vAlign w:val="bottom"/>
            <w:vMerge w:val="restart"/>
          </w:tcPr>
          <w:p>
            <w:pPr>
              <w:ind w:left="60"/>
              <w:spacing w:after="0"/>
              <w:rPr>
                <w:sz w:val="20"/>
                <w:szCs w:val="20"/>
                <w:color w:val="auto"/>
              </w:rPr>
            </w:pPr>
            <w:r>
              <w:rPr>
                <w:rFonts w:ascii="Arial" w:cs="Arial" w:eastAsia="Arial" w:hAnsi="Arial"/>
                <w:sz w:val="18"/>
                <w:szCs w:val="18"/>
                <w:color w:val="0000FF"/>
              </w:rPr>
              <w:t>w/h right</w:t>
            </w:r>
          </w:p>
        </w:tc>
        <w:tc>
          <w:tcPr>
            <w:tcW w:w="8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86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560" w:type="dxa"/>
            <w:vAlign w:val="bottom"/>
            <w:vMerge w:val="continue"/>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w w:val="95"/>
              </w:rPr>
              <w:t>NQ Stock Option (right to buy) w/ tandem Tax</w:t>
            </w:r>
          </w:p>
        </w:tc>
        <w:tc>
          <w:tcPr>
            <w:tcW w:w="880" w:type="dxa"/>
            <w:vAlign w:val="bottom"/>
            <w:vMerge w:val="restart"/>
          </w:tcPr>
          <w:p>
            <w:pPr>
              <w:ind w:left="60"/>
              <w:spacing w:after="0"/>
              <w:rPr>
                <w:sz w:val="20"/>
                <w:szCs w:val="20"/>
                <w:color w:val="auto"/>
              </w:rPr>
            </w:pPr>
            <w:r>
              <w:rPr>
                <w:rFonts w:ascii="Arial" w:cs="Arial" w:eastAsia="Arial" w:hAnsi="Arial"/>
                <w:sz w:val="14"/>
                <w:szCs w:val="14"/>
                <w:color w:val="0000FF"/>
                <w:w w:val="90"/>
              </w:rPr>
              <w:t>10/21/1998</w:t>
            </w:r>
            <w:r>
              <w:rPr>
                <w:rFonts w:ascii="Arial" w:cs="Arial" w:eastAsia="Arial" w:hAnsi="Arial"/>
                <w:sz w:val="22"/>
                <w:szCs w:val="22"/>
                <w:color w:val="008000"/>
                <w:w w:val="90"/>
                <w:vertAlign w:val="superscript"/>
              </w:rPr>
              <w:t>(8)</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10/21/2007</w:t>
            </w:r>
          </w:p>
        </w:tc>
        <w:tc>
          <w:tcPr>
            <w:tcW w:w="1860" w:type="dxa"/>
            <w:vAlign w:val="bottom"/>
            <w:vMerge w:val="restart"/>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vMerge w:val="restart"/>
          </w:tcPr>
          <w:p>
            <w:pPr>
              <w:jc w:val="center"/>
              <w:ind w:left="137"/>
              <w:spacing w:after="0"/>
              <w:rPr>
                <w:sz w:val="20"/>
                <w:szCs w:val="20"/>
                <w:color w:val="auto"/>
              </w:rPr>
            </w:pPr>
            <w:r>
              <w:rPr>
                <w:rFonts w:ascii="Arial" w:cs="Arial" w:eastAsia="Arial" w:hAnsi="Arial"/>
                <w:sz w:val="18"/>
                <w:szCs w:val="18"/>
                <w:color w:val="0000FF"/>
                <w:w w:val="88"/>
              </w:rPr>
              <w:t>4,346</w:t>
            </w:r>
          </w:p>
        </w:tc>
        <w:tc>
          <w:tcPr>
            <w:tcW w:w="880" w:type="dxa"/>
            <w:vAlign w:val="bottom"/>
            <w:vMerge w:val="restart"/>
          </w:tcPr>
          <w:p>
            <w:pPr>
              <w:jc w:val="right"/>
              <w:ind w:right="118"/>
              <w:spacing w:after="0"/>
              <w:rPr>
                <w:sz w:val="20"/>
                <w:szCs w:val="20"/>
                <w:color w:val="auto"/>
              </w:rPr>
            </w:pPr>
            <w:r>
              <w:rPr>
                <w:rFonts w:ascii="Arial" w:cs="Arial" w:eastAsia="Arial" w:hAnsi="Arial"/>
                <w:sz w:val="18"/>
                <w:szCs w:val="18"/>
                <w:color w:val="0000FF"/>
              </w:rPr>
              <w:t>82.348</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560" w:type="dxa"/>
            <w:vAlign w:val="bottom"/>
            <w:vMerge w:val="restart"/>
          </w:tcPr>
          <w:p>
            <w:pPr>
              <w:ind w:left="60"/>
              <w:spacing w:after="0"/>
              <w:rPr>
                <w:sz w:val="20"/>
                <w:szCs w:val="20"/>
                <w:color w:val="auto"/>
              </w:rPr>
            </w:pPr>
            <w:r>
              <w:rPr>
                <w:rFonts w:ascii="Arial" w:cs="Arial" w:eastAsia="Arial" w:hAnsi="Arial"/>
                <w:sz w:val="18"/>
                <w:szCs w:val="18"/>
                <w:color w:val="0000FF"/>
              </w:rPr>
              <w:t>w/h right</w:t>
            </w:r>
          </w:p>
        </w:tc>
        <w:tc>
          <w:tcPr>
            <w:tcW w:w="8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86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560" w:type="dxa"/>
            <w:vAlign w:val="bottom"/>
            <w:vMerge w:val="continue"/>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07"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Exercisable in five equal annual installments beginning October 19, 1995.</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Option became exercisable in five annual installments beginning on April 16, 1997.</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EXERCISABLE IN FIVE EQUAL ANNUAL INSTALLMENTS BEGINNING OCTOBER 16,1997</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Exercisable in five equal annual installments beginning April 21, 2000.</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Exercisable in five equal annual installments beginning April 17,2003.</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option became exercisable in five equal annual installments beginning April 19,2001.</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option vests in five equal installments beginning on October 19, 2001.</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option becomes exercisable in five equal annual installments beginning October 21, 1998.</w:t>
      </w:r>
    </w:p>
    <w:p>
      <w:pPr>
        <w:sectPr>
          <w:pgSz w:w="11900" w:h="16838" w:orient="portrait"/>
          <w:cols w:equalWidth="0" w:num="1">
            <w:col w:w="11420"/>
          </w:cols>
          <w:pgMar w:left="240" w:top="226" w:right="239" w:bottom="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color w:val="008000"/>
        </w:rPr>
        <w:t>9. The options became exercisable in five equal annual installments on April 15, 1999.</w:t>
      </w:r>
    </w:p>
    <w:p>
      <w:pPr>
        <w:spacing w:after="0" w:line="71"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By: /s/ Janet B. Glassmacher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2846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1284605" cy="8890"/>
                    </a:xfrm>
                    <a:prstGeom prst="rect">
                      <a:avLst/>
                    </a:prstGeom>
                    <a:noFill/>
                  </pic:spPr>
                </pic:pic>
              </a:graphicData>
            </a:graphic>
          </wp:anchor>
        </w:drawing>
      </w:r>
    </w:p>
    <w:p>
      <w:pPr>
        <w:ind w:left="6820"/>
        <w:spacing w:after="0"/>
        <w:tabs>
          <w:tab w:leader="none" w:pos="9100" w:val="left"/>
        </w:tabs>
        <w:rPr>
          <w:sz w:val="20"/>
          <w:szCs w:val="20"/>
          <w:color w:val="auto"/>
        </w:rPr>
      </w:pPr>
      <w:r>
        <w:rPr>
          <w:rFonts w:ascii="Arial" w:cs="Arial" w:eastAsia="Arial" w:hAnsi="Arial"/>
          <w:sz w:val="18"/>
          <w:szCs w:val="18"/>
          <w:color w:val="0000FF"/>
        </w:rPr>
        <w:t>Attorney in fac For: Douglas</w:t>
      </w:r>
      <w:r>
        <w:rPr>
          <w:sz w:val="20"/>
          <w:szCs w:val="20"/>
          <w:color w:val="auto"/>
        </w:rPr>
        <w:tab/>
      </w:r>
      <w:r>
        <w:rPr>
          <w:rFonts w:ascii="Arial" w:cs="Arial" w:eastAsia="Arial" w:hAnsi="Arial"/>
          <w:sz w:val="15"/>
          <w:szCs w:val="15"/>
          <w:color w:val="0000FF"/>
        </w:rPr>
        <w:t>07/02/2003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957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Pferdehirt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4457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445770" cy="8890"/>
                    </a:xfrm>
                    <a:prstGeom prst="rect">
                      <a:avLst/>
                    </a:prstGeom>
                    <a:noFill/>
                  </pic:spPr>
                </pic:pic>
              </a:graphicData>
            </a:graphic>
          </wp:anchor>
        </w:drawing>
      </w:r>
    </w:p>
    <w:p>
      <w:pPr>
        <w:spacing w:after="0" w:line="44"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320"/>
          </w:cols>
          <w:pgMar w:left="280" w:top="129" w:right="1299"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SCHLUMBERGER LIMITED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9" w:lineRule="exact"/>
        <w:rPr>
          <w:sz w:val="20"/>
          <w:szCs w:val="20"/>
          <w:color w:val="auto"/>
        </w:rPr>
      </w:pPr>
    </w:p>
    <w:p>
      <w:pPr>
        <w:ind w:right="2619"/>
        <w:spacing w:after="0" w:line="268" w:lineRule="auto"/>
        <w:rPr>
          <w:sz w:val="20"/>
          <w:szCs w:val="20"/>
          <w:color w:val="auto"/>
        </w:rPr>
      </w:pPr>
      <w:r>
        <w:rPr>
          <w:rFonts w:ascii="Courier New" w:cs="Courier New" w:eastAsia="Courier New" w:hAnsi="Courier New"/>
          <w:sz w:val="16"/>
          <w:szCs w:val="16"/>
          <w:color w:val="auto"/>
        </w:rPr>
        <w:t>The undersigned in his capacity as a director or officer or both of Schlumberger Limited,a Netherlands Antilles corporation (the "Company"), does hereby appoint Janet B. Glassmacher, Lynda M. Quagliara and Ellen Summer, and each of them severally, his true and lawful attorney-in-fact with power to act with or without the other and with full power</w:t>
      </w:r>
    </w:p>
    <w:p>
      <w:pPr>
        <w:spacing w:after="0" w:line="1" w:lineRule="exact"/>
        <w:rPr>
          <w:sz w:val="20"/>
          <w:szCs w:val="20"/>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of substitution and resubstitution, to execute for him and in his name, place and stead, in his capacity as a director or officer or both of the Company, a statement of beneficial ownership on Form 3, Form 4 or Form 5, and to file the same or cause the same to be filed with the Securities and Exchange Commission. This Power of Attorney shall remain in full force and effect until the undersigned is no longer required to file Forms 3, 4 and 5.</w:t>
      </w:r>
    </w:p>
    <w:p>
      <w:pPr>
        <w:spacing w:after="0" w:line="205"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June 27, 2003</w:t>
      </w:r>
      <w:r>
        <w:rPr>
          <w:sz w:val="20"/>
          <w:szCs w:val="20"/>
          <w:color w:val="auto"/>
        </w:rPr>
        <w:tab/>
      </w:r>
      <w:r>
        <w:rPr>
          <w:rFonts w:ascii="Courier New" w:cs="Courier New" w:eastAsia="Courier New" w:hAnsi="Courier New"/>
          <w:sz w:val="16"/>
          <w:szCs w:val="16"/>
          <w:color w:val="auto"/>
        </w:rPr>
        <w:t>/s/ Doug Pferdehirt</w:t>
      </w:r>
    </w:p>
    <w:p>
      <w:pPr>
        <w:ind w:left="1900"/>
        <w:spacing w:after="0" w:line="238" w:lineRule="auto"/>
        <w:rPr>
          <w:sz w:val="20"/>
          <w:szCs w:val="20"/>
          <w:color w:val="auto"/>
        </w:rPr>
      </w:pPr>
      <w:r>
        <w:rPr>
          <w:rFonts w:ascii="Courier New" w:cs="Courier New" w:eastAsia="Courier New" w:hAnsi="Courier New"/>
          <w:sz w:val="18"/>
          <w:szCs w:val="18"/>
          <w:color w:val="auto"/>
        </w:rPr>
        <w:t>Doug Pferdehirt</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9" Type="http://schemas.openxmlformats.org/officeDocument/2006/relationships/hyperlink" Target="http://www.sec.gov/cgi-bin/browse-edgar?action=getcompany&amp;CIK=0001250840" TargetMode="External"/><Relationship Id="rId10"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2019-12-18T12:03:38Z</dcterms:created>
  <dcterms:modified xsi:type="dcterms:W3CDTF">2019-12-18T12:03:38Z</dcterms:modified>
</cp:coreProperties>
</file>