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jc w:val="center"/>
        <w:ind w:right="-19"/>
        <w:spacing w:after="0" w:line="225" w:lineRule="auto"/>
        <w:rPr>
          <w:sz w:val="20"/>
          <w:szCs w:val="20"/>
          <w:color w:val="auto"/>
        </w:rPr>
      </w:pPr>
      <w:r>
        <w:rPr>
          <w:rFonts w:ascii="Times New Roman" w:cs="Times New Roman" w:eastAsia="Times New Roman" w:hAnsi="Times New Roman"/>
          <w:sz w:val="14"/>
          <w:szCs w:val="14"/>
          <w:b w:val="1"/>
          <w:bCs w:val="1"/>
          <w:color w:val="auto"/>
        </w:rPr>
        <w:t>OR</w:t>
      </w:r>
    </w:p>
    <w:p>
      <w:pPr>
        <w:spacing w:after="0" w:line="1" w:lineRule="exact"/>
        <w:rPr>
          <w:sz w:val="24"/>
          <w:szCs w:val="24"/>
          <w:color w:val="auto"/>
        </w:rPr>
      </w:pPr>
    </w:p>
    <w:p>
      <w:pPr>
        <w:ind w:left="4540" w:right="1580" w:hanging="4532"/>
        <w:spacing w:after="0" w:line="344" w:lineRule="auto"/>
        <w:tabs>
          <w:tab w:leader="none" w:pos="50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29210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5000" w:type="dxa"/>
            <w:vAlign w:val="bottom"/>
          </w:tcPr>
          <w:p>
            <w:pPr>
              <w:jc w:val="center"/>
              <w:ind w:right="1695"/>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8"/>
        </w:trPr>
        <w:tc>
          <w:tcPr>
            <w:tcW w:w="5000" w:type="dxa"/>
            <w:vAlign w:val="bottom"/>
          </w:tcPr>
          <w:p>
            <w:pPr>
              <w:jc w:val="center"/>
              <w:ind w:right="1715"/>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60" w:type="dxa"/>
            <w:vAlign w:val="bottom"/>
          </w:tcPr>
          <w:p>
            <w:pPr>
              <w:jc w:val="center"/>
              <w:ind w:left="1737"/>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9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42 rue Saint-Dominique</w:t>
            </w:r>
          </w:p>
        </w:tc>
        <w:tc>
          <w:tcPr>
            <w:tcW w:w="2860" w:type="dxa"/>
            <w:vAlign w:val="bottom"/>
          </w:tcPr>
          <w:p>
            <w:pPr>
              <w:spacing w:after="0"/>
              <w:rPr>
                <w:sz w:val="24"/>
                <w:szCs w:val="24"/>
                <w:color w:val="auto"/>
              </w:rPr>
            </w:pPr>
          </w:p>
        </w:tc>
      </w:tr>
      <w:tr>
        <w:trPr>
          <w:trHeight w:val="23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rPr>
              <w:t>Paris, France</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315"/>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5599 San Felipe</w:t>
            </w:r>
          </w:p>
        </w:tc>
        <w:tc>
          <w:tcPr>
            <w:tcW w:w="2860" w:type="dxa"/>
            <w:vAlign w:val="bottom"/>
          </w:tcPr>
          <w:p>
            <w:pPr>
              <w:spacing w:after="0"/>
              <w:rPr>
                <w:sz w:val="24"/>
                <w:szCs w:val="24"/>
                <w:color w:val="auto"/>
              </w:rPr>
            </w:pPr>
          </w:p>
        </w:tc>
      </w:tr>
      <w:tr>
        <w:trPr>
          <w:trHeight w:val="23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Houston, Texas, United States of America</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315"/>
        </w:trPr>
        <w:tc>
          <w:tcPr>
            <w:tcW w:w="5000" w:type="dxa"/>
            <w:vAlign w:val="bottom"/>
          </w:tcPr>
          <w:p>
            <w:pPr>
              <w:jc w:val="center"/>
              <w:ind w:right="1695"/>
              <w:spacing w:after="0"/>
              <w:rPr>
                <w:sz w:val="20"/>
                <w:szCs w:val="20"/>
                <w:color w:val="auto"/>
              </w:rPr>
            </w:pPr>
            <w:r>
              <w:rPr>
                <w:rFonts w:ascii="Times New Roman" w:cs="Times New Roman" w:eastAsia="Times New Roman" w:hAnsi="Times New Roman"/>
                <w:sz w:val="18"/>
                <w:szCs w:val="18"/>
                <w:b w:val="1"/>
                <w:bCs w:val="1"/>
                <w:color w:val="auto"/>
                <w:w w:val="99"/>
              </w:rPr>
              <w:t>62 Buckingham Gate</w:t>
            </w:r>
          </w:p>
        </w:tc>
        <w:tc>
          <w:tcPr>
            <w:tcW w:w="2860" w:type="dxa"/>
            <w:vAlign w:val="bottom"/>
          </w:tcPr>
          <w:p>
            <w:pPr>
              <w:spacing w:after="0"/>
              <w:rPr>
                <w:sz w:val="24"/>
                <w:szCs w:val="24"/>
                <w:color w:val="auto"/>
              </w:rPr>
            </w:pPr>
          </w:p>
        </w:tc>
      </w:tr>
      <w:tr>
        <w:trPr>
          <w:trHeight w:val="23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London, United Kingdom</w:t>
            </w:r>
          </w:p>
        </w:tc>
        <w:tc>
          <w:tcPr>
            <w:tcW w:w="2860" w:type="dxa"/>
            <w:vAlign w:val="bottom"/>
          </w:tcPr>
          <w:p>
            <w:pPr>
              <w:jc w:val="center"/>
              <w:ind w:left="1737"/>
              <w:spacing w:after="0"/>
              <w:rPr>
                <w:sz w:val="20"/>
                <w:szCs w:val="20"/>
                <w:color w:val="auto"/>
              </w:rPr>
            </w:pPr>
            <w:r>
              <w:rPr>
                <w:rFonts w:ascii="Times New Roman" w:cs="Times New Roman" w:eastAsia="Times New Roman" w:hAnsi="Times New Roman"/>
                <w:sz w:val="18"/>
                <w:szCs w:val="18"/>
                <w:b w:val="1"/>
                <w:bCs w:val="1"/>
                <w:color w:val="auto"/>
                <w:w w:val="99"/>
              </w:rPr>
              <w:t>SW1E 6AJ</w:t>
            </w:r>
          </w:p>
        </w:tc>
      </w:tr>
      <w:tr>
        <w:trPr>
          <w:trHeight w:val="315"/>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rPr>
              <w:t>Parkstraat 83, The Hague,</w:t>
            </w:r>
          </w:p>
        </w:tc>
        <w:tc>
          <w:tcPr>
            <w:tcW w:w="2860" w:type="dxa"/>
            <w:vAlign w:val="bottom"/>
          </w:tcPr>
          <w:p>
            <w:pPr>
              <w:spacing w:after="0"/>
              <w:rPr>
                <w:sz w:val="24"/>
                <w:szCs w:val="24"/>
                <w:color w:val="auto"/>
              </w:rPr>
            </w:pPr>
          </w:p>
        </w:tc>
      </w:tr>
      <w:tr>
        <w:trPr>
          <w:trHeight w:val="216"/>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2860" w:type="dxa"/>
            <w:vAlign w:val="bottom"/>
          </w:tcPr>
          <w:p>
            <w:pPr>
              <w:jc w:val="center"/>
              <w:ind w:left="1737"/>
              <w:spacing w:after="0"/>
              <w:rPr>
                <w:sz w:val="20"/>
                <w:szCs w:val="20"/>
                <w:color w:val="auto"/>
              </w:rPr>
            </w:pPr>
            <w:r>
              <w:rPr>
                <w:rFonts w:ascii="Times New Roman" w:cs="Times New Roman" w:eastAsia="Times New Roman" w:hAnsi="Times New Roman"/>
                <w:sz w:val="18"/>
                <w:szCs w:val="18"/>
                <w:b w:val="1"/>
                <w:bCs w:val="1"/>
                <w:color w:val="auto"/>
              </w:rPr>
              <w:t>2514 JG</w:t>
            </w:r>
          </w:p>
        </w:tc>
      </w:tr>
      <w:tr>
        <w:trPr>
          <w:trHeight w:val="188"/>
        </w:trPr>
        <w:tc>
          <w:tcPr>
            <w:tcW w:w="5000" w:type="dxa"/>
            <w:vAlign w:val="bottom"/>
          </w:tcPr>
          <w:p>
            <w:pPr>
              <w:jc w:val="center"/>
              <w:ind w:right="1715"/>
              <w:spacing w:after="0"/>
              <w:rPr>
                <w:sz w:val="20"/>
                <w:szCs w:val="20"/>
                <w:color w:val="auto"/>
              </w:rPr>
            </w:pPr>
            <w:r>
              <w:rPr>
                <w:rFonts w:ascii="Times New Roman" w:cs="Times New Roman" w:eastAsia="Times New Roman" w:hAnsi="Times New Roman"/>
                <w:sz w:val="14"/>
                <w:szCs w:val="14"/>
                <w:color w:val="auto"/>
              </w:rPr>
              <w:t>(Addresses of principal executive offices)</w:t>
            </w:r>
          </w:p>
        </w:tc>
        <w:tc>
          <w:tcPr>
            <w:tcW w:w="2860" w:type="dxa"/>
            <w:vAlign w:val="bottom"/>
          </w:tcPr>
          <w:p>
            <w:pPr>
              <w:jc w:val="center"/>
              <w:ind w:left="1717"/>
              <w:spacing w:after="0"/>
              <w:rPr>
                <w:sz w:val="20"/>
                <w:szCs w:val="20"/>
                <w:color w:val="auto"/>
              </w:rPr>
            </w:pPr>
            <w:r>
              <w:rPr>
                <w:rFonts w:ascii="Times New Roman" w:cs="Times New Roman" w:eastAsia="Times New Roman" w:hAnsi="Times New Roman"/>
                <w:sz w:val="14"/>
                <w:szCs w:val="14"/>
                <w:color w:val="auto"/>
              </w:rPr>
              <w:t>(Zip Codes)</w:t>
            </w: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is: (713) 513-2000</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2" w:lineRule="exact"/>
        <w:rPr>
          <w:sz w:val="24"/>
          <w:szCs w:val="24"/>
          <w:color w:val="auto"/>
        </w:rPr>
      </w:pPr>
    </w:p>
    <w:tbl>
      <w:tblPr>
        <w:tblLayout w:type="fixed"/>
        <w:tblInd w:w="92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3340" w:type="dxa"/>
            <w:vAlign w:val="bottom"/>
            <w:gridSpan w:val="2"/>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20" w:type="dxa"/>
            <w:vAlign w:val="bottom"/>
            <w:gridSpan w:val="2"/>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17"/>
        </w:trPr>
        <w:tc>
          <w:tcPr>
            <w:tcW w:w="406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9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color w:val="auto"/>
              </w:rPr>
              <w:t>SLB</w:t>
            </w:r>
          </w:p>
        </w:tc>
        <w:tc>
          <w:tcPr>
            <w:tcW w:w="6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0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96"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6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2500" w:type="dxa"/>
            <w:vAlign w:val="bottom"/>
            <w:gridSpan w:val="2"/>
          </w:tcPr>
          <w:p>
            <w:pPr>
              <w:jc w:val="right"/>
              <w:ind w:right="1899"/>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92"/>
        </w:trPr>
        <w:tc>
          <w:tcPr>
            <w:tcW w:w="8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7"/>
        </w:trPr>
        <w:tc>
          <w:tcPr>
            <w:tcW w:w="8060" w:type="dxa"/>
            <w:vAlign w:val="bottom"/>
            <w:gridSpan w:val="3"/>
          </w:tcPr>
          <w:p>
            <w:pPr>
              <w:ind w:left="376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48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at June 30, 2022</w:t>
            </w:r>
          </w:p>
        </w:tc>
      </w:tr>
      <w:tr>
        <w:trPr>
          <w:trHeight w:val="223"/>
        </w:trPr>
        <w:tc>
          <w:tcPr>
            <w:tcW w:w="8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50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1,414,388,264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1405255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Quarter 2022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9600" w:type="dxa"/>
            <w:vAlign w:val="bottom"/>
            <w:gridSpan w:val="11"/>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6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2520" w:type="dxa"/>
            <w:vAlign w:val="bottom"/>
            <w:tcBorders>
              <w:top w:val="single" w:sz="8" w:color="0000EE"/>
            </w:tcBorders>
            <w:gridSpan w:val="2"/>
          </w:tcPr>
          <w:p>
            <w:pPr>
              <w:spacing w:after="0"/>
              <w:rPr>
                <w:sz w:val="24"/>
                <w:szCs w:val="24"/>
                <w:color w:val="auto"/>
              </w:rPr>
            </w:pPr>
          </w:p>
        </w:tc>
        <w:tc>
          <w:tcPr>
            <w:tcW w:w="53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260" w:type="dxa"/>
            <w:vAlign w:val="bottom"/>
            <w:gridSpan w:val="7"/>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tcPr>
          <w:p>
            <w:pPr>
              <w:spacing w:after="0"/>
              <w:rPr>
                <w:sz w:val="24"/>
                <w:szCs w:val="24"/>
                <w:color w:val="auto"/>
              </w:rPr>
            </w:pPr>
          </w:p>
        </w:tc>
        <w:tc>
          <w:tcPr>
            <w:tcW w:w="72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82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52"/>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20" w:type="dxa"/>
            <w:vAlign w:val="bottom"/>
            <w:gridSpan w:val="7"/>
          </w:tcPr>
          <w:p>
            <w:pPr>
              <w:ind w:left="16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r>
              <w:rPr>
                <w:rFonts w:ascii="Times New Roman" w:cs="Times New Roman" w:eastAsia="Times New Roman" w:hAnsi="Times New Roman"/>
                <w:sz w:val="14"/>
                <w:szCs w:val="14"/>
                <w:color w:val="auto"/>
              </w:rPr>
              <w:t>)</w:t>
            </w:r>
          </w:p>
        </w:tc>
      </w:tr>
      <w:tr>
        <w:trPr>
          <w:trHeight w:val="442"/>
        </w:trPr>
        <w:tc>
          <w:tcPr>
            <w:tcW w:w="4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12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4,732</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8,954</w:t>
            </w:r>
          </w:p>
        </w:tc>
        <w:tc>
          <w:tcPr>
            <w:tcW w:w="26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Product sales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12,735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7,107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&amp; engineering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before taxes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expense</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r>
      <w:tr>
        <w:trPr>
          <w:trHeight w:val="263"/>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Net income attributable to Schlumberger</w:t>
            </w:r>
          </w:p>
        </w:tc>
        <w:tc>
          <w:tcPr>
            <w:tcW w:w="9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1,469</w:t>
            </w:r>
          </w:p>
        </w:tc>
        <w:tc>
          <w:tcPr>
            <w:tcW w:w="2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FF0FC"/>
            </w:tcBorders>
          </w:tcPr>
          <w:p>
            <w:pPr>
              <w:spacing w:after="0"/>
              <w:rPr>
                <w:sz w:val="22"/>
                <w:szCs w:val="22"/>
                <w:color w:val="auto"/>
              </w:rPr>
            </w:pPr>
          </w:p>
        </w:tc>
      </w:tr>
      <w:tr>
        <w:trPr>
          <w:trHeight w:val="210"/>
        </w:trPr>
        <w:tc>
          <w:tcPr>
            <w:tcW w:w="48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income per share of Schlumberger</w:t>
            </w:r>
          </w:p>
        </w:tc>
        <w:tc>
          <w:tcPr>
            <w:tcW w:w="12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2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60" w:type="dxa"/>
            <w:vAlign w:val="bottom"/>
          </w:tcPr>
          <w:p>
            <w:pPr>
              <w:spacing w:after="0"/>
              <w:rPr>
                <w:sz w:val="23"/>
                <w:szCs w:val="23"/>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3"/>
                <w:szCs w:val="23"/>
                <w:color w:val="auto"/>
              </w:rPr>
            </w:pPr>
          </w:p>
        </w:tc>
      </w:tr>
      <w:tr>
        <w:trPr>
          <w:trHeight w:val="210"/>
        </w:trPr>
        <w:tc>
          <w:tcPr>
            <w:tcW w:w="48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7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income per share of Schlumberger</w:t>
            </w:r>
          </w:p>
        </w:tc>
        <w:tc>
          <w:tcPr>
            <w:tcW w:w="12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0.67</w:t>
            </w:r>
          </w:p>
        </w:tc>
        <w:tc>
          <w:tcPr>
            <w:tcW w:w="2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60" w:type="dxa"/>
            <w:vAlign w:val="bottom"/>
          </w:tcPr>
          <w:p>
            <w:pPr>
              <w:spacing w:after="0"/>
              <w:rPr>
                <w:sz w:val="23"/>
                <w:szCs w:val="23"/>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3"/>
                <w:szCs w:val="23"/>
                <w:color w:val="auto"/>
              </w:rPr>
            </w:pPr>
          </w:p>
        </w:tc>
      </w:tr>
      <w:tr>
        <w:trPr>
          <w:trHeight w:val="210"/>
        </w:trPr>
        <w:tc>
          <w:tcPr>
            <w:tcW w:w="48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19"/>
                <w:szCs w:val="19"/>
                <w:color w:val="auto"/>
              </w:rPr>
            </w:pPr>
          </w:p>
        </w:tc>
      </w:tr>
      <w:tr>
        <w:trPr>
          <w:trHeight w:val="238"/>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Assuming dilution</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0"/>
                <w:szCs w:val="20"/>
                <w:color w:val="auto"/>
              </w:rPr>
            </w:pPr>
          </w:p>
        </w:tc>
      </w:tr>
    </w:tbl>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5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gain (loss) on cash flow hedges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to net income of net realized gain</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(114)</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(97)</w:t>
            </w: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to net income of net actuarial loss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to net income of net prior service credit</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on pension and other postretirement benefit plans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1,596</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Schlumberger</w:t>
            </w:r>
          </w:p>
        </w:tc>
        <w:tc>
          <w:tcPr>
            <w:tcW w:w="48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3"/>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36"/>
        </w:trPr>
        <w:tc>
          <w:tcPr>
            <w:tcW w:w="7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Receivables less allowance for doubtful accounts (2022 - $337; 2021 - $319)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13,009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4,247</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42,827</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41,511</w:t>
            </w:r>
          </w:p>
        </w:tc>
        <w:tc>
          <w:tcPr>
            <w:tcW w:w="10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8,528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10,583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12,946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2,342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26,202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(1,436)</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(2,233)</w:t>
            </w: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(3,464)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(3,570)</w:t>
            </w:r>
          </w:p>
        </w:tc>
      </w:tr>
      <w:tr>
        <w:trPr>
          <w:trHeight w:val="223"/>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16,325</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16,625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42,827</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58"/>
        </w:trPr>
        <w:tc>
          <w:tcPr>
            <w:tcW w:w="6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gridSpan w:val="7"/>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648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FF0FC"/>
            </w:tcBorders>
          </w:tcPr>
          <w:p>
            <w:pPr>
              <w:spacing w:after="0"/>
              <w:rPr>
                <w:sz w:val="18"/>
                <w:szCs w:val="18"/>
                <w:color w:val="auto"/>
              </w:rPr>
            </w:pPr>
          </w:p>
        </w:tc>
      </w:tr>
      <w:tr>
        <w:trPr>
          <w:trHeight w:val="211"/>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228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1,490</w:t>
            </w:r>
          </w:p>
        </w:tc>
        <w:tc>
          <w:tcPr>
            <w:tcW w:w="180" w:type="dxa"/>
            <w:vAlign w:val="bottom"/>
          </w:tcPr>
          <w:p>
            <w:pPr>
              <w:spacing w:after="0"/>
              <w:rPr>
                <w:sz w:val="18"/>
                <w:szCs w:val="18"/>
                <w:color w:val="auto"/>
              </w:rPr>
            </w:pP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Gain on sale of Liberty shares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20"/>
              <w:spacing w:after="0" w:line="216"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5"/>
                <w:szCs w:val="25"/>
                <w:color w:val="auto"/>
                <w:vertAlign w:val="superscript"/>
              </w:rPr>
              <w:t>(1)</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Deferred taxes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Earnings of equity method investments, less dividends received</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6480" w:type="dxa"/>
            <w:vAlign w:val="bottom"/>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Change in assets and liabilities: </w:t>
            </w:r>
            <w:r>
              <w:rPr>
                <w:rFonts w:ascii="Times New Roman" w:cs="Times New Roman" w:eastAsia="Times New Roman" w:hAnsi="Times New Roman"/>
                <w:sz w:val="25"/>
                <w:szCs w:val="25"/>
                <w:color w:val="auto"/>
                <w:vertAlign w:val="superscript"/>
              </w:rPr>
              <w:t>(2)</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Increase in receivables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(887)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Increase in other assets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(700)</w:t>
            </w:r>
          </w:p>
        </w:tc>
      </w:tr>
      <w:tr>
        <w:trPr>
          <w:trHeight w:val="214"/>
        </w:trPr>
        <w:tc>
          <w:tcPr>
            <w:tcW w:w="64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Decrease in estimated liability for taxes on income</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r>
      <w:tr>
        <w:trPr>
          <w:trHeight w:val="218"/>
        </w:trPr>
        <w:tc>
          <w:tcPr>
            <w:tcW w:w="64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tcPr>
          <w:p>
            <w:pPr>
              <w:spacing w:after="0"/>
              <w:rPr>
                <w:sz w:val="18"/>
                <w:szCs w:val="18"/>
                <w:color w:val="auto"/>
              </w:rPr>
            </w:pPr>
          </w:p>
        </w:tc>
      </w:tr>
      <w:tr>
        <w:trPr>
          <w:trHeight w:val="211"/>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1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(664)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(421)</w:t>
            </w: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APS investments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w:t>
            </w: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Exploration data costs capitalized</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Business acquisitions and investments, net of cash acquired</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 of Liberty shares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Sale of short-term investments, net</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r>
      <w:tr>
        <w:trPr>
          <w:trHeight w:val="211"/>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1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(352)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(349)</w:t>
            </w: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Taxes paid on net settled stock-based compensation awards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(887)</w:t>
            </w:r>
          </w:p>
        </w:tc>
      </w:tr>
      <w:tr>
        <w:trPr>
          <w:trHeight w:val="218"/>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r>
      <w:tr>
        <w:trPr>
          <w:trHeight w:val="214"/>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r>
      <w:tr>
        <w:trPr>
          <w:trHeight w:val="211"/>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Borders>
              <w:top w:val="single" w:sz="8" w:color="CFF0FC"/>
            </w:tcBorders>
            <w:shd w:val="clear" w:color="auto" w:fill="CFF0FC"/>
          </w:tcPr>
          <w:p>
            <w:pPr>
              <w:spacing w:after="0"/>
              <w:rPr>
                <w:sz w:val="18"/>
                <w:szCs w:val="18"/>
                <w:color w:val="auto"/>
              </w:rPr>
            </w:pPr>
          </w:p>
        </w:tc>
      </w:tr>
      <w:tr>
        <w:trPr>
          <w:trHeight w:val="208"/>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before translation effect</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8"/>
                <w:szCs w:val="18"/>
                <w:color w:val="auto"/>
              </w:rPr>
            </w:pPr>
          </w:p>
        </w:tc>
      </w:tr>
      <w:tr>
        <w:trPr>
          <w:trHeight w:val="218"/>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Translation effect on cash</w:t>
            </w: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8"/>
                <w:szCs w:val="18"/>
                <w:color w:val="auto"/>
              </w:rPr>
            </w:pPr>
          </w:p>
        </w:tc>
      </w:tr>
      <w:tr>
        <w:trPr>
          <w:trHeight w:val="214"/>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12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Borders>
              <w:bottom w:val="single" w:sz="8" w:color="CFF0FC"/>
            </w:tcBorders>
          </w:tcPr>
          <w:p>
            <w:pPr>
              <w:spacing w:after="0"/>
              <w:rPr>
                <w:sz w:val="18"/>
                <w:szCs w:val="18"/>
                <w:color w:val="auto"/>
              </w:rPr>
            </w:pPr>
          </w:p>
        </w:tc>
      </w:tr>
      <w:tr>
        <w:trPr>
          <w:trHeight w:val="21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1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1,893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exploration data costs, and APS investments.</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Net of the effect of business acquisitions and divestitures.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January 1, 2022 – June 30, 2022</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January 1, 2022</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(2,233)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8,199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(3,570)</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282</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15,286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net of taxes withheld</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(85)</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($0.300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(424)</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paid to noncontrolling interest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r>
      <w:tr>
        <w:trPr>
          <w:trHeight w:val="155"/>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June 30, 2022</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(1,436)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9,244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(3,464)</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300</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16,625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4"/>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January 1, 2021 – June 30, 2021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January 1, 2021</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12,970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(3,033)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7,018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(4,884)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12,489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restricted stock, net of taxes withheld</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declared ($0.250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(349)</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Deconsolidation of subsidiary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(123)</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r>
      <w:tr>
        <w:trPr>
          <w:trHeight w:val="155"/>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June 30, 2021</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12,730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(2,591)</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7,399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(4,776)</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297</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13,059</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April 1, 2022 – June 30, 2022</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April 1, 2022</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11,957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(1,503)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8,532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(3,639)</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292</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15,639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($0.175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paid to noncontrolling interest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r>
      <w:tr>
        <w:trPr>
          <w:trHeight w:val="155"/>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June 30, 2022</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(1,436)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9,244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(3,464)</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300</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16,625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06374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10287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April 1, 2021 – June 30, 2021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April 1, 2021</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12,663</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(2,598)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7,142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(4,664)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429</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12,972</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($0.125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Deconsolidation of subsidiary</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(123)</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r>
      <w:tr>
        <w:trPr>
          <w:trHeight w:val="156"/>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June 30, 2021</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12,730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(2,591)</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7,399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(4,776)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297</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13,059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66"/>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38"/>
        </w:trPr>
        <w:tc>
          <w:tcPr>
            <w:tcW w:w="66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9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30"/>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8" w:name="page9"/>
    <w:bookmarkEnd w:id="8"/>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2022 are not necessarily indicative of the results that may be expected for the full year ending December 31, 2022. The December 31, 2021 balance sheet information has been derived from the Schlumberger 2021 audited financial statements. For further information, refer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notes thereto included in the Schlumberger Annual Report on Form 10-K for the year ended December 31, 2021, filed with the Securities and Exchange Commission on January 26, 2022.</w:t>
      </w:r>
    </w:p>
    <w:p>
      <w:pPr>
        <w:spacing w:after="0" w:line="292" w:lineRule="exact"/>
        <w:rPr>
          <w:sz w:val="20"/>
          <w:szCs w:val="20"/>
          <w:color w:val="auto"/>
        </w:rPr>
      </w:pPr>
    </w:p>
    <w:p>
      <w:pPr>
        <w:ind w:right="9380" w:firstLine="8"/>
        <w:spacing w:after="0" w:line="376"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Charges and Credits </w:t>
      </w:r>
      <w:r>
        <w:rPr>
          <w:rFonts w:ascii="Times New Roman" w:cs="Times New Roman" w:eastAsia="Times New Roman" w:hAnsi="Times New Roman"/>
          <w:sz w:val="18"/>
          <w:szCs w:val="18"/>
          <w:b w:val="1"/>
          <w:bCs w:val="1"/>
          <w:color w:val="auto"/>
        </w:rPr>
        <w:t>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Schlumberger recorded the following credits during 2022, all of which are classified in </w:t>
      </w:r>
      <w:r>
        <w:rPr>
          <w:rFonts w:ascii="Times New Roman" w:cs="Times New Roman" w:eastAsia="Times New Roman" w:hAnsi="Times New Roman"/>
          <w:sz w:val="18"/>
          <w:szCs w:val="18"/>
          <w:i w:val="1"/>
          <w:iCs w:val="1"/>
          <w:color w:val="auto"/>
        </w:rPr>
        <w:t>Interest &amp;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6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Tax</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First quarter:</w:t>
            </w:r>
          </w:p>
        </w:tc>
        <w:tc>
          <w:tcPr>
            <w:tcW w:w="9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Liberty shares</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Second quarter:</w:t>
            </w: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Liberty shares</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6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(285)</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2020, Schlumberger contributed its onshore hydraulic fracturing business in the United States and Canada, including its pressure pumping, pumpdown perforating and Permian frac sand business to Liberty Energy Inc. (“Liberty”) in exchange for an equity interest in Liberty. During the first quarter of 2022, Schlumberger sold 7.2 million of its shares of Liberty and received proceeds of $84 million. During the second quarter of 2022, Schlumberger sold an additional 26.5 million of its shares in Liberty and received proceeds of $429 million. As a result of these transactions Schlumberger recognized a gain of $26 million during the first quarter of 2022 and a gain of $216 million during the second quarter of 2022. As of June 30, 2022, Schlumberger had a 12% equity interest in Liberty.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Schlumberger sold certain real estate and received proceeds of $120 million. As a result of this transaction, Schlumberger recognized a gain of $43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did not record any charges or credits during the first six months of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280" w:hanging="272"/>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income per share of Schlumberger to diluted income per share of Schlumberger: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426"/>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color w:val="auto"/>
                <w:w w:val="99"/>
              </w:rPr>
              <w:t>2021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Average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Earnings per</w:t>
            </w:r>
          </w:p>
        </w:tc>
        <w:tc>
          <w:tcPr>
            <w:tcW w:w="2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Attributable to</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8"/>
              </w:rPr>
              <w:t>Shares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Earnings per</w:t>
            </w:r>
          </w:p>
        </w:tc>
      </w:tr>
      <w:tr>
        <w:trPr>
          <w:trHeight w:val="215"/>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Schlumberger</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Schlumberger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Outstanding</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Share</w:t>
            </w:r>
          </w:p>
        </w:tc>
      </w:tr>
      <w:tr>
        <w:trPr>
          <w:trHeight w:val="206"/>
        </w:trPr>
        <w:tc>
          <w:tcPr>
            <w:tcW w:w="124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9"/>
              </w:rPr>
              <w:t>Second Quarter</w:t>
            </w:r>
          </w:p>
        </w:tc>
        <w:tc>
          <w:tcPr>
            <w:tcW w:w="20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70"/>
        </w:trPr>
        <w:tc>
          <w:tcPr>
            <w:tcW w:w="328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240" w:type="dxa"/>
            <w:vAlign w:val="bottom"/>
            <w:tcBorders>
              <w:bottom w:val="single" w:sz="8" w:color="CFF0FC"/>
            </w:tcBorders>
          </w:tcPr>
          <w:p>
            <w:pPr>
              <w:spacing w:after="0"/>
              <w:rPr>
                <w:sz w:val="23"/>
                <w:szCs w:val="23"/>
                <w:color w:val="auto"/>
              </w:rPr>
            </w:pPr>
          </w:p>
        </w:tc>
        <w:tc>
          <w:tcPr>
            <w:tcW w:w="1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2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3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0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FF0FC"/>
            </w:tcBorders>
          </w:tcPr>
          <w:p>
            <w:pPr>
              <w:spacing w:after="0"/>
              <w:rPr>
                <w:sz w:val="23"/>
                <w:szCs w:val="23"/>
                <w:color w:val="auto"/>
              </w:rPr>
            </w:pPr>
          </w:p>
        </w:tc>
      </w:tr>
      <w:tr>
        <w:trPr>
          <w:trHeight w:val="210"/>
        </w:trPr>
        <w:tc>
          <w:tcPr>
            <w:tcW w:w="3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3"/>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color w:val="auto"/>
                <w:w w:val="99"/>
              </w:rPr>
              <w:t>2021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Average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Income per</w:t>
            </w:r>
          </w:p>
        </w:tc>
        <w:tc>
          <w:tcPr>
            <w:tcW w:w="2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Attributable to</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8"/>
              </w:rPr>
              <w:t>Shares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Loss per</w:t>
            </w:r>
          </w:p>
        </w:tc>
      </w:tr>
      <w:tr>
        <w:trPr>
          <w:trHeight w:val="215"/>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Schlumberger</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Schlumberger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Outstanding</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Share</w:t>
            </w:r>
          </w:p>
        </w:tc>
      </w:tr>
      <w:tr>
        <w:trPr>
          <w:trHeight w:val="206"/>
        </w:trPr>
        <w:tc>
          <w:tcPr>
            <w:tcW w:w="3280" w:type="dxa"/>
            <w:vAlign w:val="bottom"/>
            <w:tcBorders>
              <w:top w:val="single" w:sz="8" w:color="CFF0FC"/>
            </w:tcBorders>
            <w:gridSpan w:val="3"/>
            <w:shd w:val="clear" w:color="auto" w:fill="CFF0FC"/>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69"/>
        </w:trPr>
        <w:tc>
          <w:tcPr>
            <w:tcW w:w="880" w:type="dxa"/>
            <w:vAlign w:val="bottom"/>
            <w:tcBorders>
              <w:top w:val="single" w:sz="8" w:color="auto"/>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tcBorders>
              <w:top w:val="single" w:sz="8" w:color="CFF0FC"/>
              <w:bottom w:val="single" w:sz="8" w:color="CFF0FC"/>
            </w:tcBorders>
            <w:gridSpan w:val="2"/>
          </w:tcPr>
          <w:p>
            <w:pPr>
              <w:spacing w:after="0"/>
              <w:rPr>
                <w:sz w:val="23"/>
                <w:szCs w:val="23"/>
                <w:color w:val="auto"/>
              </w:rPr>
            </w:pPr>
          </w:p>
        </w:tc>
        <w:tc>
          <w:tcPr>
            <w:tcW w:w="12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1,469</w:t>
            </w:r>
          </w:p>
        </w:tc>
        <w:tc>
          <w:tcPr>
            <w:tcW w:w="240" w:type="dxa"/>
            <w:vAlign w:val="bottom"/>
            <w:tcBorders>
              <w:top w:val="single" w:sz="8" w:color="CFF0FC"/>
              <w:bottom w:val="single" w:sz="8" w:color="CFF0FC"/>
            </w:tcBorders>
          </w:tcPr>
          <w:p>
            <w:pPr>
              <w:spacing w:after="0"/>
              <w:rPr>
                <w:sz w:val="23"/>
                <w:szCs w:val="23"/>
                <w:color w:val="auto"/>
              </w:rPr>
            </w:pPr>
          </w:p>
        </w:tc>
        <w:tc>
          <w:tcPr>
            <w:tcW w:w="114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220" w:type="dxa"/>
            <w:vAlign w:val="bottom"/>
            <w:tcBorders>
              <w:top w:val="single" w:sz="8" w:color="CFF0FC"/>
              <w:bottom w:val="single" w:sz="8" w:color="CFF0FC"/>
            </w:tcBorders>
          </w:tcPr>
          <w:p>
            <w:pPr>
              <w:spacing w:after="0"/>
              <w:rPr>
                <w:sz w:val="23"/>
                <w:szCs w:val="23"/>
                <w:color w:val="auto"/>
              </w:rPr>
            </w:pPr>
          </w:p>
        </w:tc>
        <w:tc>
          <w:tcPr>
            <w:tcW w:w="10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320" w:type="dxa"/>
            <w:vAlign w:val="bottom"/>
            <w:tcBorders>
              <w:top w:val="single" w:sz="8" w:color="CFF0FC"/>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60" w:type="dxa"/>
            <w:vAlign w:val="bottom"/>
            <w:tcBorders>
              <w:top w:val="single" w:sz="8" w:color="CFF0FC"/>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40" w:type="dxa"/>
            <w:vAlign w:val="bottom"/>
            <w:tcBorders>
              <w:top w:val="single" w:sz="8" w:color="CFF0FC"/>
              <w:bottom w:val="single" w:sz="8" w:color="CFF0FC"/>
            </w:tcBorders>
          </w:tcPr>
          <w:p>
            <w:pPr>
              <w:spacing w:after="0"/>
              <w:rPr>
                <w:sz w:val="23"/>
                <w:szCs w:val="23"/>
                <w:color w:val="auto"/>
              </w:rPr>
            </w:pPr>
          </w:p>
        </w:tc>
        <w:tc>
          <w:tcPr>
            <w:tcW w:w="12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top w:val="single" w:sz="8" w:color="CFF0FC"/>
              <w:bottom w:val="single" w:sz="8" w:color="CFF0FC"/>
            </w:tcBorders>
          </w:tcPr>
          <w:p>
            <w:pPr>
              <w:spacing w:after="0"/>
              <w:rPr>
                <w:sz w:val="23"/>
                <w:szCs w:val="23"/>
                <w:color w:val="auto"/>
              </w:rPr>
            </w:pPr>
          </w:p>
        </w:tc>
      </w:tr>
      <w:tr>
        <w:trPr>
          <w:trHeight w:val="210"/>
        </w:trPr>
        <w:tc>
          <w:tcPr>
            <w:tcW w:w="3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1,469</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number of outstanding options to purchase shares of Schlumberger common stock that were not included in the computation of diluted income per share, because to do so would have had an antidilutive effect,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5780" w:type="dxa"/>
            <w:vAlign w:val="bottom"/>
          </w:tcPr>
          <w:p>
            <w:pPr>
              <w:spacing w:after="0"/>
              <w:rPr>
                <w:sz w:val="24"/>
                <w:szCs w:val="24"/>
                <w:color w:val="auto"/>
              </w:rPr>
            </w:pPr>
          </w:p>
        </w:tc>
        <w:tc>
          <w:tcPr>
            <w:tcW w:w="2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23"/>
        </w:trPr>
        <w:tc>
          <w:tcPr>
            <w:tcW w:w="5780" w:type="dxa"/>
            <w:vAlign w:val="bottom"/>
          </w:tcPr>
          <w:p>
            <w:pPr>
              <w:spacing w:after="0"/>
              <w:rPr>
                <w:sz w:val="19"/>
                <w:szCs w:val="19"/>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8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7"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which are stated at the lower of average cost or net realizable value,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3"/>
        </w:trPr>
        <w:tc>
          <w:tcPr>
            <w:tcW w:w="3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4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37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7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3,968</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76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441" w:right="239" w:bottom="1440" w:gutter="0" w:footer="0" w:header="0"/>
        </w:sectPr>
      </w:pPr>
    </w:p>
    <w:bookmarkStart w:id="10" w:name="page11"/>
    <w:bookmarkEnd w:id="10"/>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fixed assets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3"/>
        </w:trPr>
        <w:tc>
          <w:tcPr>
            <w:tcW w:w="6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8"/>
        </w:trPr>
        <w:tc>
          <w:tcPr>
            <w:tcW w:w="6040" w:type="dxa"/>
            <w:vAlign w:val="bottom"/>
            <w:tcBorders>
              <w:bottom w:val="single" w:sz="8" w:color="CFF0FC"/>
            </w:tcBorders>
          </w:tcPr>
          <w:p>
            <w:pPr>
              <w:spacing w:after="0"/>
              <w:rPr>
                <w:sz w:val="20"/>
                <w:szCs w:val="20"/>
                <w:color w:val="auto"/>
              </w:rPr>
            </w:pPr>
          </w:p>
        </w:tc>
        <w:tc>
          <w:tcPr>
            <w:tcW w:w="16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29,187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22,801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6,386</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relating to fixed assets was as follows:</w:t>
            </w: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2"/>
        </w:trPr>
        <w:tc>
          <w:tcPr>
            <w:tcW w:w="6040" w:type="dxa"/>
            <w:vAlign w:val="bottom"/>
            <w:tcBorders>
              <w:bottom w:val="single" w:sz="8" w:color="CFF0FC"/>
            </w:tcBorders>
          </w:tcPr>
          <w:p>
            <w:pPr>
              <w:spacing w:after="0"/>
              <w:rPr>
                <w:sz w:val="24"/>
                <w:szCs w:val="24"/>
                <w:color w:val="auto"/>
              </w:rPr>
            </w:pPr>
          </w:p>
        </w:tc>
        <w:tc>
          <w:tcPr>
            <w:tcW w:w="16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Six Months</w:t>
            </w: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5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book value, accumulated amortization and net book value of intangible assets were as follows:</w:t>
      </w:r>
    </w:p>
    <w:p>
      <w:pPr>
        <w:spacing w:after="0" w:line="300" w:lineRule="exact"/>
        <w:rPr>
          <w:sz w:val="20"/>
          <w:szCs w:val="20"/>
          <w:color w:val="auto"/>
        </w:rPr>
      </w:pPr>
    </w:p>
    <w:tbl>
      <w:tblPr>
        <w:tblLayout w:type="fixed"/>
        <w:tblInd w:w="3240" w:type="dxa"/>
        <w:tblCellMar>
          <w:top w:w="0" w:type="dxa"/>
          <w:left w:w="0" w:type="dxa"/>
          <w:bottom w:w="0" w:type="dxa"/>
          <w:right w:w="0" w:type="dxa"/>
        </w:tblCellMar>
      </w:tblPr>
      <w:tr>
        <w:trPr>
          <w:trHeight w:val="190"/>
        </w:trPr>
        <w:tc>
          <w:tcPr>
            <w:tcW w:w="1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52"/>
        </w:trPr>
        <w:tc>
          <w:tcPr>
            <w:tcW w:w="1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Jun. 30, 2022</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Dec. 31, 2021</w:t>
            </w:r>
          </w:p>
        </w:tc>
        <w:tc>
          <w:tcPr>
            <w:tcW w:w="1300" w:type="dxa"/>
            <w:vAlign w:val="bottom"/>
            <w:tcBorders>
              <w:bottom w:val="single" w:sz="8" w:color="auto"/>
            </w:tcBorders>
          </w:tcPr>
          <w:p>
            <w:pPr>
              <w:spacing w:after="0"/>
              <w:rPr>
                <w:sz w:val="24"/>
                <w:szCs w:val="24"/>
                <w:color w:val="auto"/>
              </w:rPr>
            </w:pPr>
          </w:p>
        </w:tc>
      </w:tr>
      <w:tr>
        <w:trPr>
          <w:trHeight w:val="209"/>
        </w:trPr>
        <w:tc>
          <w:tcPr>
            <w:tcW w:w="11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220" w:type="dxa"/>
            <w:vAlign w:val="bottom"/>
          </w:tcPr>
          <w:p>
            <w:pPr>
              <w:spacing w:after="0"/>
              <w:rPr>
                <w:sz w:val="18"/>
                <w:szCs w:val="18"/>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Gross</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w:t>
            </w:r>
          </w:p>
        </w:tc>
        <w:tc>
          <w:tcPr>
            <w:tcW w:w="13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rPr>
              <w:t>Net Book</w:t>
            </w:r>
          </w:p>
        </w:tc>
      </w:tr>
      <w:tr>
        <w:trPr>
          <w:trHeight w:val="254"/>
        </w:trPr>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14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Book Value</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13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4"/>
              </w:rPr>
              <w:t>Value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8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1,691</w:t>
            </w:r>
          </w:p>
        </w:tc>
        <w:tc>
          <w:tcPr>
            <w:tcW w:w="6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64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1,090</w:t>
            </w:r>
          </w:p>
        </w:tc>
        <w:tc>
          <w:tcPr>
            <w:tcW w:w="6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64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FF0FC"/>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4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FF0FC"/>
          </w:tcPr>
          <w:p>
            <w:pPr>
              <w:spacing w:after="0"/>
              <w:rPr>
                <w:sz w:val="19"/>
                <w:szCs w:val="19"/>
                <w:color w:val="auto"/>
              </w:rPr>
            </w:pPr>
          </w:p>
        </w:tc>
      </w:tr>
      <w:tr>
        <w:trPr>
          <w:trHeight w:val="230"/>
        </w:trPr>
        <w:tc>
          <w:tcPr>
            <w:tcW w:w="2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5,336</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charged to income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4420" w:type="dxa"/>
            <w:vAlign w:val="bottom"/>
            <w:tcBorders>
              <w:bottom w:val="single" w:sz="8" w:color="CFF0FC"/>
            </w:tcBorders>
          </w:tcPr>
          <w:p>
            <w:pPr>
              <w:spacing w:after="0"/>
              <w:rPr>
                <w:sz w:val="24"/>
                <w:szCs w:val="24"/>
                <w:color w:val="auto"/>
              </w:rPr>
            </w:pPr>
          </w:p>
        </w:tc>
        <w:tc>
          <w:tcPr>
            <w:tcW w:w="32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24"/>
                <w:szCs w:val="24"/>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9"/>
                <w:szCs w:val="19"/>
                <w:color w:val="auto"/>
              </w:rPr>
            </w:pP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Six Months</w:t>
            </w:r>
          </w:p>
        </w:tc>
        <w:tc>
          <w:tcPr>
            <w:tcW w:w="3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5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r>
    </w:tbl>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net book value of intangible assets at June 30, 2022, amortization expense for the subsequent five years is estimated to be: remaining two quarters of 2022—$149 million; 2023—$289 million; 2024—$278 million; 2025—$261 million; 2026—$253 million; and 2027—$250 million.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3"/>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28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3.65%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3.90%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2.65%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1.375% Guaranteed Notes due 2026</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Guaranteed Notes due 2032</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0.25%</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2027</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0.50%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2031</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4.30%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3.75%</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Guaranteed Notes due 2026</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0.00%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1.40%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5.95%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2041</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2043</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4.00%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2023</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3.70%</w:t>
            </w:r>
          </w:p>
        </w:tc>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5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12,946</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estimated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based on quoted market prices at June 30, 2022 and December 31, 2021, was $12.1 billion and $13.9 billion, respectively.</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Schlumberger has a €750 million three-year committed revolving credit facility maturing in June 2024. At June 30, 2022 no amounts had been drawn under this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revolving credit facility described above, at June 30, 2022, Schlumberger had separate committed credit facility agreements aggregating $5.75 billion with commercial banks, all of which was available and unused. These committed facilities support commercial paper programs in the United States and Europe, of which $0.75 billion matures in February 2024, $2.0 billion matures in February 2025, $1.0 billion matures in July 2026 and $2.0 billion matures in February 2027. Interest rates and other terms of borrowing under these lines of credit vary by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under the commercial paper programs at June 30, 2022 and December 31,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Schlumberger Limited fully and unconditionally guarantees the securities issued by certain of its subsidiaries, including securities issued by Schlumberger Investment SA and Schlumberger Finance Canada Ltd., both wholly-owned subsidiaries of Schlumberger.</w:t>
      </w:r>
    </w:p>
    <w:p>
      <w:pPr>
        <w:spacing w:after="0" w:line="266"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multinational company, Schlumberger conducts its business in over 120 countries. Schlumberger’s functional currency is primarily the US dollar.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Times New Roman" w:cs="Times New Roman" w:eastAsia="Times New Roman" w:hAnsi="Times New Roman"/>
          <w:sz w:val="18"/>
          <w:szCs w:val="18"/>
          <w:i w:val="1"/>
          <w:iCs w:val="1"/>
          <w:color w:val="auto"/>
        </w:rPr>
        <w:t xml:space="preserve">Consolidated Balance Sheet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Amounts recorded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reclassified into earnings in the same period or periods that the hedged item is recognized in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Schlumberger is also exposed to risks on future cash flows relating to certain of its fixed rate debt denominated in currencies other than the functional currency. Schlumberger uses cross-currency swaps to provide a hedge against these cash flow risks.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was $266 million at June 30, 2022 ($78 million at December 31, 2021), and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at December 31, 2021 was $66 million relating to the fair value of outstanding cross-currency swap derivatives. The fair value was determined using a model with inputs that are observable in the market or can be derived or corroborated by observable data.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a US-dollar functional currency subsidiary of Schlumberger issued €2.0 billion of Euro-denominated debt. Schlumberger entered into cross-currency swaps for an aggregate notional amount of €2.0 billion in order to hedge changes in the fair value of its €1.0 billion of 1.375% Guaranteed Notes due 2026 and €1.0 billion of 2.00% Guaranteed Notes due 2032. These cross-currency swaps effectively convert the swapped portion of the Euro-denominated notes to US-dollar denominated debt with fixed annual interest rates of 2.77% and 3.49%,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the fourth quarter of 2021 and the first quarter of 2022, Schlumberger entered into derivative contracts that hedge the price of oil relating to approximately 75% of the projected oil production for all of 2022 and a portion of the production for the first quarter of 2023 of one of its Asset Performance Solutions (“APS”) projects. These contracts are accounted for as cash flow hedges, with the changes in fair value of the hedge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Amounts recorded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are reclassified to earnings in the same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periods that the hedged item is recognized in earnings. At June 30, 2022, included in </w:t>
      </w:r>
      <w:r>
        <w:rPr>
          <w:rFonts w:ascii="Times New Roman" w:cs="Times New Roman" w:eastAsia="Times New Roman" w:hAnsi="Times New Roman"/>
          <w:sz w:val="18"/>
          <w:szCs w:val="18"/>
          <w:i w:val="1"/>
          <w:iCs w:val="1"/>
          <w:color w:val="auto"/>
        </w:rPr>
        <w:t>Accounts payable and accrued liabilities</w:t>
      </w:r>
      <w:r>
        <w:rPr>
          <w:rFonts w:ascii="Times New Roman" w:cs="Times New Roman" w:eastAsia="Times New Roman" w:hAnsi="Times New Roman"/>
          <w:sz w:val="18"/>
          <w:szCs w:val="18"/>
          <w:color w:val="auto"/>
        </w:rPr>
        <w:t xml:space="preserve"> was $71 million and included in </w:t>
      </w:r>
      <w:r>
        <w:rPr>
          <w:rFonts w:ascii="Times New Roman" w:cs="Times New Roman" w:eastAsia="Times New Roman" w:hAnsi="Times New Roman"/>
          <w:sz w:val="18"/>
          <w:szCs w:val="18"/>
          <w:i w:val="1"/>
          <w:iCs w:val="1"/>
          <w:color w:val="auto"/>
        </w:rPr>
        <w:t>Other current assets was</w:t>
      </w:r>
      <w:r>
        <w:rPr>
          <w:rFonts w:ascii="Times New Roman" w:cs="Times New Roman" w:eastAsia="Times New Roman" w:hAnsi="Times New Roman"/>
          <w:sz w:val="18"/>
          <w:szCs w:val="18"/>
          <w:color w:val="auto"/>
        </w:rPr>
        <w:t xml:space="preserve"> $5 million relating to the fair value of the outstanding commodity contracts.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are changes in the fair value of the hedged item.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contracts were outstanding for the US dollar equivalent of $7.3 billion in various foreign currencies, of which $5.7 billion relates to hedges of debt denominated in currencies other than the functional currency.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previously mentioned cross-currency swaps and commodity hedges, the fair value of the other outstanding derivatives was not material at June 30, 2022 and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effect of derivative instruments designated as cash flow hedges, and those not designated as hedges, on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3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Gain (Loss) Recognized in Income</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Second Quarter</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 of Income Classification</w:t>
            </w:r>
          </w:p>
        </w:tc>
        <w:tc>
          <w:tcPr>
            <w:tcW w:w="0" w:type="dxa"/>
            <w:vAlign w:val="bottom"/>
          </w:tcPr>
          <w:p>
            <w:pPr>
              <w:spacing w:after="0"/>
              <w:rPr>
                <w:sz w:val="1"/>
                <w:szCs w:val="1"/>
                <w:color w:val="auto"/>
              </w:rPr>
            </w:pPr>
          </w:p>
        </w:tc>
      </w:tr>
      <w:tr>
        <w:trPr>
          <w:trHeight w:val="206"/>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cash flow</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Cross currency swaps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8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(291)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(65)</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0" w:type="dxa"/>
            <w:vAlign w:val="bottom"/>
          </w:tcPr>
          <w:p>
            <w:pPr>
              <w:spacing w:after="0"/>
              <w:rPr>
                <w:sz w:val="1"/>
                <w:szCs w:val="1"/>
                <w:color w:val="auto"/>
              </w:rPr>
            </w:pPr>
          </w:p>
        </w:tc>
      </w:tr>
      <w:tr>
        <w:trPr>
          <w:trHeight w:val="229"/>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8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b w:val="1"/>
          <w:bCs w:val="1"/>
          <w:u w:val="single" w:color="auto"/>
          <w:color w:val="auto"/>
        </w:rPr>
        <w:t>Segment Information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4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Second Quarter 2022</w:t>
            </w:r>
          </w:p>
        </w:tc>
        <w:tc>
          <w:tcPr>
            <w:tcW w:w="180" w:type="dxa"/>
            <w:vAlign w:val="bottom"/>
          </w:tcPr>
          <w:p>
            <w:pPr>
              <w:spacing w:after="0"/>
              <w:rPr>
                <w:sz w:val="24"/>
                <w:szCs w:val="24"/>
                <w:color w:val="auto"/>
              </w:rPr>
            </w:pPr>
          </w:p>
        </w:tc>
        <w:tc>
          <w:tcPr>
            <w:tcW w:w="25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Second Quarter 2021</w:t>
            </w:r>
          </w:p>
        </w:tc>
      </w:tr>
      <w:tr>
        <w:trPr>
          <w:trHeight w:val="214"/>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Before 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Before Taxes</w:t>
            </w: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380" w:right="20" w:hanging="372"/>
        <w:spacing w:after="0" w:line="195" w:lineRule="auto"/>
        <w:tabs>
          <w:tab w:leader="none" w:pos="38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($16 million in 2022; $1 million in 2021).</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($3 million in 2022; $4 million in 2021).</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Charges and Credits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Six Months 2022</w:t>
            </w:r>
          </w:p>
        </w:tc>
        <w:tc>
          <w:tcPr>
            <w:tcW w:w="180" w:type="dxa"/>
            <w:vAlign w:val="bottom"/>
          </w:tcPr>
          <w:p>
            <w:pPr>
              <w:spacing w:after="0"/>
              <w:rPr>
                <w:sz w:val="24"/>
                <w:szCs w:val="24"/>
                <w:color w:val="auto"/>
              </w:rPr>
            </w:pPr>
          </w:p>
        </w:tc>
        <w:tc>
          <w:tcPr>
            <w:tcW w:w="25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Six Months 2021</w:t>
            </w:r>
          </w:p>
        </w:tc>
      </w:tr>
      <w:tr>
        <w:trPr>
          <w:trHeight w:val="214"/>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tcPr>
          <w:p>
            <w:pPr>
              <w:spacing w:after="0"/>
              <w:rPr>
                <w:sz w:val="18"/>
                <w:szCs w:val="18"/>
                <w:color w:val="auto"/>
              </w:rPr>
            </w:pPr>
          </w:p>
        </w:tc>
      </w:tr>
      <w:tr>
        <w:trPr>
          <w:trHeight w:val="238"/>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Before Taxes</w:t>
            </w: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Before Taxes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12,735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120" w:hanging="372"/>
        <w:spacing w:after="0" w:line="195" w:lineRule="auto"/>
        <w:tabs>
          <w:tab w:leader="none" w:pos="38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($28 million in 2022; $1 million in 2021).</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($6 million in 2022; $8 million in 2021).</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Charges and Credits</w:t>
      </w:r>
      <w:r>
        <w:rPr>
          <w:rFonts w:ascii="Times New Roman" w:cs="Times New Roman" w:eastAsia="Times New Roman" w:hAnsi="Times New Roman"/>
          <w:sz w:val="14"/>
          <w:szCs w:val="14"/>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area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2"/>
        </w:trPr>
        <w:tc>
          <w:tcPr>
            <w:tcW w:w="3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12,735</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41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North America and International revenue disaggregated by segment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Second Quarter 2022</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9"/>
              </w:rPr>
              <w:t>&amp; other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1,333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2,686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1,893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(94)</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6,773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left="90"/>
              <w:spacing w:after="0"/>
              <w:rPr>
                <w:sz w:val="20"/>
                <w:szCs w:val="20"/>
                <w:color w:val="auto"/>
              </w:rPr>
            </w:pPr>
            <w:r>
              <w:rPr>
                <w:rFonts w:ascii="Times New Roman" w:cs="Times New Roman" w:eastAsia="Times New Roman" w:hAnsi="Times New Roman"/>
                <w:sz w:val="18"/>
                <w:szCs w:val="18"/>
                <w:color w:val="auto"/>
              </w:rPr>
              <w:t>Second Quarter 2021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America</w:t>
            </w: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&amp; other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1,117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8"/>
              </w:rPr>
              <w:t>2,110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1,681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(14)</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5,634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0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Six Months 2022</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&amp; other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1,813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2,543</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5,083</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3,497</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9,820</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12,735</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left="70"/>
              <w:spacing w:after="0"/>
              <w:rPr>
                <w:sz w:val="20"/>
                <w:szCs w:val="20"/>
                <w:color w:val="auto"/>
              </w:rPr>
            </w:pPr>
            <w:r>
              <w:rPr>
                <w:rFonts w:ascii="Times New Roman" w:cs="Times New Roman" w:eastAsia="Times New Roman" w:hAnsi="Times New Roman"/>
                <w:sz w:val="18"/>
                <w:szCs w:val="18"/>
                <w:color w:val="auto"/>
                <w:w w:val="99"/>
              </w:rPr>
              <w:t>Six Months 2021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America</w:t>
            </w: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&amp; other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8"/>
              </w:rPr>
              <w:t>1,590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8"/>
              </w:rPr>
              <w:t>4,045</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3,271</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(33)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10,857</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Revenue in excess of billings related to contracts where revenue is recognized over time was $0.3 billion at both June 30, 2022 and December 31, 2021. Such amounts are included within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nature of its business, Schlumberger does not have significant backlog. Total backlog was $3.1 billion at June 30, 2022, of which approximately 60% is expected to be recognized as revenue over the next 12 months.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Billings and cash collections in excess of revenue was $1.3 billion at June 30, 2022 and $1.1 billion at December 31, 2021. Such amounts are included within </w:t>
      </w:r>
      <w:r>
        <w:rPr>
          <w:rFonts w:ascii="Times New Roman" w:cs="Times New Roman" w:eastAsia="Times New Roman" w:hAnsi="Times New Roman"/>
          <w:sz w:val="18"/>
          <w:szCs w:val="18"/>
          <w:i w:val="1"/>
          <w:iCs w:val="1"/>
          <w:color w:val="auto"/>
        </w:rPr>
        <w:t>Accounts payable and accrued liabilities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of the Form 10-Q discusses second-quarter 2022 results of operations and comparisons to first-quarter 2022, as well as the first six months of 2022 results of operations and comparisons to the first six months of 2021. Detailed financial information with respect to first-quarter 2022 can be found in Part I, Item 1, “Financial Statements” of Schlumberger’s Quarterly Report on Form 10-Q for the fiscal quarter ended March 31, 2022.</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2022 Compared to First Quarter 2022</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4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Second Quarter 2022</w:t>
            </w:r>
          </w:p>
        </w:tc>
        <w:tc>
          <w:tcPr>
            <w:tcW w:w="180" w:type="dxa"/>
            <w:vAlign w:val="bottom"/>
          </w:tcPr>
          <w:p>
            <w:pPr>
              <w:spacing w:after="0"/>
              <w:rPr>
                <w:sz w:val="24"/>
                <w:szCs w:val="24"/>
                <w:color w:val="auto"/>
              </w:rPr>
            </w:pPr>
          </w:p>
        </w:tc>
        <w:tc>
          <w:tcPr>
            <w:tcW w:w="204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First Quarter 2022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Income Before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Income Before</w:t>
            </w:r>
          </w:p>
        </w:tc>
        <w:tc>
          <w:tcPr>
            <w:tcW w:w="10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380" w:right="20" w:hanging="372"/>
        <w:spacing w:after="0" w:line="195" w:lineRule="auto"/>
        <w:tabs>
          <w:tab w:leader="none" w:pos="38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Times New Roman" w:cs="Times New Roman" w:eastAsia="Times New Roman" w:hAnsi="Times New Roman"/>
          <w:sz w:val="28"/>
          <w:szCs w:val="28"/>
          <w:color w:val="auto"/>
          <w:vertAlign w:val="superscript"/>
        </w:rPr>
      </w:pPr>
    </w:p>
    <w:p>
      <w:pPr>
        <w:ind w:left="380" w:hanging="372"/>
        <w:spacing w:after="0"/>
        <w:tabs>
          <w:tab w:leader="none" w:pos="38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($16 million in Q2 2022; $12 million in Q1 2022).</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($3 million in Q2 2022; $3 million in Q1 20221).</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2 to the </w:t>
      </w:r>
      <w:r>
        <w:rPr>
          <w:rFonts w:ascii="Times New Roman" w:cs="Times New Roman" w:eastAsia="Times New Roman" w:hAnsi="Times New Roman"/>
          <w:sz w:val="14"/>
          <w:szCs w:val="14"/>
          <w:i w:val="1"/>
          <w:iCs w:val="1"/>
          <w:color w:val="auto"/>
        </w:rPr>
        <w:t>Consolidated Financial Statements</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quarter saw a strong acceleration of revenue and earnings growth, with revenue growing 14% sequentially, driven by an increase in activity internationally, in North America, and across all Divisions.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Sequentially, all Divisions posted double-digit revenue growth—outpacing rig count growth both in North America and internationally. The quarter was also characterized by a favorable mix of exploration and offshore activity and the increasing impact of improved pricing, resulting in the largest sequential quarterly growth since 2010.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Second-quarter sequential revenue growth was broad-based, with international revenue increasing 12% and North America revenue growing 20%. The international growth was widespread across all areas with almost all of the GeoUnits experiencing revenue growth. International revenue growth was led by Europe/CIS/Africa, which experienced a 20% sequential increase. Latin America experienced sequential revenue growth of 10% while revenue in the Middle East &amp; Asia increased 7%. In North America, the 20% sequential revenue growth was driven by a significant increase in land and offshore drilling activity and higher exploration data licensing in the US Gulf of Mexico.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second-quarter pretax segment operating income increased 30% sequentially, and pretax segment operating margin expanded sequentially by 212 basis points (“bps”) to 17.1%—the highest quarterly operating margin level since 2015. All four Divisions expanded their margins sequentially.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near-term concerns over a global economic slowdown, the combination of energy security, favorable break-even prices, and the urgency to grow oil and gas production capacity is expected to continue to support strong upstream E&amp;P spending growth. Consequently, Schlumberger expects a decoupling of upstream spending from near-term demand volatility, resulting in resilient global oil and gas activity growth in 2022 and beyond.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 strength of the second-quarter performance highlights Schlumberger’s ability to comprehensively participate in drilling and completion activity growth globally. The multiyear upcycle continued to gain momentum with upstream activity and service pricing steadily increasing both internationally and in North America, resulting in a strengthened outlook for Schlumberger.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&amp; Integration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Digital &amp; Integration revenue of $955 million increased 11% sequentially primarily due to higher exploration data licensing sales, including $95 million in transfer fees.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Digital &amp; Integration pretax operating margin of 40% expanded 570 bps sequentially due to higher exploration data licensing sales in the US Gulf of Mexico and increased profitability in APS projects, particularly in Canada.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Performance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Reservoir Performance revenue of $1.3 billion increased 10% sequentially due to higher activity on land and offshore beyond the impact of the seasonal rebound in the Northern Hemisphere, along with improved pricing.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Reservoir Performance pretax operating margin of 15% expanded 143 bps sequentially. Profitability was boosted by the seasonal recovery in the Northern Hemisphere, higher offshore and exploration activity, favorable technology mix, and improved pricing.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 Construction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Well Construction revenue of $2.7 billion increased 12% sequentially due to higher land and offshore drilling activity both in North America and internationally, beyond the impact of the seasonal rebound in the Northern Hemisphere, in addition to improved pricing.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Well Construction pretax operating margin of 18% expanded 134 bps sequentially due to improved profitability across most of its business lines, particularly in the Europe/CIS/Africa and Middle East &amp; Asia areas. Margin expansion was due to the seasonal recovery in the Northern Hemisphere, higher offshore and exploration activity, favorable technology mix, and improved pricing.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Systems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Production Systems revenue of $1.9 billion increased 18% sequentially as supply chain and logistics constraints abated, facilitating increased product deliveries and backlog conversion, mostly internationally.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Production Systems pretax operating margin of 9% expanded 190 bps sequentially due to improved profitability from higher sales of surface, well, and subsea production systems.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Six Months 2022 Compared to Six Months 2021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2"/>
        </w:trPr>
        <w:tc>
          <w:tcPr>
            <w:tcW w:w="4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Six Months 2022</w:t>
            </w:r>
          </w:p>
        </w:tc>
        <w:tc>
          <w:tcPr>
            <w:tcW w:w="160" w:type="dxa"/>
            <w:vAlign w:val="bottom"/>
          </w:tcPr>
          <w:p>
            <w:pPr>
              <w:spacing w:after="0"/>
              <w:rPr>
                <w:sz w:val="24"/>
                <w:szCs w:val="24"/>
                <w:color w:val="auto"/>
              </w:rPr>
            </w:pPr>
          </w:p>
        </w:tc>
        <w:tc>
          <w:tcPr>
            <w:tcW w:w="24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Six Months 2021</w:t>
            </w:r>
          </w:p>
        </w:tc>
        <w:tc>
          <w:tcPr>
            <w:tcW w:w="0" w:type="dxa"/>
            <w:vAlign w:val="bottom"/>
          </w:tcPr>
          <w:p>
            <w:pPr>
              <w:spacing w:after="0"/>
              <w:rPr>
                <w:sz w:val="1"/>
                <w:szCs w:val="1"/>
                <w:color w:val="auto"/>
              </w:rPr>
            </w:pPr>
          </w:p>
        </w:tc>
      </w:tr>
      <w:tr>
        <w:trPr>
          <w:trHeight w:val="214"/>
        </w:trPr>
        <w:tc>
          <w:tcPr>
            <w:tcW w:w="4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Before</w:t>
            </w: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Taxes</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12,735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380" w:right="20" w:hanging="372"/>
        <w:spacing w:after="0" w:line="195" w:lineRule="auto"/>
        <w:tabs>
          <w:tab w:leader="none" w:pos="38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Times New Roman" w:cs="Times New Roman" w:eastAsia="Times New Roman" w:hAnsi="Times New Roman"/>
          <w:sz w:val="28"/>
          <w:szCs w:val="28"/>
          <w:color w:val="auto"/>
          <w:vertAlign w:val="superscript"/>
        </w:rPr>
      </w:pPr>
    </w:p>
    <w:p>
      <w:pPr>
        <w:ind w:left="380" w:hanging="372"/>
        <w:spacing w:after="0"/>
        <w:tabs>
          <w:tab w:leader="none" w:pos="38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($28 million in 2022; $1 million in 2021).</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($6 million in 2022; $8 million in 2021).</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2 to the </w:t>
      </w:r>
      <w:r>
        <w:rPr>
          <w:rFonts w:ascii="Times New Roman" w:cs="Times New Roman" w:eastAsia="Times New Roman" w:hAnsi="Times New Roman"/>
          <w:sz w:val="14"/>
          <w:szCs w:val="14"/>
          <w:i w:val="1"/>
          <w:iCs w:val="1"/>
          <w:color w:val="auto"/>
        </w:rPr>
        <w:t>Consolidated Financial Statements.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Six-month 2022 revenue of $12.7 billion increased 17% year-on-year driven by an increase in activity internationally, in North America, and across all Divisions. International revenue increased 13% and North America revenue grew 37%. International growth was widespread, led by Latin America, which increased 21% due to higher drilling and stimulation activity. Europe/CIS/Africa experienced 14% growth, while revenue in the Middle East &amp; Asia increased 7%. In North America, the revenue growth was driven by robust onshore drilling activity and higher sales of production systems, coupled with a strong contribution from the APS project in Canada and increased exploration data licensing in the US Gulf of Mexico.</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Six-month 2022 pretax segment operating margin of 16% was 258 bps higher compared to the same period last year due to improved operating leverage from higher activity, a favorable activity mix, and an improving pricing environment.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&amp; Integration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Six-month 2022 revenue of $1.8 billion increased 14% year-on-year, primarily in North America, driven by higher exploration data license sales and increased revenue from APS projects due to higher production and improved oil prices, particularly in Canada.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Year-on-year, pretax operating margin expanded 425 bps to 37% primarily due to the higher revenue from exploration data licenses and improved profitability from APS projects.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Performance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Six-month 2022 revenue of $2.5 billion increased 20% year-on-year driven by strong international activity led by Latin America and the Middle East &amp; Asia. Double-digit growth was posted in intervention, evaluation, and stimulation services both on land and offshore, with higher exploration-related activity and improved pricing.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increased by 178 bps to 14% due to improved profitability in evaluation and intervention activity.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 Construction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Six-month 2022 revenue of $5.1 billion grew 26% year-on-year with growth across all areas, led by North America and Latin America which grew 57% and 45%, respectively. Double-digit growth was recorded in drilling fluids, measurements, and integrated drilling—both on higher land and offshore activity—along with improved pricing.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increased 497 bps to 17% driven by higher activity and improved pricing.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Systems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Six-month 2022 revenue of $3.5 billion increased 7% primarily driven by new projects and increased sales activity mainly in Europe/CIS/Africa, North America, and Latin America. Double-digit growth was posted in subsea and midstream production systems.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Year-on-year, pretax operating margin decreased 131 bps to 8% due to reduced profitability in midstream and well production systems largely as a result of higher logistics costs and less favorable revenue mix.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and Other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0"/>
        </w:trPr>
        <w:tc>
          <w:tcPr>
            <w:tcW w:w="4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0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Liberty shares</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for the second quarter and first quarter of 2022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and 2021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spacing w:after="0"/>
              <w:rPr>
                <w:sz w:val="19"/>
                <w:szCs w:val="19"/>
                <w:color w:val="auto"/>
              </w:rPr>
            </w:pPr>
          </w:p>
        </w:tc>
        <w:tc>
          <w:tcPr>
            <w:tcW w:w="8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8"/>
        </w:trPr>
        <w:tc>
          <w:tcPr>
            <w:tcW w:w="5540" w:type="dxa"/>
            <w:vAlign w:val="bottom"/>
          </w:tcPr>
          <w:p>
            <w:pPr>
              <w:spacing w:after="0"/>
              <w:rPr>
                <w:sz w:val="20"/>
                <w:szCs w:val="20"/>
                <w:color w:val="auto"/>
              </w:rPr>
            </w:pPr>
          </w:p>
        </w:tc>
        <w:tc>
          <w:tcPr>
            <w:tcW w:w="8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gridSpan w:val="4"/>
          </w:tcPr>
          <w:p>
            <w:pPr>
              <w:jc w:val="center"/>
              <w:ind w:right="1030"/>
              <w:spacing w:after="0"/>
              <w:rPr>
                <w:sz w:val="20"/>
                <w:szCs w:val="20"/>
                <w:color w:val="auto"/>
              </w:rPr>
            </w:pPr>
            <w:r>
              <w:rPr>
                <w:rFonts w:ascii="Times New Roman" w:cs="Times New Roman" w:eastAsia="Times New Roman" w:hAnsi="Times New Roman"/>
                <w:sz w:val="18"/>
                <w:szCs w:val="18"/>
                <w:color w:val="auto"/>
                <w:w w:val="99"/>
              </w:rPr>
              <w:t>First Quarter</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engineering</w:t>
            </w: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w:t>
            </w: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w:t>
            </w:r>
          </w:p>
        </w:tc>
        <w:tc>
          <w:tcPr>
            <w:tcW w:w="8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effective tax rate for the second quarter of 2022 was 15.8%, as compared to 18.4% for the first quarter of 2022. The decrease in the effective tax rate was primarily due to the credits described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These credits reduced the effective tax rate during the second quarter by three percentage points.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effective tax rate for the six months of 2022 was 16.8%, as compared to 18.6% for the same period of 2021. The decrease in the effective tax rate was primarily due to the credits described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These credits reduced the effective tax rate during the first six months of 2022 by two percentage points.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Charges and Credits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Schlumberger recorded the following credits during 2022, all of which are classified in </w:t>
      </w:r>
      <w:r>
        <w:rPr>
          <w:rFonts w:ascii="Times New Roman" w:cs="Times New Roman" w:eastAsia="Times New Roman" w:hAnsi="Times New Roman"/>
          <w:sz w:val="18"/>
          <w:szCs w:val="18"/>
          <w:i w:val="1"/>
          <w:iCs w:val="1"/>
          <w:color w:val="auto"/>
        </w:rPr>
        <w:t>Interest &amp;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6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Tax</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First quarter:</w:t>
            </w:r>
          </w:p>
        </w:tc>
        <w:tc>
          <w:tcPr>
            <w:tcW w:w="9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Liberty shares</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Second quarter:</w:t>
            </w: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Liberty shares</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6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(285)</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did not record any charges or credits during the first six months of 2021.</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components of liquidity as well as changes in liquidity follow: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3"/>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Jun. 30,</w:t>
            </w:r>
          </w:p>
        </w:tc>
        <w:tc>
          <w:tcPr>
            <w:tcW w:w="10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Jun. 30,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Liquidity:</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20"/>
                <w:szCs w:val="20"/>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(901)</w:t>
            </w:r>
          </w:p>
        </w:tc>
        <w:tc>
          <w:tcPr>
            <w:tcW w:w="100" w:type="dxa"/>
            <w:vAlign w:val="bottom"/>
            <w:shd w:val="clear" w:color="auto" w:fill="CFF0FC"/>
          </w:tcPr>
          <w:p>
            <w:pPr>
              <w:spacing w:after="0"/>
              <w:rPr>
                <w:sz w:val="19"/>
                <w:szCs w:val="19"/>
                <w:color w:val="auto"/>
              </w:rPr>
            </w:pPr>
          </w:p>
        </w:tc>
        <w:tc>
          <w:tcPr>
            <w:tcW w:w="1500" w:type="dxa"/>
            <w:vAlign w:val="bottom"/>
            <w:gridSpan w:val="4"/>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(12,946)</w:t>
            </w:r>
          </w:p>
        </w:tc>
        <w:tc>
          <w:tcPr>
            <w:tcW w:w="100" w:type="dxa"/>
            <w:vAlign w:val="bottom"/>
          </w:tcPr>
          <w:p>
            <w:pPr>
              <w:spacing w:after="0"/>
              <w:rPr>
                <w:sz w:val="19"/>
                <w:szCs w:val="19"/>
                <w:color w:val="auto"/>
              </w:rPr>
            </w:pPr>
          </w:p>
        </w:tc>
        <w:tc>
          <w:tcPr>
            <w:tcW w:w="150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color w:val="auto"/>
              </w:rPr>
              <w:t>(15,687)</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(13,286)</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 Jun. 30,</w:t>
            </w:r>
          </w:p>
        </w:tc>
      </w:tr>
      <w:tr>
        <w:trPr>
          <w:trHeight w:val="22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Changes in Liquidity:</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Liberty shares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Increase in working capital </w:t>
            </w:r>
            <w:r>
              <w:rPr>
                <w:rFonts w:ascii="Times New Roman" w:cs="Times New Roman" w:eastAsia="Times New Roman" w:hAnsi="Times New Roman"/>
                <w:sz w:val="15"/>
                <w:szCs w:val="15"/>
                <w:color w:val="auto"/>
              </w:rPr>
              <w:t>(3)</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(1,884)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tax refund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APS investments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(311)</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Exploration data costs capitalized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Taxes paid on net settled stock-based compensation awards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Liberty shares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net debt before impact of changes in foreign exchange rates on net debt</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Impact of changes in foreign exchange rates on net debt</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net debt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debt, beginning of period </w:t>
            </w:r>
            <w:r>
              <w:rPr>
                <w:rFonts w:ascii="Times New Roman" w:cs="Times New Roman" w:eastAsia="Times New Roman" w:hAnsi="Times New Roman"/>
                <w:sz w:val="15"/>
                <w:szCs w:val="15"/>
                <w:color w:val="auto"/>
              </w:rPr>
              <w:t>(1)</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(11,056)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(13,880)</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debt, end of period </w:t>
            </w:r>
            <w:r>
              <w:rPr>
                <w:rFonts w:ascii="Times New Roman" w:cs="Times New Roman" w:eastAsia="Times New Roman" w:hAnsi="Times New Roman"/>
                <w:sz w:val="15"/>
                <w:szCs w:val="15"/>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1" w:right="339" w:bottom="1440" w:gutter="0" w:footer="0" w:header="0"/>
        </w:sectPr>
      </w:pPr>
    </w:p>
    <w:p>
      <w:pPr>
        <w:spacing w:after="0" w:line="41" w:lineRule="exact"/>
        <w:rPr>
          <w:sz w:val="20"/>
          <w:szCs w:val="20"/>
          <w:color w:val="auto"/>
        </w:rPr>
      </w:pPr>
    </w:p>
    <w:p>
      <w:pPr>
        <w:jc w:val="both"/>
        <w:ind w:left="380" w:hanging="372"/>
        <w:spacing w:after="0" w:line="214" w:lineRule="auto"/>
        <w:tabs>
          <w:tab w:leader="none" w:pos="38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Net debt” represents gross debt less cash and short-term investments. Management believes that Schlumberger’s indebtedness by reflecting cash and investments that could be used to repay debt. considered in addition to, not as a substitute for or superior to, total debt.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right"/>
        <w:spacing w:after="0" w:line="298" w:lineRule="auto"/>
        <w:rPr>
          <w:sz w:val="20"/>
          <w:szCs w:val="20"/>
          <w:color w:val="auto"/>
        </w:rPr>
      </w:pPr>
      <w:r>
        <w:rPr>
          <w:rFonts w:ascii="Times New Roman" w:cs="Times New Roman" w:eastAsia="Times New Roman" w:hAnsi="Times New Roman"/>
          <w:sz w:val="16"/>
          <w:szCs w:val="16"/>
          <w:color w:val="auto"/>
        </w:rPr>
        <w:t>Net debt provides useful information regarding the level of Net debt is a non-GAAP financial measure that should be</w:t>
      </w:r>
    </w:p>
    <w:p>
      <w:pPr>
        <w:spacing w:after="0" w:line="157" w:lineRule="exact"/>
        <w:rPr>
          <w:sz w:val="20"/>
          <w:szCs w:val="20"/>
          <w:color w:val="auto"/>
        </w:rPr>
      </w:pPr>
    </w:p>
    <w:p>
      <w:pPr>
        <w:sectPr>
          <w:pgSz w:w="11900" w:h="16838" w:orient="portrait"/>
          <w:cols w:equalWidth="0" w:num="2">
            <w:col w:w="7100" w:space="60"/>
            <w:col w:w="4080"/>
          </w:cols>
          <w:pgMar w:left="320" w:top="441" w:right="339" w:bottom="1440" w:gutter="0" w:footer="0" w:header="0"/>
          <w:type w:val="continuous"/>
        </w:sectPr>
      </w:pPr>
    </w:p>
    <w:p>
      <w:pPr>
        <w:ind w:left="380" w:hanging="372"/>
        <w:spacing w:after="0" w:line="232" w:lineRule="auto"/>
        <w:tabs>
          <w:tab w:leader="none" w:pos="38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exploration data costs, and APS investments.</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severance payments of $38 million and $184 million during the six months ended June 30, 2022 and 2021, respectively.</w:t>
      </w:r>
    </w:p>
    <w:p>
      <w:pPr>
        <w:spacing w:after="0" w:line="118" w:lineRule="exact"/>
        <w:rPr>
          <w:rFonts w:ascii="Times New Roman" w:cs="Times New Roman" w:eastAsia="Times New Roman" w:hAnsi="Times New Roman"/>
          <w:sz w:val="22"/>
          <w:szCs w:val="22"/>
          <w:color w:val="auto"/>
          <w:vertAlign w:val="superscript"/>
        </w:rPr>
      </w:pPr>
    </w:p>
    <w:p>
      <w:pPr>
        <w:jc w:val="both"/>
        <w:ind w:left="380" w:hanging="372"/>
        <w:spacing w:after="0" w:line="227" w:lineRule="auto"/>
        <w:tabs>
          <w:tab w:leader="none" w:pos="38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Key liquidity events during the first six months of 2022 and 2021 included:</w:t>
      </w:r>
    </w:p>
    <w:p>
      <w:pPr>
        <w:spacing w:after="0" w:line="185" w:lineRule="exact"/>
        <w:rPr>
          <w:sz w:val="20"/>
          <w:szCs w:val="20"/>
          <w:color w:val="auto"/>
        </w:rPr>
      </w:pPr>
    </w:p>
    <w:p>
      <w:pPr>
        <w:jc w:val="both"/>
        <w:ind w:left="380" w:right="2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investments (consisting of capital expenditures, APS investments and exploration data capitalized) were $1.0 billion during the first six months of 2022 compared to $0.6 billion during the first six months of 2021. Capital investments during the full year of 2022 are expected to be approximately $2 billion as compared to $1.7 billion for the full year 2021.</w:t>
      </w:r>
    </w:p>
    <w:p>
      <w:pPr>
        <w:spacing w:after="0" w:line="135"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six months of 2022 working capital consumed $1.9 billion of liquidity as compared to $758 million during the same period of 2021. The year-on-year increase in working capital consumption was primarily driven by an increase in receivables due to the significant revenue growth. Inventory also increased as lead times were managed in anticipation of continued growth in the second half of the year.</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six months of 2022, Schlumberger sold 33.8 million of its shares in Liberty and received proceeds of $513 million.</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2022, Schlumberger sold certain real estate and received proceeds of $120 million.</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2016, the Board approved a $10 billion share repurchase program for Schlumberger common stock. Schlumberger had repurchased $1.0 billion of Schlumberger common stock under this program as of June 30, 2022. Schlumberger did not repurchase any of its common stock during the first six months of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Schlumberger had $2.82 billion of cash and short-term investments on hand. Schlumberger had committed debt facility agreements aggregating $6.54 billion, all of which was available and unused. Schlumberger believes these amounts are sufficient to meet future business requirements for at least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under the commercial paper programs at June 30, 2022.</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2022, Schlumberger announced a 40% increase to its quarterly cash dividend from $0.125 per share of outstanding common stock to $0.175 per share.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 As a large multinational company with a long history of operating in a cyclical industry, Schlumberger has extensive experience in working with its customers during difficult times to manage its accounts receivable.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Schlumberger generates revenue in more than 120 countries. As of June 30, 2022, only four of those countries individually accounted for greater than 5% of Schlumberger’s net receivable balance, of which only the United States accounted for greater than 10% of such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2022, Schlumberger decided to immediately suspend new investment and technology deployment to its Russia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Russia represented approximately 5% of Schlumberger’s worldwide revenue during the first six months of 2022. The carrying value of Schlumberger’s net assets in Russia was approximately $1.0 billion as of June 30, 2022. This consisted of $0.4 billion of receivables, $0.5 billion of other current assets, $0.4 billion of fixed assets, $0.1 billion of other non-current assets and $0.4 billion of current liabilities.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continues to actively monitor the dynamic situation in Ukraine and comply with applicable international laws and sanctions. The extent to which Schlumberger’s operations and financial results may be affected by the ongoing conflict in Ukraine will depend on various factors, including the extent and duration of the conflict; the effects of the conflict on regional and global economic and geopolitical conditions; the effect of further international sanctions and trade control restrictions on Schlumberger’s business, the global economy and global supply chains; and the impact of fluctuations in the exchange rate of the ruble. Continuation or escalation of the conflict may also aggravate the risk factors that Schlumberger identified in its Annual Report on Form 10-K for the year ended December 31, 2021, including cybersecurity risks.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second-quarter 2022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Schlumberger and the oil and gas industry; the business strategies of Schlumberger, including digital and “fit for basin,” as well as the strategies of Schlumberger’s customers; Schlumberger’s effective tax rate; Schlumberger’s APS projects, joint ventures, and other alliances; Schlumberger’s response to the COVID-19 pandemic and its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the ongoing conflict in Ukraine; foreign currency risk; inflation; pricing pressure; weather and seasonal factors; unfavorable effects of health pandemics; availability and cost of raw materials; operational modifications, delays or cancellations; challenges in Schlumberger’s supply chain; production declines; the extent of future charges; Schlumberger’s inability to recognize efficiencies and other intended benefits from its business strategies and initiatives, such as digital or Schlumberger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second-quarter 2022 Form 10-Q are made as of July 27, 2022, and Schlumberger disclaims any intention or obligation to update publicly or revise such statements, whether as a result of new information, future events or otherwise.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2021. Schlumberger’s exposure to market risk has not changed materially since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with respect to this Item 1 is set forth under Note 9—</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the accompanying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from the risk factors disclosed in Part 1, Item 1A, of Schlumberger’s Annual Report on Form 10-K for the fiscal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Schlumberger had repurchased $1.0 billion of Schlumberger common stock under its $10 billion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did not repurchase any of its common stock during the first six months of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during the second quarter of 2022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02" w:lineRule="exact"/>
        <w:rPr>
          <w:sz w:val="20"/>
          <w:szCs w:val="20"/>
          <w:color w:val="auto"/>
        </w:rPr>
      </w:pPr>
    </w:p>
    <w:p>
      <w:pPr>
        <w:ind w:left="440"/>
        <w:spacing w:after="0" w:line="282" w:lineRule="auto"/>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color w:val="auto"/>
          </w:rPr>
          <w:t>Exhibit 3.1—</w:t>
        </w:r>
        <w:r>
          <w:rPr>
            <w:rFonts w:ascii="Times New Roman" w:cs="Times New Roman" w:eastAsia="Times New Roman" w:hAnsi="Times New Roman"/>
            <w:sz w:val="18"/>
            <w:szCs w:val="18"/>
            <w:u w:val="single" w:color="auto"/>
            <w:color w:val="0000FF"/>
          </w:rPr>
          <w:t>Articles of Incorporation of Schlumberger Limited (Schlumberger N.V.) (incorporated by reference to Exhibit 3.1 to Schlumberger’s</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FF"/>
          </w:rPr>
          <w:t>Current Report 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-185420</wp:posOffset>
            </wp:positionV>
            <wp:extent cx="62185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2185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-48260</wp:posOffset>
            </wp:positionV>
            <wp:extent cx="23736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7" w:lineRule="exact"/>
        <w:rPr>
          <w:sz w:val="20"/>
          <w:szCs w:val="20"/>
          <w:color w:val="auto"/>
        </w:rPr>
      </w:pPr>
    </w:p>
    <w:p>
      <w:pPr>
        <w:ind w:left="440"/>
        <w:spacing w:after="0" w:line="282" w:lineRule="auto"/>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color w:val="auto"/>
          </w:rPr>
          <w:t>Exhibit 3.2—</w:t>
        </w:r>
        <w:r>
          <w:rPr>
            <w:rFonts w:ascii="Times New Roman" w:cs="Times New Roman" w:eastAsia="Times New Roman" w:hAnsi="Times New Roman"/>
            <w:sz w:val="18"/>
            <w:szCs w:val="18"/>
            <w:u w:val="single" w:color="auto"/>
            <w:color w:val="0000FF"/>
          </w:rPr>
          <w:t>Amended and Restated By-laws of Schlumberger Limited (Schlumberger N.V.) (incorporated by reference to Exhibit 3 to</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Schlumberger’s Current Report on Form 8-K filed on July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-185420</wp:posOffset>
            </wp:positionV>
            <wp:extent cx="6189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-48260</wp:posOffset>
            </wp:positionV>
            <wp:extent cx="3128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128010" cy="8255"/>
                    </a:xfrm>
                    <a:prstGeom prst="rect">
                      <a:avLst/>
                    </a:prstGeom>
                    <a:noFill/>
                  </pic:spPr>
                </pic:pic>
              </a:graphicData>
            </a:graphic>
          </wp:anchor>
        </w:drawing>
      </w:r>
    </w:p>
    <w:p>
      <w:pPr>
        <w:spacing w:after="0" w:line="7" w:lineRule="exact"/>
        <w:rPr>
          <w:sz w:val="20"/>
          <w:szCs w:val="20"/>
          <w:color w:val="auto"/>
        </w:rPr>
      </w:pPr>
    </w:p>
    <w:p>
      <w:pPr>
        <w:ind w:left="580" w:hanging="131"/>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w:t>
      </w:r>
      <w:r>
        <w:rPr>
          <w:rFonts w:ascii="Times New Roman" w:cs="Times New Roman" w:eastAsia="Times New Roman" w:hAnsi="Times New Roman"/>
          <w:sz w:val="18"/>
          <w:szCs w:val="18"/>
          <w:u w:val="single" w:color="auto"/>
          <w:color w:val="0000EE"/>
        </w:rPr>
        <w:t>Schlumberger Discounted Stock Purchase Plan, as amended and restated effective July 1, 2022 (+)</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22—</w:t>
      </w:r>
      <w:r>
        <w:rPr>
          <w:rFonts w:ascii="Times New Roman" w:cs="Times New Roman" w:eastAsia="Times New Roman" w:hAnsi="Times New Roman"/>
          <w:sz w:val="18"/>
          <w:szCs w:val="18"/>
          <w:u w:val="single" w:color="auto"/>
          <w:color w:val="0000EE"/>
        </w:rPr>
        <w:t>Issuers of Registered Guaranteed Debt Securities</w:t>
      </w:r>
    </w:p>
    <w:p>
      <w:pPr>
        <w:spacing w:after="0" w:line="90" w:lineRule="exact"/>
        <w:rPr>
          <w:rFonts w:ascii="Times New Roman" w:cs="Times New Roman" w:eastAsia="Times New Roman" w:hAnsi="Times New Roman"/>
          <w:sz w:val="18"/>
          <w:szCs w:val="18"/>
          <w:color w:val="auto"/>
        </w:rPr>
      </w:pPr>
    </w:p>
    <w:p>
      <w:pPr>
        <w:ind w:left="440" w:firstLine="9"/>
        <w:spacing w:after="0" w:line="282" w:lineRule="auto"/>
        <w:tabs>
          <w:tab w:leader="none" w:pos="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31.1—</w:t>
      </w:r>
      <w:r>
        <w:rPr>
          <w:rFonts w:ascii="Times New Roman" w:cs="Times New Roman" w:eastAsia="Times New Roman" w:hAnsi="Times New Roman"/>
          <w:sz w:val="18"/>
          <w:szCs w:val="18"/>
          <w:u w:val="single" w:color="auto"/>
          <w:color w:val="0000EE"/>
        </w:rPr>
        <w:t>Certification of Chief Executive Officer pursuant to Rule 13a-14(a) of the Securities Exchange Act of 1934, as amended, as adopted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pursuant to Section 302 of the Sarbanes-Oxley Act of 2002</w:t>
      </w:r>
    </w:p>
    <w:p>
      <w:pPr>
        <w:spacing w:after="0" w:line="26" w:lineRule="exact"/>
        <w:rPr>
          <w:rFonts w:ascii="Times New Roman" w:cs="Times New Roman" w:eastAsia="Times New Roman" w:hAnsi="Times New Roman"/>
          <w:sz w:val="18"/>
          <w:szCs w:val="18"/>
          <w:color w:val="auto"/>
        </w:rPr>
      </w:pPr>
    </w:p>
    <w:p>
      <w:pPr>
        <w:ind w:left="440" w:firstLine="9"/>
        <w:spacing w:after="0" w:line="282" w:lineRule="auto"/>
        <w:tabs>
          <w:tab w:leader="none" w:pos="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31.2—</w:t>
      </w:r>
      <w:r>
        <w:rPr>
          <w:rFonts w:ascii="Times New Roman" w:cs="Times New Roman" w:eastAsia="Times New Roman" w:hAnsi="Times New Roman"/>
          <w:sz w:val="18"/>
          <w:szCs w:val="18"/>
          <w:u w:val="single" w:color="auto"/>
          <w:color w:val="0000EE"/>
        </w:rPr>
        <w:t>Certification of Chief Financial Officer pursuant to Rule 13a-14(a) of the Securities Exchange Act of 1934, as amended, as adopted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pursuant to Section 302 of the Sarbanes-Oxley Act of 2002</w:t>
      </w:r>
    </w:p>
    <w:p>
      <w:pPr>
        <w:spacing w:after="0" w:line="27" w:lineRule="exact"/>
        <w:rPr>
          <w:sz w:val="20"/>
          <w:szCs w:val="20"/>
          <w:color w:val="auto"/>
        </w:rPr>
      </w:pPr>
    </w:p>
    <w:p>
      <w:pPr>
        <w:ind w:left="440" w:firstLine="9"/>
        <w:spacing w:after="0" w:line="282" w:lineRule="auto"/>
        <w:tabs>
          <w:tab w:leader="none" w:pos="6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w:t>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 Act of 2002</w:t>
      </w:r>
    </w:p>
    <w:p>
      <w:pPr>
        <w:spacing w:after="0" w:line="26" w:lineRule="exact"/>
        <w:rPr>
          <w:rFonts w:ascii="Times New Roman" w:cs="Times New Roman" w:eastAsia="Times New Roman" w:hAnsi="Times New Roman"/>
          <w:sz w:val="18"/>
          <w:szCs w:val="18"/>
          <w:color w:val="auto"/>
        </w:rPr>
      </w:pPr>
    </w:p>
    <w:p>
      <w:pPr>
        <w:ind w:left="440" w:firstLine="9"/>
        <w:spacing w:after="0" w:line="282" w:lineRule="auto"/>
        <w:tabs>
          <w:tab w:leader="none" w:pos="6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32.2—</w:t>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w:t>
      </w:r>
    </w:p>
    <w:p>
      <w:pPr>
        <w:spacing w:after="0" w:line="27" w:lineRule="exact"/>
        <w:rPr>
          <w:sz w:val="20"/>
          <w:szCs w:val="20"/>
          <w:color w:val="auto"/>
        </w:rPr>
      </w:pPr>
    </w:p>
    <w:p>
      <w:pPr>
        <w:ind w:left="580" w:hanging="131"/>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95—</w:t>
      </w:r>
      <w:r>
        <w:rPr>
          <w:rFonts w:ascii="Times New Roman" w:cs="Times New Roman" w:eastAsia="Times New Roman" w:hAnsi="Times New Roman"/>
          <w:sz w:val="18"/>
          <w:szCs w:val="18"/>
          <w:u w:val="single" w:color="auto"/>
          <w:color w:val="0000EE"/>
        </w:rPr>
        <w:t>Mine Safety Disclosures</w:t>
      </w:r>
    </w:p>
    <w:p>
      <w:pPr>
        <w:spacing w:after="0" w:line="90" w:lineRule="exact"/>
        <w:rPr>
          <w:rFonts w:ascii="Times New Roman" w:cs="Times New Roman" w:eastAsia="Times New Roman" w:hAnsi="Times New Roman"/>
          <w:sz w:val="18"/>
          <w:szCs w:val="18"/>
          <w:color w:val="auto"/>
        </w:rPr>
      </w:pPr>
    </w:p>
    <w:p>
      <w:pPr>
        <w:ind w:left="440" w:firstLine="9"/>
        <w:spacing w:after="0" w:line="282" w:lineRule="auto"/>
        <w:tabs>
          <w:tab w:leader="none" w:pos="5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101.INS—Inline XBRL Instance Document – the instance document does not appear in the Interactive Data File because XBRL tags are embedded within the Inline XBRL document</w:t>
      </w:r>
    </w:p>
    <w:p>
      <w:pPr>
        <w:spacing w:after="0" w:line="26"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101.SCH—Inline XBRL Taxonomy Extension Schema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101.CAL—Inline XBRL Taxonomy Extension Calculation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101.DEF—Inline XBRL Taxonomy Extension Definition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101.LAB—Inline XBRL Taxonomy Extension Label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101.PRE—Inline XBRL Taxonomy Extension Presentation Linkbase Document</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104—Cover Page Interactive Data File (embedded within the Inline XBRL document)</w:t>
      </w:r>
    </w:p>
    <w:p>
      <w:pPr>
        <w:spacing w:after="0" w:line="252"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w:t>
      </w:r>
    </w:p>
    <w:p>
      <w:pPr>
        <w:spacing w:after="0" w:line="11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Form 10-Q.</w:t>
      </w:r>
    </w:p>
    <w:p>
      <w:pPr>
        <w:spacing w:after="0" w:line="117" w:lineRule="exact"/>
        <w:rPr>
          <w:rFonts w:ascii="Times New Roman" w:cs="Times New Roman" w:eastAsia="Times New Roman" w:hAnsi="Times New Roman"/>
          <w:sz w:val="18"/>
          <w:szCs w:val="18"/>
          <w:color w:val="auto"/>
        </w:rPr>
      </w:pPr>
    </w:p>
    <w:p>
      <w:pPr>
        <w:ind w:left="280" w:hanging="260"/>
        <w:spacing w:after="0"/>
        <w:tabs>
          <w:tab w:leader="none" w:pos="2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color w:val="auto"/>
        </w:rPr>
        <w:t>Date:</w:t>
        <w:tab/>
        <w:t>July 27, 2022</w:t>
      </w:r>
      <w:r>
        <w:rPr>
          <w:sz w:val="20"/>
          <w:szCs w:val="20"/>
          <w:color w:val="auto"/>
        </w:rPr>
        <w:tab/>
      </w:r>
      <w:r>
        <w:rPr>
          <w:rFonts w:ascii="Times New Roman" w:cs="Times New Roman" w:eastAsia="Times New Roman" w:hAnsi="Times New Roman"/>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Howard Guild</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Chief Accounting Officer and Duly Authorized Signatory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9" w:lineRule="exact"/>
        <w:rPr>
          <w:sz w:val="20"/>
          <w:szCs w:val="20"/>
          <w:color w:val="auto"/>
        </w:rPr>
      </w:pPr>
    </w:p>
    <w:p>
      <w:pPr>
        <w:spacing w:after="0"/>
        <w:rPr>
          <w:sz w:val="20"/>
          <w:szCs w:val="20"/>
          <w:color w:val="auto"/>
        </w:rPr>
      </w:pPr>
      <w:r>
        <w:rPr>
          <w:rFonts w:ascii="Arial" w:cs="Arial" w:eastAsia="Arial" w:hAnsi="Arial"/>
          <w:sz w:val="29"/>
          <w:szCs w:val="29"/>
          <w:color w:val="242B61"/>
        </w:rPr>
        <w:t>Schlumberger Discounted Stock Purchase Plan</w:t>
      </w:r>
    </w:p>
    <w:p>
      <w:pPr>
        <w:spacing w:after="0" w:line="3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amended and restated effective as of July 1, 2022)</w:t>
      </w:r>
    </w:p>
    <w:p>
      <w:pPr>
        <w:spacing w:after="0" w:line="38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6"/>
          <w:szCs w:val="16"/>
          <w:b w:val="1"/>
          <w:bCs w:val="1"/>
          <w:color w:val="082169"/>
        </w:rPr>
      </w:pPr>
      <w:r>
        <w:rPr>
          <w:rFonts w:ascii="Arial" w:cs="Arial" w:eastAsia="Arial" w:hAnsi="Arial"/>
          <w:sz w:val="16"/>
          <w:szCs w:val="16"/>
          <w:b w:val="1"/>
          <w:bCs w:val="1"/>
          <w:color w:val="082169"/>
        </w:rPr>
        <w:t>Purpose</w:t>
      </w:r>
    </w:p>
    <w:p>
      <w:pPr>
        <w:spacing w:after="0" w:line="180" w:lineRule="exact"/>
        <w:rPr>
          <w:rFonts w:ascii="Arial" w:cs="Arial" w:eastAsia="Arial" w:hAnsi="Arial"/>
          <w:sz w:val="16"/>
          <w:szCs w:val="16"/>
          <w:b w:val="1"/>
          <w:bCs w:val="1"/>
          <w:color w:val="082169"/>
        </w:rPr>
      </w:pPr>
    </w:p>
    <w:p>
      <w:pPr>
        <w:jc w:val="both"/>
        <w:ind w:left="500"/>
        <w:spacing w:after="0" w:line="247" w:lineRule="auto"/>
        <w:rPr>
          <w:rFonts w:ascii="Arial" w:cs="Arial" w:eastAsia="Arial" w:hAnsi="Arial"/>
          <w:sz w:val="16"/>
          <w:szCs w:val="16"/>
          <w:b w:val="1"/>
          <w:bCs w:val="1"/>
          <w:color w:val="082169"/>
        </w:rPr>
      </w:pPr>
      <w:r>
        <w:rPr>
          <w:rFonts w:ascii="Arial" w:cs="Arial" w:eastAsia="Arial" w:hAnsi="Arial"/>
          <w:sz w:val="16"/>
          <w:szCs w:val="16"/>
          <w:color w:val="auto"/>
        </w:rPr>
        <w:t>The Schlumberger Discounted Stock Purchase Plan (the “Plan”) is designed to encourage and assist all employees of Schlumberger Limited, a Curaçao corporation, and its Subsidiaries (as defined in Section 4 hereof, and together with Schlumberger Limited, the “Company”), where permitted by applicable laws and regulations, to acquire an equity interest in Schlumberger Limited through the purchase of shares of common stock, par value $0.01 per share, of Schlumberger Limited (the “Common Stock”). It is intended that the Plan constitute an “employee stock purchase plan” within the meaning of Section 423 of the Internal Revenue Code of 1986, as amended (the “Code”).</w:t>
      </w:r>
    </w:p>
    <w:p>
      <w:pPr>
        <w:spacing w:after="0" w:line="133"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5"/>
        </w:numPr>
        <w:rPr>
          <w:rFonts w:ascii="Arial" w:cs="Arial" w:eastAsia="Arial" w:hAnsi="Arial"/>
          <w:sz w:val="16"/>
          <w:szCs w:val="16"/>
          <w:b w:val="1"/>
          <w:bCs w:val="1"/>
          <w:color w:val="082169"/>
        </w:rPr>
      </w:pPr>
      <w:r>
        <w:rPr>
          <w:rFonts w:ascii="Arial" w:cs="Arial" w:eastAsia="Arial" w:hAnsi="Arial"/>
          <w:sz w:val="16"/>
          <w:szCs w:val="16"/>
          <w:b w:val="1"/>
          <w:bCs w:val="1"/>
          <w:color w:val="082169"/>
        </w:rPr>
        <w:t>Administration of the Plan</w:t>
      </w:r>
    </w:p>
    <w:p>
      <w:pPr>
        <w:spacing w:after="0" w:line="180" w:lineRule="exact"/>
        <w:rPr>
          <w:rFonts w:ascii="Arial" w:cs="Arial" w:eastAsia="Arial" w:hAnsi="Arial"/>
          <w:sz w:val="16"/>
          <w:szCs w:val="16"/>
          <w:b w:val="1"/>
          <w:bCs w:val="1"/>
          <w:color w:val="082169"/>
        </w:rPr>
      </w:pPr>
    </w:p>
    <w:p>
      <w:pPr>
        <w:jc w:val="both"/>
        <w:ind w:left="500"/>
        <w:spacing w:after="0" w:line="242" w:lineRule="auto"/>
        <w:rPr>
          <w:rFonts w:ascii="Arial" w:cs="Arial" w:eastAsia="Arial" w:hAnsi="Arial"/>
          <w:sz w:val="16"/>
          <w:szCs w:val="16"/>
          <w:b w:val="1"/>
          <w:bCs w:val="1"/>
          <w:color w:val="082169"/>
        </w:rPr>
      </w:pPr>
      <w:r>
        <w:rPr>
          <w:rFonts w:ascii="Arial" w:cs="Arial" w:eastAsia="Arial" w:hAnsi="Arial"/>
          <w:sz w:val="16"/>
          <w:szCs w:val="16"/>
          <w:color w:val="auto"/>
        </w:rPr>
        <w:t>The Plan shall be administered by a Stock Purchase Plan Committee (the “Committee”) appointed by the Board of Directors of Schlumberger Limited (the “Board”), which consists of at least three (3) persons. The Committee shall supervise the administration and enforcement of the Plan according to its terms and provisions, and will have all powers necessary to accomplish these purposes and discharge its duties hereunder including, but not by way of limitation, the power to (a) employ and compensate agents of the Committee for the purpose of administering the accounts of participating employees; (b) construe or interpret the Plan; (c) determine all questions of eligibility; (d) compute the amount and determine the manner and time of payment of all benefits according to the Plan hereunder; and (e) amend the Plan as necessary to comply with the Code or make any other changes to the Plan that do not result in any (i) significant increase in the cost of maintaining the Plan or (ii) significant reduction in the overall benefits provided to employees under the Plan.</w:t>
      </w:r>
    </w:p>
    <w:p>
      <w:pPr>
        <w:spacing w:after="0" w:line="135" w:lineRule="exact"/>
        <w:rPr>
          <w:rFonts w:ascii="Arial" w:cs="Arial" w:eastAsia="Arial" w:hAnsi="Arial"/>
          <w:sz w:val="16"/>
          <w:szCs w:val="16"/>
          <w:b w:val="1"/>
          <w:bCs w:val="1"/>
          <w:color w:val="082169"/>
        </w:rPr>
      </w:pPr>
    </w:p>
    <w:p>
      <w:pPr>
        <w:jc w:val="both"/>
        <w:ind w:left="500"/>
        <w:spacing w:after="0" w:line="257" w:lineRule="auto"/>
        <w:rPr>
          <w:rFonts w:ascii="Arial" w:cs="Arial" w:eastAsia="Arial" w:hAnsi="Arial"/>
          <w:sz w:val="16"/>
          <w:szCs w:val="16"/>
          <w:b w:val="1"/>
          <w:bCs w:val="1"/>
          <w:color w:val="082169"/>
        </w:rPr>
      </w:pPr>
      <w:r>
        <w:rPr>
          <w:rFonts w:ascii="Arial" w:cs="Arial" w:eastAsia="Arial" w:hAnsi="Arial"/>
          <w:sz w:val="16"/>
          <w:szCs w:val="16"/>
          <w:color w:val="auto"/>
        </w:rPr>
        <w:t>The Committee shall act by unanimous decision of its members at a regular or special meeting of the Committee, or by unanimous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37"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5"/>
        </w:numPr>
        <w:rPr>
          <w:rFonts w:ascii="Arial" w:cs="Arial" w:eastAsia="Arial" w:hAnsi="Arial"/>
          <w:sz w:val="16"/>
          <w:szCs w:val="16"/>
          <w:b w:val="1"/>
          <w:bCs w:val="1"/>
          <w:color w:val="082169"/>
        </w:rPr>
      </w:pPr>
      <w:r>
        <w:rPr>
          <w:rFonts w:ascii="Arial" w:cs="Arial" w:eastAsia="Arial" w:hAnsi="Arial"/>
          <w:sz w:val="16"/>
          <w:szCs w:val="16"/>
          <w:b w:val="1"/>
          <w:bCs w:val="1"/>
          <w:color w:val="082169"/>
        </w:rPr>
        <w:t>Nature and Number of Shares</w:t>
      </w:r>
    </w:p>
    <w:p>
      <w:pPr>
        <w:spacing w:after="0" w:line="180" w:lineRule="exact"/>
        <w:rPr>
          <w:rFonts w:ascii="Arial" w:cs="Arial" w:eastAsia="Arial" w:hAnsi="Arial"/>
          <w:sz w:val="16"/>
          <w:szCs w:val="16"/>
          <w:b w:val="1"/>
          <w:bCs w:val="1"/>
          <w:color w:val="082169"/>
        </w:rPr>
      </w:pPr>
    </w:p>
    <w:p>
      <w:pPr>
        <w:jc w:val="both"/>
        <w:ind w:left="500"/>
        <w:spacing w:after="0" w:line="241" w:lineRule="auto"/>
        <w:rPr>
          <w:rFonts w:ascii="Arial" w:cs="Arial" w:eastAsia="Arial" w:hAnsi="Arial"/>
          <w:sz w:val="16"/>
          <w:szCs w:val="16"/>
          <w:b w:val="1"/>
          <w:bCs w:val="1"/>
          <w:color w:val="082169"/>
        </w:rPr>
      </w:pPr>
      <w:r>
        <w:rPr>
          <w:rFonts w:ascii="Arial" w:cs="Arial" w:eastAsia="Arial" w:hAnsi="Arial"/>
          <w:sz w:val="16"/>
          <w:szCs w:val="16"/>
          <w:color w:val="auto"/>
        </w:rPr>
        <w:t>The Common Stock subject to issuance under the terms of the Plan will be shares of Schlumberger Limited’s authorized but unissued shares or previously issued shares reacquired and held by Schlumberger Limited. Except as provided in Section 20 hereof, effective from and after January 21, 2021, the aggregate number of shares of Common Stock that may be issued under, and that is authorized by, this Plan shall not exceed 24,059,600, being equal to the sum of (a) the 4,059,600 shares of Common Stock available for issuance under the Plan on January 1, 2021 after the issuance of any such shares of Common Stock attributable to the Purchase Period ended December 31, 2020, and (b) the 20,000,000 shares of Common Stock authorized as of January 21, 2021. All shares of Common Stock purchased under the Plan, regardless of source, will be counted against this share limitation.</w:t>
      </w:r>
    </w:p>
    <w:p>
      <w:pPr>
        <w:spacing w:after="0" w:line="137"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5"/>
        </w:numPr>
        <w:rPr>
          <w:rFonts w:ascii="Arial" w:cs="Arial" w:eastAsia="Arial" w:hAnsi="Arial"/>
          <w:sz w:val="16"/>
          <w:szCs w:val="16"/>
          <w:b w:val="1"/>
          <w:bCs w:val="1"/>
          <w:color w:val="082169"/>
        </w:rPr>
      </w:pPr>
      <w:r>
        <w:rPr>
          <w:rFonts w:ascii="Arial" w:cs="Arial" w:eastAsia="Arial" w:hAnsi="Arial"/>
          <w:sz w:val="16"/>
          <w:szCs w:val="16"/>
          <w:b w:val="1"/>
          <w:bCs w:val="1"/>
          <w:color w:val="082169"/>
        </w:rPr>
        <w:t>Eligibility Requirements</w:t>
      </w:r>
    </w:p>
    <w:p>
      <w:pPr>
        <w:spacing w:after="0" w:line="180" w:lineRule="exact"/>
        <w:rPr>
          <w:rFonts w:ascii="Arial" w:cs="Arial" w:eastAsia="Arial" w:hAnsi="Arial"/>
          <w:sz w:val="16"/>
          <w:szCs w:val="16"/>
          <w:b w:val="1"/>
          <w:bCs w:val="1"/>
          <w:color w:val="082169"/>
        </w:rPr>
      </w:pPr>
    </w:p>
    <w:p>
      <w:pPr>
        <w:jc w:val="both"/>
        <w:ind w:left="500"/>
        <w:spacing w:after="0" w:line="257" w:lineRule="auto"/>
        <w:rPr>
          <w:rFonts w:ascii="Arial" w:cs="Arial" w:eastAsia="Arial" w:hAnsi="Arial"/>
          <w:sz w:val="16"/>
          <w:szCs w:val="16"/>
          <w:b w:val="1"/>
          <w:bCs w:val="1"/>
          <w:color w:val="082169"/>
        </w:rPr>
      </w:pPr>
      <w:r>
        <w:rPr>
          <w:rFonts w:ascii="Arial" w:cs="Arial" w:eastAsia="Arial" w:hAnsi="Arial"/>
          <w:sz w:val="16"/>
          <w:szCs w:val="16"/>
          <w:color w:val="auto"/>
        </w:rPr>
        <w:t>Each “Employee” (as defined below in this Section 4), except as described in the next paragraph, will become eligible to participate in the Plan in accordance with Section 5 hereof on the first “Enrollment Date” (as defined in Section 5 hereof) coincident with or next following employment with the Company. Participation in the Plan is voluntary.</w:t>
      </w:r>
    </w:p>
    <w:p>
      <w:pPr>
        <w:spacing w:after="0" w:line="137" w:lineRule="exact"/>
        <w:rPr>
          <w:rFonts w:ascii="Arial" w:cs="Arial" w:eastAsia="Arial" w:hAnsi="Arial"/>
          <w:sz w:val="16"/>
          <w:szCs w:val="16"/>
          <w:b w:val="1"/>
          <w:bCs w:val="1"/>
          <w:color w:val="082169"/>
        </w:rPr>
      </w:pPr>
    </w:p>
    <w:p>
      <w:pPr>
        <w:ind w:left="500"/>
        <w:spacing w:after="0"/>
        <w:rPr>
          <w:rFonts w:ascii="Arial" w:cs="Arial" w:eastAsia="Arial" w:hAnsi="Arial"/>
          <w:sz w:val="16"/>
          <w:szCs w:val="16"/>
          <w:b w:val="1"/>
          <w:bCs w:val="1"/>
          <w:color w:val="082169"/>
        </w:rPr>
      </w:pPr>
      <w:r>
        <w:rPr>
          <w:rFonts w:ascii="Arial" w:cs="Arial" w:eastAsia="Arial" w:hAnsi="Arial"/>
          <w:sz w:val="16"/>
          <w:szCs w:val="16"/>
          <w:color w:val="auto"/>
        </w:rPr>
        <w:t>The following Employees are not eligible to participate in the Plan:</w:t>
      </w:r>
    </w:p>
    <w:p>
      <w:pPr>
        <w:spacing w:after="0" w:line="167" w:lineRule="exact"/>
        <w:rPr>
          <w:rFonts w:ascii="Arial" w:cs="Arial" w:eastAsia="Arial" w:hAnsi="Arial"/>
          <w:sz w:val="16"/>
          <w:szCs w:val="16"/>
          <w:b w:val="1"/>
          <w:bCs w:val="1"/>
          <w:color w:val="082169"/>
        </w:rPr>
      </w:pPr>
    </w:p>
    <w:p>
      <w:pPr>
        <w:ind w:left="1020" w:right="20" w:hanging="486"/>
        <w:spacing w:after="0" w:line="268"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an aggregate of 5% or more of the total combined voting power or value of all outstanding shares of all classes of Schlumberger Limited or any Subsidiary;</w:t>
      </w:r>
    </w:p>
    <w:p>
      <w:pPr>
        <w:spacing w:after="0" w:line="129" w:lineRule="exact"/>
        <w:rPr>
          <w:rFonts w:ascii="Arial" w:cs="Arial" w:eastAsia="Arial" w:hAnsi="Arial"/>
          <w:sz w:val="16"/>
          <w:szCs w:val="16"/>
          <w:color w:val="auto"/>
        </w:rPr>
      </w:pPr>
    </w:p>
    <w:p>
      <w:pPr>
        <w:ind w:left="1020" w:hanging="486"/>
        <w:spacing w:after="0" w:line="268"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Employees who are customarily employed by the Company fewer than twenty (20) hours per week or fewer than five (5) months in any calendar year; and</w:t>
      </w:r>
    </w:p>
    <w:p>
      <w:pPr>
        <w:spacing w:after="0" w:line="129" w:lineRule="exact"/>
        <w:rPr>
          <w:rFonts w:ascii="Arial" w:cs="Arial" w:eastAsia="Arial" w:hAnsi="Arial"/>
          <w:sz w:val="16"/>
          <w:szCs w:val="16"/>
          <w:color w:val="auto"/>
        </w:rPr>
      </w:pPr>
    </w:p>
    <w:p>
      <w:pPr>
        <w:ind w:left="1020" w:hanging="486"/>
        <w:spacing w:after="0" w:line="268"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Employees who are prohibited by the laws and regulations of the nation of their residence or employment from participating in the Plan, as determined by the Committee.</w:t>
      </w:r>
    </w:p>
    <w:p>
      <w:pPr>
        <w:spacing w:after="0" w:line="129" w:lineRule="exact"/>
        <w:rPr>
          <w:sz w:val="20"/>
          <w:szCs w:val="20"/>
          <w:color w:val="auto"/>
        </w:rPr>
      </w:pPr>
    </w:p>
    <w:p>
      <w:pPr>
        <w:jc w:val="both"/>
        <w:ind w:left="500"/>
        <w:spacing w:after="0" w:line="257" w:lineRule="auto"/>
        <w:rPr>
          <w:sz w:val="20"/>
          <w:szCs w:val="20"/>
          <w:color w:val="auto"/>
        </w:rPr>
      </w:pPr>
      <w:r>
        <w:rPr>
          <w:rFonts w:ascii="Arial" w:cs="Arial" w:eastAsia="Arial" w:hAnsi="Arial"/>
          <w:sz w:val="16"/>
          <w:szCs w:val="16"/>
          <w:color w:val="auto"/>
        </w:rPr>
        <w:t>Notwithstanding the provisions of subparagraph (ii) above, where required by applicable law (as determined by the Committee), Employees employed in the countries specified from time to time by the Committee who are customarily employed by the Company fewer than twenty (20) hours per week may participate in the Plan where required by law, subject to any restrictions established by the Committee.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“Employee” means any individual employed by Schlumberger Limited or any Subsidiary.</w:t>
      </w:r>
    </w:p>
    <w:p>
      <w:pPr>
        <w:spacing w:after="0" w:line="181" w:lineRule="exact"/>
        <w:rPr>
          <w:sz w:val="20"/>
          <w:szCs w:val="20"/>
          <w:color w:val="auto"/>
        </w:rPr>
      </w:pPr>
    </w:p>
    <w:p>
      <w:pPr>
        <w:jc w:val="both"/>
        <w:ind w:left="500"/>
        <w:spacing w:after="0" w:line="257" w:lineRule="auto"/>
        <w:rPr>
          <w:sz w:val="20"/>
          <w:szCs w:val="20"/>
          <w:color w:val="auto"/>
        </w:rPr>
      </w:pPr>
      <w:r>
        <w:rPr>
          <w:rFonts w:ascii="Arial" w:cs="Arial" w:eastAsia="Arial" w:hAnsi="Arial"/>
          <w:sz w:val="16"/>
          <w:szCs w:val="16"/>
          <w:color w:val="auto"/>
        </w:rPr>
        <w:t>“Subsidiary” means any corporation in existence as of the Restatement Date (as defined in Section 5 hereof) of the Plan in an unbroken chain of corporations beginning with Schlumberger Limited if, as of the Restatement Date, each of the corporations other than the last corporation in the chain owns stock possessing 50% or more of the total combined voting power of all classes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left="500"/>
        <w:spacing w:after="0" w:line="257" w:lineRule="auto"/>
        <w:rPr>
          <w:sz w:val="20"/>
          <w:szCs w:val="20"/>
          <w:color w:val="auto"/>
        </w:rPr>
      </w:pPr>
      <w:r>
        <w:rPr>
          <w:rFonts w:ascii="Arial" w:cs="Arial" w:eastAsia="Arial" w:hAnsi="Arial"/>
          <w:sz w:val="16"/>
          <w:szCs w:val="16"/>
          <w:color w:val="auto"/>
        </w:rPr>
        <w:t>in one of the other corporations in the chain. Any corporation that may become a Subsidiary after the Restatement Date will automatically be deemed to be a participating Subsidiary under the Plan effective as of the following Enrollment Date, unless the Committee takes action to exclude such corporation and its employees from participation herein.</w:t>
      </w:r>
    </w:p>
    <w:p>
      <w:pPr>
        <w:spacing w:after="0" w:line="138"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6"/>
          <w:szCs w:val="16"/>
          <w:b w:val="1"/>
          <w:bCs w:val="1"/>
          <w:color w:val="082169"/>
        </w:rPr>
      </w:pPr>
      <w:r>
        <w:rPr>
          <w:rFonts w:ascii="Arial" w:cs="Arial" w:eastAsia="Arial" w:hAnsi="Arial"/>
          <w:sz w:val="16"/>
          <w:szCs w:val="16"/>
          <w:b w:val="1"/>
          <w:bCs w:val="1"/>
          <w:color w:val="082169"/>
        </w:rPr>
        <w:t>Enrollment</w:t>
      </w:r>
    </w:p>
    <w:p>
      <w:pPr>
        <w:spacing w:after="0" w:line="180" w:lineRule="exact"/>
        <w:rPr>
          <w:rFonts w:ascii="Arial" w:cs="Arial" w:eastAsia="Arial" w:hAnsi="Arial"/>
          <w:sz w:val="16"/>
          <w:szCs w:val="16"/>
          <w:b w:val="1"/>
          <w:bCs w:val="1"/>
          <w:color w:val="082169"/>
        </w:rPr>
      </w:pPr>
    </w:p>
    <w:p>
      <w:pPr>
        <w:jc w:val="both"/>
        <w:ind w:left="500"/>
        <w:spacing w:after="0" w:line="243" w:lineRule="auto"/>
        <w:rPr>
          <w:rFonts w:ascii="Arial" w:cs="Arial" w:eastAsia="Arial" w:hAnsi="Arial"/>
          <w:sz w:val="16"/>
          <w:szCs w:val="16"/>
          <w:b w:val="1"/>
          <w:bCs w:val="1"/>
          <w:color w:val="082169"/>
        </w:rPr>
      </w:pPr>
      <w:r>
        <w:rPr>
          <w:rFonts w:ascii="Arial" w:cs="Arial" w:eastAsia="Arial" w:hAnsi="Arial"/>
          <w:sz w:val="16"/>
          <w:szCs w:val="16"/>
          <w:color w:val="auto"/>
        </w:rPr>
        <w:t>Each eligible Employee as of July 1, 2022 (the “Restatement Date” herein) who is already enrolled in the Plan may enroll in the Plan as of January 1, 2023. Each other eligible Employee who thereafter becomes eligible to participate may enroll in the Plan on the first July 1 or January 1 following the date he or she first meets the eligibility requirements of Section 4 hereof.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148" w:lineRule="exact"/>
        <w:rPr>
          <w:rFonts w:ascii="Arial" w:cs="Arial" w:eastAsia="Arial" w:hAnsi="Arial"/>
          <w:sz w:val="16"/>
          <w:szCs w:val="16"/>
          <w:b w:val="1"/>
          <w:bCs w:val="1"/>
          <w:color w:val="082169"/>
        </w:rPr>
      </w:pPr>
    </w:p>
    <w:p>
      <w:pPr>
        <w:ind w:left="500"/>
        <w:spacing w:after="0" w:line="268" w:lineRule="auto"/>
        <w:rPr>
          <w:rFonts w:ascii="Arial" w:cs="Arial" w:eastAsia="Arial" w:hAnsi="Arial"/>
          <w:sz w:val="16"/>
          <w:szCs w:val="16"/>
          <w:b w:val="1"/>
          <w:bCs w:val="1"/>
          <w:color w:val="082169"/>
        </w:rPr>
      </w:pPr>
      <w:r>
        <w:rPr>
          <w:rFonts w:ascii="Arial" w:cs="Arial" w:eastAsia="Arial" w:hAnsi="Arial"/>
          <w:sz w:val="16"/>
          <w:szCs w:val="16"/>
          <w:color w:val="auto"/>
        </w:rPr>
        <w:t>In order to enroll, an eligible Employee must complete an enrollment application through the process designated by the Company, unless applicable law requires a paper enrollment form, in which case the form should be signed and submitted to the Stock Department.</w:t>
      </w:r>
    </w:p>
    <w:p>
      <w:pPr>
        <w:spacing w:after="0" w:line="129"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6"/>
        </w:numPr>
        <w:rPr>
          <w:rFonts w:ascii="Arial" w:cs="Arial" w:eastAsia="Arial" w:hAnsi="Arial"/>
          <w:sz w:val="16"/>
          <w:szCs w:val="16"/>
          <w:b w:val="1"/>
          <w:bCs w:val="1"/>
          <w:color w:val="082169"/>
        </w:rPr>
      </w:pPr>
      <w:r>
        <w:rPr>
          <w:rFonts w:ascii="Arial" w:cs="Arial" w:eastAsia="Arial" w:hAnsi="Arial"/>
          <w:sz w:val="16"/>
          <w:szCs w:val="16"/>
          <w:b w:val="1"/>
          <w:bCs w:val="1"/>
          <w:color w:val="082169"/>
        </w:rPr>
        <w:t>Method of Payment</w:t>
      </w:r>
    </w:p>
    <w:p>
      <w:pPr>
        <w:spacing w:after="0" w:line="180" w:lineRule="exact"/>
        <w:rPr>
          <w:rFonts w:ascii="Arial" w:cs="Arial" w:eastAsia="Arial" w:hAnsi="Arial"/>
          <w:sz w:val="16"/>
          <w:szCs w:val="16"/>
          <w:b w:val="1"/>
          <w:bCs w:val="1"/>
          <w:color w:val="082169"/>
        </w:rPr>
      </w:pPr>
    </w:p>
    <w:p>
      <w:pPr>
        <w:jc w:val="both"/>
        <w:ind w:left="500"/>
        <w:spacing w:after="0" w:line="241" w:lineRule="auto"/>
        <w:rPr>
          <w:rFonts w:ascii="Arial" w:cs="Arial" w:eastAsia="Arial" w:hAnsi="Arial"/>
          <w:sz w:val="16"/>
          <w:szCs w:val="16"/>
          <w:b w:val="1"/>
          <w:bCs w:val="1"/>
          <w:color w:val="082169"/>
        </w:rPr>
      </w:pPr>
      <w:r>
        <w:rPr>
          <w:rFonts w:ascii="Arial" w:cs="Arial" w:eastAsia="Arial" w:hAnsi="Arial"/>
          <w:sz w:val="16"/>
          <w:szCs w:val="16"/>
          <w:color w:val="auto"/>
        </w:rPr>
        <w:t>Payment for shares of Common Stock is to be made as of the applicable “Purchase Date” (as defined in Section 9 hereof)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be deemed, by virtue of enrolling in the Plan during a Purchase Period, to authorize such deductions from his or her pay for each month during such Purchase Period, and such amounts will be deducted in conformity with his or her employer’s payroll deduction schedule.</w:t>
      </w:r>
    </w:p>
    <w:p>
      <w:pPr>
        <w:spacing w:after="0" w:line="137" w:lineRule="exact"/>
        <w:rPr>
          <w:rFonts w:ascii="Arial" w:cs="Arial" w:eastAsia="Arial" w:hAnsi="Arial"/>
          <w:sz w:val="16"/>
          <w:szCs w:val="16"/>
          <w:b w:val="1"/>
          <w:bCs w:val="1"/>
          <w:color w:val="082169"/>
        </w:rPr>
      </w:pPr>
    </w:p>
    <w:p>
      <w:pPr>
        <w:jc w:val="both"/>
        <w:ind w:left="500"/>
        <w:spacing w:after="0" w:line="243" w:lineRule="auto"/>
        <w:rPr>
          <w:rFonts w:ascii="Arial" w:cs="Arial" w:eastAsia="Arial" w:hAnsi="Arial"/>
          <w:sz w:val="16"/>
          <w:szCs w:val="16"/>
          <w:b w:val="1"/>
          <w:bCs w:val="1"/>
          <w:color w:val="082169"/>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process. Bonuses will be included in determining the amount of the Participant’s contribution.</w:t>
      </w:r>
    </w:p>
    <w:p>
      <w:pPr>
        <w:spacing w:after="0" w:line="151" w:lineRule="exact"/>
        <w:rPr>
          <w:rFonts w:ascii="Arial" w:cs="Arial" w:eastAsia="Arial" w:hAnsi="Arial"/>
          <w:sz w:val="16"/>
          <w:szCs w:val="16"/>
          <w:b w:val="1"/>
          <w:bCs w:val="1"/>
          <w:color w:val="082169"/>
        </w:rPr>
      </w:pPr>
    </w:p>
    <w:p>
      <w:pPr>
        <w:jc w:val="both"/>
        <w:ind w:left="500"/>
        <w:spacing w:after="0" w:line="238" w:lineRule="auto"/>
        <w:rPr>
          <w:rFonts w:ascii="Arial" w:cs="Arial" w:eastAsia="Arial" w:hAnsi="Arial"/>
          <w:sz w:val="16"/>
          <w:szCs w:val="16"/>
          <w:b w:val="1"/>
          <w:bCs w:val="1"/>
          <w:color w:val="082169"/>
        </w:rPr>
      </w:pPr>
      <w:r>
        <w:rPr>
          <w:rFonts w:ascii="Arial" w:cs="Arial" w:eastAsia="Arial" w:hAnsi="Arial"/>
          <w:sz w:val="16"/>
          <w:szCs w:val="16"/>
          <w:color w:val="auto"/>
        </w:rPr>
        <w:t>A Participant may elect to increase or decrease the rate of contribution effective as of the next pay period or the first day of any calendar month by using the process as determined by the Company from time to time. A Participant may suspend payroll deductions at any time during the Purchase Period, by using the process as determined by the Company from time to time. In such case, the Participant’s account will continue to accrue interest determined in accordance with Section 7 hereof, if applicable, and will be used to purchase stock at the end of the Purchase Period. A Participant may also elect to withdraw contributions at any time by using the process as determined by the Company from time to time. Any Participant who withdraws his or her contributions will receive his or her entire account balance, including interest, if any, plus the number of shares of Common Stock held by the Participant under the Plan as soon as administratively feasible.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153" w:lineRule="exact"/>
        <w:rPr>
          <w:rFonts w:ascii="Arial" w:cs="Arial" w:eastAsia="Arial" w:hAnsi="Arial"/>
          <w:sz w:val="16"/>
          <w:szCs w:val="16"/>
          <w:b w:val="1"/>
          <w:bCs w:val="1"/>
          <w:color w:val="082169"/>
        </w:rPr>
      </w:pPr>
    </w:p>
    <w:p>
      <w:pPr>
        <w:jc w:val="both"/>
        <w:ind w:left="500"/>
        <w:spacing w:after="0" w:line="248" w:lineRule="auto"/>
        <w:rPr>
          <w:rFonts w:ascii="Arial" w:cs="Arial" w:eastAsia="Arial" w:hAnsi="Arial"/>
          <w:sz w:val="16"/>
          <w:szCs w:val="16"/>
          <w:b w:val="1"/>
          <w:bCs w:val="1"/>
          <w:color w:val="082169"/>
        </w:rPr>
      </w:pPr>
      <w:r>
        <w:rPr>
          <w:rFonts w:ascii="Arial" w:cs="Arial" w:eastAsia="Arial" w:hAnsi="Arial"/>
          <w:sz w:val="16"/>
          <w:szCs w:val="16"/>
          <w:color w:val="auto"/>
        </w:rPr>
        <w:t>No more than the maximum contribution permitted any Participant under Section 9 hereof can be accumulated over the Purchase Period, including interest, if applicable. Except in case of cancellation of election to purchase, death, resignation or other terminating event, the amount in a Participant’s account at the end of the Purchase Period will be applied to the purchase of shares of Common Stock.</w:t>
      </w:r>
    </w:p>
    <w:p>
      <w:pPr>
        <w:spacing w:after="0" w:line="145"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6"/>
        </w:numPr>
        <w:rPr>
          <w:rFonts w:ascii="Arial" w:cs="Arial" w:eastAsia="Arial" w:hAnsi="Arial"/>
          <w:sz w:val="16"/>
          <w:szCs w:val="16"/>
          <w:b w:val="1"/>
          <w:bCs w:val="1"/>
          <w:color w:val="082169"/>
        </w:rPr>
      </w:pPr>
      <w:r>
        <w:rPr>
          <w:rFonts w:ascii="Arial" w:cs="Arial" w:eastAsia="Arial" w:hAnsi="Arial"/>
          <w:sz w:val="16"/>
          <w:szCs w:val="16"/>
          <w:b w:val="1"/>
          <w:bCs w:val="1"/>
          <w:color w:val="082169"/>
        </w:rPr>
        <w:t>Crediting of Contributions, Interest and Dividends</w:t>
      </w:r>
    </w:p>
    <w:p>
      <w:pPr>
        <w:spacing w:after="0" w:line="180" w:lineRule="exact"/>
        <w:rPr>
          <w:rFonts w:ascii="Arial" w:cs="Arial" w:eastAsia="Arial" w:hAnsi="Arial"/>
          <w:sz w:val="16"/>
          <w:szCs w:val="16"/>
          <w:b w:val="1"/>
          <w:bCs w:val="1"/>
          <w:color w:val="082169"/>
        </w:rPr>
      </w:pPr>
    </w:p>
    <w:p>
      <w:pPr>
        <w:jc w:val="both"/>
        <w:ind w:left="500"/>
        <w:spacing w:after="0" w:line="243" w:lineRule="auto"/>
        <w:rPr>
          <w:rFonts w:ascii="Arial" w:cs="Arial" w:eastAsia="Arial" w:hAnsi="Arial"/>
          <w:sz w:val="16"/>
          <w:szCs w:val="16"/>
          <w:b w:val="1"/>
          <w:bCs w:val="1"/>
          <w:color w:val="082169"/>
        </w:rPr>
      </w:pPr>
      <w:r>
        <w:rPr>
          <w:rFonts w:ascii="Arial" w:cs="Arial" w:eastAsia="Arial" w:hAnsi="Arial"/>
          <w:sz w:val="16"/>
          <w:szCs w:val="16"/>
          <w:color w:val="auto"/>
        </w:rPr>
        <w:t>Contributions will be credited to a Participant’s account as soon as administratively feasible after payroll withholding. Unless otherwise prohibited by laws or regulations, the Committee may determine in its discretion that Participant contributions will receive interest at a rate realized for the investment vehicle or vehicles designated by the Committee for purposes of the Plan. Interest may, in the Committee’s discretion, be credited to a Participant’s account, if the Participant remains in the Plan at the end of the Purchase Period. Any such contributions and interest will be deposited in or held by a bank or financial institution designated by the Committee for this purpose (any such bank or financial institution so designated by the Committee for this or any other purpose hereunder, a “Custodian”).</w:t>
      </w:r>
    </w:p>
    <w:p>
      <w:pPr>
        <w:spacing w:after="0" w:line="137"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6"/>
        </w:numPr>
        <w:rPr>
          <w:rFonts w:ascii="Arial" w:cs="Arial" w:eastAsia="Arial" w:hAnsi="Arial"/>
          <w:sz w:val="16"/>
          <w:szCs w:val="16"/>
          <w:b w:val="1"/>
          <w:bCs w:val="1"/>
          <w:color w:val="082169"/>
        </w:rPr>
      </w:pPr>
      <w:r>
        <w:rPr>
          <w:rFonts w:ascii="Arial" w:cs="Arial" w:eastAsia="Arial" w:hAnsi="Arial"/>
          <w:sz w:val="16"/>
          <w:szCs w:val="16"/>
          <w:b w:val="1"/>
          <w:bCs w:val="1"/>
          <w:color w:val="082169"/>
        </w:rPr>
        <w:t>Grant of Right to Purchase Common Stock on Enrollment</w:t>
      </w:r>
    </w:p>
    <w:p>
      <w:pPr>
        <w:spacing w:after="0" w:line="180" w:lineRule="exact"/>
        <w:rPr>
          <w:rFonts w:ascii="Arial" w:cs="Arial" w:eastAsia="Arial" w:hAnsi="Arial"/>
          <w:sz w:val="16"/>
          <w:szCs w:val="16"/>
          <w:b w:val="1"/>
          <w:bCs w:val="1"/>
          <w:color w:val="082169"/>
        </w:rPr>
      </w:pPr>
    </w:p>
    <w:p>
      <w:pPr>
        <w:jc w:val="both"/>
        <w:ind w:left="500"/>
        <w:spacing w:after="0" w:line="257" w:lineRule="auto"/>
        <w:rPr>
          <w:rFonts w:ascii="Arial" w:cs="Arial" w:eastAsia="Arial" w:hAnsi="Arial"/>
          <w:sz w:val="16"/>
          <w:szCs w:val="16"/>
          <w:b w:val="1"/>
          <w:bCs w:val="1"/>
          <w:color w:val="082169"/>
        </w:rPr>
      </w:pPr>
      <w:r>
        <w:rPr>
          <w:rFonts w:ascii="Arial" w:cs="Arial" w:eastAsia="Arial" w:hAnsi="Arial"/>
          <w:sz w:val="16"/>
          <w:szCs w:val="16"/>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8" w:name="page29"/>
    <w:bookmarkEnd w:id="28"/>
    <w:p>
      <w:pPr>
        <w:jc w:val="both"/>
        <w:ind w:left="500"/>
        <w:spacing w:after="0" w:line="243" w:lineRule="auto"/>
        <w:rPr>
          <w:sz w:val="20"/>
          <w:szCs w:val="20"/>
          <w:color w:val="auto"/>
        </w:rPr>
      </w:pPr>
      <w:r>
        <w:rPr>
          <w:rFonts w:ascii="Arial" w:cs="Arial" w:eastAsia="Arial" w:hAnsi="Arial"/>
          <w:sz w:val="16"/>
          <w:szCs w:val="16"/>
          <w:color w:val="auto"/>
        </w:rPr>
        <w:t>shares of Common Stock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cancels his participation through the process as determined by the Company from time to time confirming that he or she elects not to re-enroll. A Participant who has suspended payroll deductions or withdrawn contributions during any Purchase Period must re-enroll to participate in the Plan in the next Purchase Period.</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Each right to purchase shares of Common Stock under the Plan during a Purchase Period will have the following terms:</w:t>
      </w:r>
    </w:p>
    <w:p>
      <w:pPr>
        <w:spacing w:after="0" w:line="167" w:lineRule="exact"/>
        <w:rPr>
          <w:sz w:val="20"/>
          <w:szCs w:val="20"/>
          <w:color w:val="auto"/>
        </w:rPr>
      </w:pPr>
    </w:p>
    <w:p>
      <w:pPr>
        <w:jc w:val="both"/>
        <w:ind w:left="1020" w:hanging="486"/>
        <w:spacing w:after="0" w:line="257"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right to purchase shares of Common Stock during a particular Purchase Period will expire on the earlier of (A) the completion of the purchase of shares of Common Stock on the Purchase Date occurring on the last trading day of the Purchase Period; or (B) the date on which participation of such Participant in the Plan terminates for any reason;</w:t>
      </w:r>
    </w:p>
    <w:p>
      <w:pPr>
        <w:spacing w:after="0" w:line="124" w:lineRule="exact"/>
        <w:rPr>
          <w:rFonts w:ascii="Arial" w:cs="Arial" w:eastAsia="Arial" w:hAnsi="Arial"/>
          <w:sz w:val="16"/>
          <w:szCs w:val="16"/>
          <w:color w:val="auto"/>
        </w:rPr>
      </w:pPr>
    </w:p>
    <w:p>
      <w:pPr>
        <w:ind w:left="1020" w:right="20" w:hanging="486"/>
        <w:spacing w:after="0" w:line="286"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no event will the right to purchase shares of Common Stock during a Purchase Period extend beyond twenty-seven (27) months from the Enrollment Date;</w:t>
      </w:r>
    </w:p>
    <w:p>
      <w:pPr>
        <w:spacing w:after="0" w:line="101" w:lineRule="exact"/>
        <w:rPr>
          <w:rFonts w:ascii="Arial" w:cs="Arial" w:eastAsia="Arial" w:hAnsi="Arial"/>
          <w:sz w:val="16"/>
          <w:szCs w:val="16"/>
          <w:color w:val="auto"/>
        </w:rPr>
      </w:pPr>
    </w:p>
    <w:p>
      <w:pPr>
        <w:ind w:left="1020" w:hanging="486"/>
        <w:spacing w:after="0" w:line="286"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payment for shares of Common Stock purchased will be made only through payroll withholding and the crediting of interest, if applicable, in accordance with Sections 6 and 7 hereof;</w:t>
      </w:r>
    </w:p>
    <w:p>
      <w:pPr>
        <w:spacing w:after="0" w:line="101" w:lineRule="exact"/>
        <w:rPr>
          <w:rFonts w:ascii="Arial" w:cs="Arial" w:eastAsia="Arial" w:hAnsi="Arial"/>
          <w:sz w:val="16"/>
          <w:szCs w:val="16"/>
          <w:color w:val="auto"/>
        </w:rPr>
      </w:pPr>
    </w:p>
    <w:p>
      <w:pPr>
        <w:ind w:left="1020" w:hanging="486"/>
        <w:spacing w:after="0"/>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purchase of shares of Common Stock will be accomplished only in accordance with Section 9 hereof;</w:t>
      </w:r>
    </w:p>
    <w:p>
      <w:pPr>
        <w:spacing w:after="0" w:line="180" w:lineRule="exact"/>
        <w:rPr>
          <w:rFonts w:ascii="Arial" w:cs="Arial" w:eastAsia="Arial" w:hAnsi="Arial"/>
          <w:sz w:val="16"/>
          <w:szCs w:val="16"/>
          <w:color w:val="auto"/>
        </w:rPr>
      </w:pPr>
    </w:p>
    <w:p>
      <w:pPr>
        <w:ind w:left="1020" w:hanging="486"/>
        <w:spacing w:after="0"/>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price per share of Common Stock will be determined as provided in Section 9 hereof;</w:t>
      </w:r>
    </w:p>
    <w:p>
      <w:pPr>
        <w:spacing w:after="0" w:line="180" w:lineRule="exact"/>
        <w:rPr>
          <w:rFonts w:ascii="Arial" w:cs="Arial" w:eastAsia="Arial" w:hAnsi="Arial"/>
          <w:sz w:val="16"/>
          <w:szCs w:val="16"/>
          <w:color w:val="auto"/>
        </w:rPr>
      </w:pPr>
    </w:p>
    <w:p>
      <w:pPr>
        <w:jc w:val="both"/>
        <w:ind w:left="1020" w:hanging="486"/>
        <w:spacing w:after="0" w:line="248"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right to purchase shares of Common Stock (taken together with all other such rights then outstanding under the Plan and under all other similar stock purchase plans of Schlumberger Limited or any Subsidiary) will in no event give a Participant the right to purchase a number of shares of Common Stock during any calendar year having a fair market value in excess of $25,000 (the “Maximum Share Limitation”) as determined in accordance with the Section 423 of the Code and the regulations thereunder;</w:t>
      </w:r>
    </w:p>
    <w:p>
      <w:pPr>
        <w:spacing w:after="0" w:line="144" w:lineRule="exact"/>
        <w:rPr>
          <w:rFonts w:ascii="Arial" w:cs="Arial" w:eastAsia="Arial" w:hAnsi="Arial"/>
          <w:sz w:val="16"/>
          <w:szCs w:val="16"/>
          <w:color w:val="auto"/>
        </w:rPr>
      </w:pPr>
    </w:p>
    <w:p>
      <w:pPr>
        <w:ind w:left="1020" w:hanging="486"/>
        <w:spacing w:after="0" w:line="286"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Maximum Share Limitation for a Purchase Period will be determined as of the Grant Date (as defined in Section 9 hereof) of a Purchase Period by dividing $12,500 by the fair market value of a share of Common Stock on such Grant Date; and</w:t>
      </w:r>
    </w:p>
    <w:p>
      <w:pPr>
        <w:spacing w:after="0" w:line="101" w:lineRule="exact"/>
        <w:rPr>
          <w:rFonts w:ascii="Arial" w:cs="Arial" w:eastAsia="Arial" w:hAnsi="Arial"/>
          <w:sz w:val="16"/>
          <w:szCs w:val="16"/>
          <w:color w:val="auto"/>
        </w:rPr>
      </w:pPr>
    </w:p>
    <w:p>
      <w:pPr>
        <w:ind w:left="1020" w:hanging="486"/>
        <w:spacing w:after="0" w:line="286"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right to purchase shares of Common Stock will in all respects be subject to the terms and conditions of the Plan, as interpreted by the Committee.</w:t>
      </w:r>
    </w:p>
    <w:p>
      <w:pPr>
        <w:spacing w:after="0" w:line="101" w:lineRule="exact"/>
        <w:rPr>
          <w:rFonts w:ascii="Arial" w:cs="Arial" w:eastAsia="Arial" w:hAnsi="Arial"/>
          <w:sz w:val="16"/>
          <w:szCs w:val="16"/>
          <w:color w:val="auto"/>
        </w:rPr>
      </w:pPr>
    </w:p>
    <w:p>
      <w:pPr>
        <w:ind w:left="500" w:hanging="492"/>
        <w:spacing w:after="0"/>
        <w:tabs>
          <w:tab w:leader="none" w:pos="500" w:val="left"/>
        </w:tabs>
        <w:numPr>
          <w:ilvl w:val="0"/>
          <w:numId w:val="28"/>
        </w:numPr>
        <w:rPr>
          <w:rFonts w:ascii="Arial" w:cs="Arial" w:eastAsia="Arial" w:hAnsi="Arial"/>
          <w:sz w:val="16"/>
          <w:szCs w:val="16"/>
          <w:b w:val="1"/>
          <w:bCs w:val="1"/>
          <w:color w:val="082169"/>
        </w:rPr>
      </w:pPr>
      <w:r>
        <w:rPr>
          <w:rFonts w:ascii="Arial" w:cs="Arial" w:eastAsia="Arial" w:hAnsi="Arial"/>
          <w:sz w:val="16"/>
          <w:szCs w:val="16"/>
          <w:b w:val="1"/>
          <w:bCs w:val="1"/>
          <w:color w:val="082169"/>
        </w:rPr>
        <w:t>Purchase of Common Stock</w:t>
      </w:r>
    </w:p>
    <w:p>
      <w:pPr>
        <w:spacing w:after="0" w:line="180" w:lineRule="exact"/>
        <w:rPr>
          <w:rFonts w:ascii="Arial" w:cs="Arial" w:eastAsia="Arial" w:hAnsi="Arial"/>
          <w:sz w:val="16"/>
          <w:szCs w:val="16"/>
          <w:b w:val="1"/>
          <w:bCs w:val="1"/>
          <w:color w:val="082169"/>
        </w:rPr>
      </w:pPr>
    </w:p>
    <w:p>
      <w:pPr>
        <w:jc w:val="both"/>
        <w:ind w:left="500"/>
        <w:spacing w:after="0" w:line="243" w:lineRule="auto"/>
        <w:rPr>
          <w:rFonts w:ascii="Arial" w:cs="Arial" w:eastAsia="Arial" w:hAnsi="Arial"/>
          <w:sz w:val="16"/>
          <w:szCs w:val="16"/>
          <w:b w:val="1"/>
          <w:bCs w:val="1"/>
          <w:color w:val="082169"/>
        </w:rPr>
      </w:pPr>
      <w:r>
        <w:rPr>
          <w:rFonts w:ascii="Arial" w:cs="Arial" w:eastAsia="Arial" w:hAnsi="Arial"/>
          <w:sz w:val="16"/>
          <w:szCs w:val="16"/>
          <w:color w:val="auto"/>
        </w:rPr>
        <w:t>The right of a Participant to purchase shares of Common Stock granted by the Company under the Plan is for the term of a Purchase Period. The fair market value of the Common Stuck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151" w:lineRule="exact"/>
        <w:rPr>
          <w:rFonts w:ascii="Arial" w:cs="Arial" w:eastAsia="Arial" w:hAnsi="Arial"/>
          <w:sz w:val="16"/>
          <w:szCs w:val="16"/>
          <w:b w:val="1"/>
          <w:bCs w:val="1"/>
          <w:color w:val="082169"/>
        </w:rPr>
      </w:pPr>
    </w:p>
    <w:p>
      <w:pPr>
        <w:ind w:left="500" w:right="20"/>
        <w:spacing w:after="0" w:line="268" w:lineRule="auto"/>
        <w:rPr>
          <w:rFonts w:ascii="Arial" w:cs="Arial" w:eastAsia="Arial" w:hAnsi="Arial"/>
          <w:sz w:val="16"/>
          <w:szCs w:val="16"/>
          <w:b w:val="1"/>
          <w:bCs w:val="1"/>
          <w:color w:val="082169"/>
        </w:rPr>
      </w:pPr>
      <w:r>
        <w:rPr>
          <w:rFonts w:ascii="Arial" w:cs="Arial" w:eastAsia="Arial" w:hAnsi="Arial"/>
          <w:sz w:val="16"/>
          <w:szCs w:val="16"/>
          <w:color w:val="auto"/>
        </w:rPr>
        <w:t>As of the Purchase Date, the Committee shall apply the funds then credited to each Participant’s account to the purchase of whole shares of Common Stock. The cost to the Participant for the shares of Common Stock purchased during a Purchase Period will be 85.0% of the lower of:</w:t>
      </w:r>
    </w:p>
    <w:p>
      <w:pPr>
        <w:spacing w:after="0" w:line="129" w:lineRule="exact"/>
        <w:rPr>
          <w:rFonts w:ascii="Arial" w:cs="Arial" w:eastAsia="Arial" w:hAnsi="Arial"/>
          <w:sz w:val="16"/>
          <w:szCs w:val="16"/>
          <w:b w:val="1"/>
          <w:bCs w:val="1"/>
          <w:color w:val="082169"/>
        </w:rPr>
      </w:pPr>
    </w:p>
    <w:p>
      <w:pPr>
        <w:ind w:left="1020" w:hanging="486"/>
        <w:spacing w:after="0"/>
        <w:tabs>
          <w:tab w:leader="none" w:pos="10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Fair Market Value of the Common Stock on the Grant Date; or</w:t>
      </w:r>
    </w:p>
    <w:p>
      <w:pPr>
        <w:spacing w:after="0" w:line="180" w:lineRule="exact"/>
        <w:rPr>
          <w:rFonts w:ascii="Arial" w:cs="Arial" w:eastAsia="Arial" w:hAnsi="Arial"/>
          <w:sz w:val="16"/>
          <w:szCs w:val="16"/>
          <w:color w:val="auto"/>
        </w:rPr>
      </w:pPr>
    </w:p>
    <w:p>
      <w:pPr>
        <w:ind w:left="1020" w:hanging="486"/>
        <w:spacing w:after="0"/>
        <w:tabs>
          <w:tab w:leader="none" w:pos="10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Fair Market Value of the Common Stock on the Purchase Date.</w:t>
      </w:r>
    </w:p>
    <w:p>
      <w:pPr>
        <w:spacing w:after="0" w:line="181" w:lineRule="exact"/>
        <w:rPr>
          <w:sz w:val="20"/>
          <w:szCs w:val="20"/>
          <w:color w:val="auto"/>
        </w:rPr>
      </w:pPr>
    </w:p>
    <w:p>
      <w:pPr>
        <w:jc w:val="both"/>
        <w:ind w:left="500"/>
        <w:spacing w:after="0" w:line="238" w:lineRule="auto"/>
        <w:rPr>
          <w:sz w:val="20"/>
          <w:szCs w:val="20"/>
          <w:color w:val="auto"/>
        </w:rPr>
      </w:pPr>
      <w:r>
        <w:rPr>
          <w:rFonts w:ascii="Arial" w:cs="Arial" w:eastAsia="Arial" w:hAnsi="Arial"/>
          <w:sz w:val="16"/>
          <w:szCs w:val="16"/>
          <w:color w:val="auto"/>
        </w:rPr>
        <w:t>The Company shall, as soon as administratively feasible after the Purchase Date, deliver to the Custodian book entries or entries into each Participant’s account evidencing shares of Common Stock purchased, but Participants shall be treated as the record owners of their purchased shares of Common Stock effective as of the Purchase Date. Shares of Common Stock that are held by the Custodian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the number of shares of Common Stock held in his or her account as of the most recent Purchase Date and any cash or interest, if any, remaining in his or her account. Any Participant who terminates employment or withdraws his or her contributions from the Plan prior to the next Purchase Date, will receive the number of shares of Common Stock held in his or her account and a cash refund attributable to amounts equal to less than the price of a whole share of Common Stock, and any accumulated contributions and interest determined in accordance with Section 7 hereof, if any. If for any reason a Participant’s allocations to the Plan exceed $10,625.00 during a Purchase Period or if the purchase of shares of Common Stock with such</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9" w:name="page30"/>
    <w:bookmarkEnd w:id="29"/>
    <w:p>
      <w:pPr>
        <w:jc w:val="both"/>
        <w:ind w:left="500"/>
        <w:spacing w:after="0" w:line="286" w:lineRule="auto"/>
        <w:rPr>
          <w:sz w:val="20"/>
          <w:szCs w:val="20"/>
          <w:color w:val="auto"/>
        </w:rPr>
      </w:pPr>
      <w:r>
        <w:rPr>
          <w:rFonts w:ascii="Arial" w:cs="Arial" w:eastAsia="Arial" w:hAnsi="Arial"/>
          <w:sz w:val="16"/>
          <w:szCs w:val="16"/>
          <w:color w:val="auto"/>
        </w:rPr>
        <w:t>allocations would exceed the Maximum Share Limitation, such excess amounts shall be refunded to the Participant as soon as administratively feasible after such excess has been determined to exist.</w:t>
      </w:r>
    </w:p>
    <w:p>
      <w:pPr>
        <w:spacing w:after="0" w:line="102" w:lineRule="exact"/>
        <w:rPr>
          <w:sz w:val="20"/>
          <w:szCs w:val="20"/>
          <w:color w:val="auto"/>
        </w:rPr>
      </w:pPr>
    </w:p>
    <w:p>
      <w:pPr>
        <w:jc w:val="both"/>
        <w:ind w:left="500"/>
        <w:spacing w:after="0" w:line="243" w:lineRule="auto"/>
        <w:rPr>
          <w:sz w:val="20"/>
          <w:szCs w:val="20"/>
          <w:color w:val="auto"/>
        </w:rPr>
      </w:pPr>
      <w:r>
        <w:rPr>
          <w:rFonts w:ascii="Arial" w:cs="Arial" w:eastAsia="Arial" w:hAnsi="Arial"/>
          <w:sz w:val="16"/>
          <w:szCs w:val="16"/>
          <w:color w:val="auto"/>
        </w:rPr>
        <w:t>If as of any Purchase Date the shares of Common Stock authorized for purchase under the Plan are exceeded, enrollments shall be reduced proportionately to eliminate the excess. The Company shall refund to Participants, as soon as administratively feasible, any funds that cannot be applied to the purchase of shares of Common Stock due to excess enrollment, including interest, if any, determined in accordance with Section 7 hereof. The Committee in its discretion may also provide that amounts representing a fractional share of Common Stock that were withheld but not applied toward the purchase of shares of Common Stock in a Purchase Period may be carried over to the next Purchase Period under this Plan or any successor plan according to the regulations as set forth under Section 423 of the Code.</w:t>
      </w:r>
    </w:p>
    <w:p>
      <w:pPr>
        <w:spacing w:after="0" w:line="15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6"/>
          <w:szCs w:val="16"/>
          <w:b w:val="1"/>
          <w:bCs w:val="1"/>
          <w:color w:val="082169"/>
        </w:rPr>
      </w:pPr>
      <w:r>
        <w:rPr>
          <w:rFonts w:ascii="Arial" w:cs="Arial" w:eastAsia="Arial" w:hAnsi="Arial"/>
          <w:sz w:val="16"/>
          <w:szCs w:val="16"/>
          <w:b w:val="1"/>
          <w:bCs w:val="1"/>
          <w:color w:val="082169"/>
        </w:rPr>
        <w:t>Withdrawal of Shares</w:t>
      </w:r>
    </w:p>
    <w:p>
      <w:pPr>
        <w:spacing w:after="0" w:line="180" w:lineRule="exact"/>
        <w:rPr>
          <w:rFonts w:ascii="Arial" w:cs="Arial" w:eastAsia="Arial" w:hAnsi="Arial"/>
          <w:sz w:val="16"/>
          <w:szCs w:val="16"/>
          <w:b w:val="1"/>
          <w:bCs w:val="1"/>
          <w:color w:val="082169"/>
        </w:rPr>
      </w:pPr>
    </w:p>
    <w:p>
      <w:pPr>
        <w:jc w:val="both"/>
        <w:ind w:left="500"/>
        <w:spacing w:after="0" w:line="248" w:lineRule="auto"/>
        <w:rPr>
          <w:rFonts w:ascii="Arial" w:cs="Arial" w:eastAsia="Arial" w:hAnsi="Arial"/>
          <w:sz w:val="16"/>
          <w:szCs w:val="16"/>
          <w:b w:val="1"/>
          <w:bCs w:val="1"/>
          <w:color w:val="082169"/>
        </w:rPr>
      </w:pPr>
      <w:r>
        <w:rPr>
          <w:rFonts w:ascii="Arial" w:cs="Arial" w:eastAsia="Arial" w:hAnsi="Arial"/>
          <w:sz w:val="16"/>
          <w:szCs w:val="16"/>
          <w:color w:val="auto"/>
        </w:rPr>
        <w:t>A Participant may elect to withdraw shares of Common Stock held in his or her account at any time (without withdrawing from the Plan) by making an election using a process designated by the Company. Upon receipt of such election, the Custodian will arrange for the issuance and delivery of all shares of Common Stock held in the Participant’s account as soon as administratively feasible.</w:t>
      </w:r>
    </w:p>
    <w:p>
      <w:pPr>
        <w:spacing w:after="0" w:line="145"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9"/>
        </w:numPr>
        <w:rPr>
          <w:rFonts w:ascii="Arial" w:cs="Arial" w:eastAsia="Arial" w:hAnsi="Arial"/>
          <w:sz w:val="16"/>
          <w:szCs w:val="16"/>
          <w:b w:val="1"/>
          <w:bCs w:val="1"/>
          <w:color w:val="082169"/>
        </w:rPr>
      </w:pPr>
      <w:r>
        <w:rPr>
          <w:rFonts w:ascii="Arial" w:cs="Arial" w:eastAsia="Arial" w:hAnsi="Arial"/>
          <w:sz w:val="16"/>
          <w:szCs w:val="16"/>
          <w:b w:val="1"/>
          <w:bCs w:val="1"/>
          <w:color w:val="082169"/>
        </w:rPr>
        <w:t>Termination of Participation</w:t>
      </w:r>
    </w:p>
    <w:p>
      <w:pPr>
        <w:spacing w:after="0" w:line="180" w:lineRule="exact"/>
        <w:rPr>
          <w:rFonts w:ascii="Arial" w:cs="Arial" w:eastAsia="Arial" w:hAnsi="Arial"/>
          <w:sz w:val="16"/>
          <w:szCs w:val="16"/>
          <w:b w:val="1"/>
          <w:bCs w:val="1"/>
          <w:color w:val="082169"/>
        </w:rPr>
      </w:pPr>
    </w:p>
    <w:p>
      <w:pPr>
        <w:jc w:val="both"/>
        <w:ind w:left="500"/>
        <w:spacing w:after="0"/>
        <w:rPr>
          <w:rFonts w:ascii="Arial" w:cs="Arial" w:eastAsia="Arial" w:hAnsi="Arial"/>
          <w:sz w:val="16"/>
          <w:szCs w:val="16"/>
          <w:b w:val="1"/>
          <w:bCs w:val="1"/>
          <w:color w:val="082169"/>
        </w:rPr>
      </w:pPr>
      <w:r>
        <w:rPr>
          <w:rFonts w:ascii="Arial" w:cs="Arial" w:eastAsia="Arial" w:hAnsi="Arial"/>
          <w:sz w:val="16"/>
          <w:szCs w:val="16"/>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to participate in the Plan.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Following termination of participation, the Participant may request that the Committee cause to be paid to the Participant or his or her beneficiary or legal representative all amounts credited to his or her account, including interest, if applicable, determined in accordance with Section 7 hereof, and cause an electronic transmission for the number of shares of Common Stock held in his or her account to be delivered to the Participant or to his or her beneficiary or legal representative.</w:t>
      </w:r>
    </w:p>
    <w:p>
      <w:pPr>
        <w:spacing w:after="0" w:line="139"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9"/>
        </w:numPr>
        <w:rPr>
          <w:rFonts w:ascii="Arial" w:cs="Arial" w:eastAsia="Arial" w:hAnsi="Arial"/>
          <w:sz w:val="16"/>
          <w:szCs w:val="16"/>
          <w:b w:val="1"/>
          <w:bCs w:val="1"/>
          <w:color w:val="082169"/>
        </w:rPr>
      </w:pPr>
      <w:r>
        <w:rPr>
          <w:rFonts w:ascii="Arial" w:cs="Arial" w:eastAsia="Arial" w:hAnsi="Arial"/>
          <w:sz w:val="16"/>
          <w:szCs w:val="16"/>
          <w:b w:val="1"/>
          <w:bCs w:val="1"/>
          <w:color w:val="082169"/>
        </w:rPr>
        <w:t>Unpaid Leave of Absence</w:t>
      </w:r>
    </w:p>
    <w:p>
      <w:pPr>
        <w:spacing w:after="0" w:line="180" w:lineRule="exact"/>
        <w:rPr>
          <w:rFonts w:ascii="Arial" w:cs="Arial" w:eastAsia="Arial" w:hAnsi="Arial"/>
          <w:sz w:val="16"/>
          <w:szCs w:val="16"/>
          <w:b w:val="1"/>
          <w:bCs w:val="1"/>
          <w:color w:val="082169"/>
        </w:rPr>
      </w:pPr>
    </w:p>
    <w:p>
      <w:pPr>
        <w:jc w:val="both"/>
        <w:ind w:left="500"/>
        <w:spacing w:after="0" w:line="241" w:lineRule="auto"/>
        <w:rPr>
          <w:rFonts w:ascii="Arial" w:cs="Arial" w:eastAsia="Arial" w:hAnsi="Arial"/>
          <w:sz w:val="16"/>
          <w:szCs w:val="16"/>
          <w:b w:val="1"/>
          <w:bCs w:val="1"/>
          <w:color w:val="082169"/>
        </w:rPr>
      </w:pPr>
      <w:r>
        <w:rPr>
          <w:rFonts w:ascii="Arial" w:cs="Arial" w:eastAsia="Arial" w:hAnsi="Arial"/>
          <w:sz w:val="16"/>
          <w:szCs w:val="16"/>
          <w:color w:val="auto"/>
        </w:rPr>
        <w:t>Unless a Participant has voluntarily withdrawn his or her contributions from the Plan, shares of Common Stock will be purchased for his or her account on the Purchase Date next following commencement of an unpaid leave of absence by such Participant, provided such leave does not constitute a termination of employment. The number of shares of Common Stock to be purchased will be determined by applying to the purchase the amount of the Participant’s contributions made up to the commencement of such unpaid leave of absence plus interest on such contributions, if applicable, determined in accordance with Section 7 hereof. Participation in the Plan will terminate immediately after the purchase of shares of Common Stock on such Purchase Date, unless the Participant has resumed eligible employment prior to the Purchase Date, in which case the Participant may resume payroll deductions immediately.</w:t>
      </w:r>
    </w:p>
    <w:p>
      <w:pPr>
        <w:spacing w:after="0" w:line="151"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9"/>
        </w:numPr>
        <w:rPr>
          <w:rFonts w:ascii="Arial" w:cs="Arial" w:eastAsia="Arial" w:hAnsi="Arial"/>
          <w:sz w:val="16"/>
          <w:szCs w:val="16"/>
          <w:b w:val="1"/>
          <w:bCs w:val="1"/>
          <w:color w:val="082169"/>
        </w:rPr>
      </w:pPr>
      <w:r>
        <w:rPr>
          <w:rFonts w:ascii="Arial" w:cs="Arial" w:eastAsia="Arial" w:hAnsi="Arial"/>
          <w:sz w:val="16"/>
          <w:szCs w:val="16"/>
          <w:b w:val="1"/>
          <w:bCs w:val="1"/>
          <w:color w:val="082169"/>
        </w:rPr>
        <w:t>Designation of Beneficiary</w:t>
      </w:r>
    </w:p>
    <w:p>
      <w:pPr>
        <w:spacing w:after="0" w:line="180" w:lineRule="exact"/>
        <w:rPr>
          <w:rFonts w:ascii="Arial" w:cs="Arial" w:eastAsia="Arial" w:hAnsi="Arial"/>
          <w:sz w:val="16"/>
          <w:szCs w:val="16"/>
          <w:b w:val="1"/>
          <w:bCs w:val="1"/>
          <w:color w:val="082169"/>
        </w:rPr>
      </w:pPr>
    </w:p>
    <w:p>
      <w:pPr>
        <w:ind w:left="500"/>
        <w:spacing w:after="0" w:line="268" w:lineRule="auto"/>
        <w:rPr>
          <w:rFonts w:ascii="Arial" w:cs="Arial" w:eastAsia="Arial" w:hAnsi="Arial"/>
          <w:sz w:val="16"/>
          <w:szCs w:val="16"/>
          <w:b w:val="1"/>
          <w:bCs w:val="1"/>
          <w:color w:val="082169"/>
        </w:rPr>
      </w:pPr>
      <w:r>
        <w:rPr>
          <w:rFonts w:ascii="Arial" w:cs="Arial" w:eastAsia="Arial" w:hAnsi="Arial"/>
          <w:sz w:val="16"/>
          <w:szCs w:val="16"/>
          <w:color w:val="auto"/>
        </w:rPr>
        <w:t>Each Participant may designate one or more beneficiaries in the event of death and may, in his or her sole discretion, change such designation at any time. Any such designation shall be effective upon receipt by the Company and shall control over any disposition by will or otherwise.</w:t>
      </w:r>
    </w:p>
    <w:p>
      <w:pPr>
        <w:spacing w:after="0" w:line="129" w:lineRule="exact"/>
        <w:rPr>
          <w:rFonts w:ascii="Arial" w:cs="Arial" w:eastAsia="Arial" w:hAnsi="Arial"/>
          <w:sz w:val="16"/>
          <w:szCs w:val="16"/>
          <w:b w:val="1"/>
          <w:bCs w:val="1"/>
          <w:color w:val="082169"/>
        </w:rPr>
      </w:pPr>
    </w:p>
    <w:p>
      <w:pPr>
        <w:jc w:val="both"/>
        <w:ind w:left="500"/>
        <w:spacing w:after="0"/>
        <w:rPr>
          <w:rFonts w:ascii="Arial" w:cs="Arial" w:eastAsia="Arial" w:hAnsi="Arial"/>
          <w:sz w:val="16"/>
          <w:szCs w:val="16"/>
          <w:b w:val="1"/>
          <w:bCs w:val="1"/>
          <w:color w:val="082169"/>
        </w:rPr>
      </w:pPr>
      <w:r>
        <w:rPr>
          <w:rFonts w:ascii="Arial" w:cs="Arial" w:eastAsia="Arial" w:hAnsi="Arial"/>
          <w:sz w:val="16"/>
          <w:szCs w:val="16"/>
          <w:color w:val="auto"/>
        </w:rPr>
        <w:t>As soon as administratively feasible after the death of a Participant, amounts credited to his or her account, including interest, if applicable, determined in accordance with Section 7 hereof, shall be paid in cash by the Company, and an electronic transmission for any shares of Common Stock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51" w:lineRule="exact"/>
        <w:rPr>
          <w:rFonts w:ascii="Arial" w:cs="Arial" w:eastAsia="Arial" w:hAnsi="Arial"/>
          <w:sz w:val="16"/>
          <w:szCs w:val="16"/>
          <w:b w:val="1"/>
          <w:bCs w:val="1"/>
          <w:color w:val="082169"/>
        </w:rPr>
      </w:pPr>
    </w:p>
    <w:p>
      <w:pPr>
        <w:ind w:left="500" w:hanging="492"/>
        <w:spacing w:after="0"/>
        <w:tabs>
          <w:tab w:leader="none" w:pos="500" w:val="left"/>
        </w:tabs>
        <w:numPr>
          <w:ilvl w:val="0"/>
          <w:numId w:val="29"/>
        </w:numPr>
        <w:rPr>
          <w:rFonts w:ascii="Arial" w:cs="Arial" w:eastAsia="Arial" w:hAnsi="Arial"/>
          <w:sz w:val="16"/>
          <w:szCs w:val="16"/>
          <w:b w:val="1"/>
          <w:bCs w:val="1"/>
          <w:color w:val="082169"/>
        </w:rPr>
      </w:pPr>
      <w:r>
        <w:rPr>
          <w:rFonts w:ascii="Arial" w:cs="Arial" w:eastAsia="Arial" w:hAnsi="Arial"/>
          <w:sz w:val="16"/>
          <w:szCs w:val="16"/>
          <w:b w:val="1"/>
          <w:bCs w:val="1"/>
          <w:color w:val="082169"/>
        </w:rPr>
        <w:t>No Assignment</w:t>
      </w:r>
    </w:p>
    <w:p>
      <w:pPr>
        <w:spacing w:after="0" w:line="180" w:lineRule="exact"/>
        <w:rPr>
          <w:rFonts w:ascii="Arial" w:cs="Arial" w:eastAsia="Arial" w:hAnsi="Arial"/>
          <w:sz w:val="16"/>
          <w:szCs w:val="16"/>
          <w:b w:val="1"/>
          <w:bCs w:val="1"/>
          <w:color w:val="082169"/>
        </w:rPr>
      </w:pPr>
    </w:p>
    <w:p>
      <w:pPr>
        <w:jc w:val="both"/>
        <w:ind w:left="500"/>
        <w:spacing w:after="0" w:line="243" w:lineRule="auto"/>
        <w:rPr>
          <w:rFonts w:ascii="Arial" w:cs="Arial" w:eastAsia="Arial" w:hAnsi="Arial"/>
          <w:sz w:val="16"/>
          <w:szCs w:val="16"/>
          <w:b w:val="1"/>
          <w:bCs w:val="1"/>
          <w:color w:val="082169"/>
        </w:rPr>
      </w:pPr>
      <w:r>
        <w:rPr>
          <w:rFonts w:ascii="Arial" w:cs="Arial" w:eastAsia="Arial" w:hAnsi="Arial"/>
          <w:sz w:val="16"/>
          <w:szCs w:val="16"/>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will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37" w:lineRule="exact"/>
        <w:rPr>
          <w:rFonts w:ascii="Arial" w:cs="Arial" w:eastAsia="Arial" w:hAnsi="Arial"/>
          <w:sz w:val="16"/>
          <w:szCs w:val="16"/>
          <w:b w:val="1"/>
          <w:bCs w:val="1"/>
          <w:color w:val="082169"/>
        </w:rPr>
      </w:pPr>
    </w:p>
    <w:p>
      <w:pPr>
        <w:ind w:left="500" w:right="20"/>
        <w:spacing w:after="0" w:line="286" w:lineRule="auto"/>
        <w:rPr>
          <w:rFonts w:ascii="Arial" w:cs="Arial" w:eastAsia="Arial" w:hAnsi="Arial"/>
          <w:sz w:val="16"/>
          <w:szCs w:val="16"/>
          <w:b w:val="1"/>
          <w:bCs w:val="1"/>
          <w:color w:val="082169"/>
        </w:rPr>
      </w:pPr>
      <w:r>
        <w:rPr>
          <w:rFonts w:ascii="Arial" w:cs="Arial" w:eastAsia="Arial" w:hAnsi="Arial"/>
          <w:sz w:val="16"/>
          <w:szCs w:val="16"/>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0" w:name="page31"/>
    <w:bookmarkEnd w:id="30"/>
    <w:p>
      <w:pPr>
        <w:ind w:left="492"/>
        <w:spacing w:after="0" w:line="286" w:lineRule="auto"/>
        <w:rPr>
          <w:sz w:val="20"/>
          <w:szCs w:val="20"/>
          <w:color w:val="auto"/>
        </w:rPr>
      </w:pPr>
      <w:r>
        <w:rPr>
          <w:rFonts w:ascii="Arial" w:cs="Arial" w:eastAsia="Arial" w:hAnsi="Arial"/>
          <w:sz w:val="16"/>
          <w:szCs w:val="16"/>
          <w:color w:val="auto"/>
        </w:rPr>
        <w:t>permitted by will or the laws of descent and distribution if beneficiaries have not been designated. A Participant’s right to purchase shares of Common Stock under the Plan shall be exercisable only during the Participant’s lifetime and only by him or her.</w:t>
      </w:r>
    </w:p>
    <w:p>
      <w:pPr>
        <w:spacing w:after="0" w:line="102" w:lineRule="exact"/>
        <w:rPr>
          <w:sz w:val="20"/>
          <w:szCs w:val="20"/>
          <w:color w:val="auto"/>
        </w:rPr>
      </w:pPr>
    </w:p>
    <w:p>
      <w:pPr>
        <w:ind w:left="492" w:hanging="492"/>
        <w:spacing w:after="0"/>
        <w:tabs>
          <w:tab w:leader="none" w:pos="492" w:val="left"/>
        </w:tabs>
        <w:numPr>
          <w:ilvl w:val="0"/>
          <w:numId w:val="30"/>
        </w:numPr>
        <w:rPr>
          <w:rFonts w:ascii="Arial" w:cs="Arial" w:eastAsia="Arial" w:hAnsi="Arial"/>
          <w:sz w:val="16"/>
          <w:szCs w:val="16"/>
          <w:b w:val="1"/>
          <w:bCs w:val="1"/>
          <w:color w:val="082169"/>
        </w:rPr>
      </w:pPr>
      <w:r>
        <w:rPr>
          <w:rFonts w:ascii="Arial" w:cs="Arial" w:eastAsia="Arial" w:hAnsi="Arial"/>
          <w:sz w:val="16"/>
          <w:szCs w:val="16"/>
          <w:b w:val="1"/>
          <w:bCs w:val="1"/>
          <w:color w:val="082169"/>
        </w:rPr>
        <w:t>Treatment of Non-U.S. Participants</w:t>
      </w:r>
    </w:p>
    <w:p>
      <w:pPr>
        <w:spacing w:after="0" w:line="180" w:lineRule="exact"/>
        <w:rPr>
          <w:rFonts w:ascii="Arial" w:cs="Arial" w:eastAsia="Arial" w:hAnsi="Arial"/>
          <w:sz w:val="16"/>
          <w:szCs w:val="16"/>
          <w:b w:val="1"/>
          <w:bCs w:val="1"/>
          <w:color w:val="082169"/>
        </w:rPr>
      </w:pPr>
    </w:p>
    <w:p>
      <w:pPr>
        <w:jc w:val="both"/>
        <w:ind w:left="492"/>
        <w:spacing w:after="0" w:line="247" w:lineRule="auto"/>
        <w:rPr>
          <w:rFonts w:ascii="Arial" w:cs="Arial" w:eastAsia="Arial" w:hAnsi="Arial"/>
          <w:sz w:val="16"/>
          <w:szCs w:val="16"/>
          <w:b w:val="1"/>
          <w:bCs w:val="1"/>
          <w:color w:val="082169"/>
        </w:rPr>
      </w:pPr>
      <w:r>
        <w:rPr>
          <w:rFonts w:ascii="Arial" w:cs="Arial" w:eastAsia="Arial" w:hAnsi="Arial"/>
          <w:sz w:val="16"/>
          <w:szCs w:val="16"/>
          <w:color w:val="auto"/>
        </w:rPr>
        <w:t>Participants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 hereof.</w:t>
      </w:r>
    </w:p>
    <w:p>
      <w:pPr>
        <w:spacing w:after="0" w:line="133" w:lineRule="exact"/>
        <w:rPr>
          <w:rFonts w:ascii="Arial" w:cs="Arial" w:eastAsia="Arial" w:hAnsi="Arial"/>
          <w:sz w:val="16"/>
          <w:szCs w:val="16"/>
          <w:b w:val="1"/>
          <w:bCs w:val="1"/>
          <w:color w:val="082169"/>
        </w:rPr>
      </w:pPr>
    </w:p>
    <w:p>
      <w:pPr>
        <w:ind w:left="492" w:hanging="492"/>
        <w:spacing w:after="0"/>
        <w:tabs>
          <w:tab w:leader="none" w:pos="492" w:val="left"/>
        </w:tabs>
        <w:numPr>
          <w:ilvl w:val="0"/>
          <w:numId w:val="30"/>
        </w:numPr>
        <w:rPr>
          <w:rFonts w:ascii="Arial" w:cs="Arial" w:eastAsia="Arial" w:hAnsi="Arial"/>
          <w:sz w:val="16"/>
          <w:szCs w:val="16"/>
          <w:b w:val="1"/>
          <w:bCs w:val="1"/>
          <w:color w:val="082169"/>
        </w:rPr>
      </w:pPr>
      <w:r>
        <w:rPr>
          <w:rFonts w:ascii="Arial" w:cs="Arial" w:eastAsia="Arial" w:hAnsi="Arial"/>
          <w:sz w:val="16"/>
          <w:szCs w:val="16"/>
          <w:b w:val="1"/>
          <w:bCs w:val="1"/>
          <w:color w:val="082169"/>
        </w:rPr>
        <w:t>Costs</w:t>
      </w:r>
    </w:p>
    <w:p>
      <w:pPr>
        <w:spacing w:after="0" w:line="180" w:lineRule="exact"/>
        <w:rPr>
          <w:rFonts w:ascii="Arial" w:cs="Arial" w:eastAsia="Arial" w:hAnsi="Arial"/>
          <w:sz w:val="16"/>
          <w:szCs w:val="16"/>
          <w:b w:val="1"/>
          <w:bCs w:val="1"/>
          <w:color w:val="082169"/>
        </w:rPr>
      </w:pPr>
    </w:p>
    <w:p>
      <w:pPr>
        <w:ind w:left="492" w:right="20"/>
        <w:spacing w:after="0" w:line="286" w:lineRule="auto"/>
        <w:rPr>
          <w:rFonts w:ascii="Arial" w:cs="Arial" w:eastAsia="Arial" w:hAnsi="Arial"/>
          <w:sz w:val="16"/>
          <w:szCs w:val="16"/>
          <w:b w:val="1"/>
          <w:bCs w:val="1"/>
          <w:color w:val="082169"/>
        </w:rPr>
      </w:pPr>
      <w:r>
        <w:rPr>
          <w:rFonts w:ascii="Arial" w:cs="Arial" w:eastAsia="Arial" w:hAnsi="Arial"/>
          <w:sz w:val="16"/>
          <w:szCs w:val="16"/>
          <w:color w:val="auto"/>
        </w:rPr>
        <w:t>All costs and expenses incurred in administering this Plan shall be paid by the Company. Any brokerage fees for the sale of shares of Common Stock purchased under the Plan shall be paid by each Participant.</w:t>
      </w:r>
    </w:p>
    <w:p>
      <w:pPr>
        <w:spacing w:after="0" w:line="101" w:lineRule="exact"/>
        <w:rPr>
          <w:rFonts w:ascii="Arial" w:cs="Arial" w:eastAsia="Arial" w:hAnsi="Arial"/>
          <w:sz w:val="16"/>
          <w:szCs w:val="16"/>
          <w:b w:val="1"/>
          <w:bCs w:val="1"/>
          <w:color w:val="082169"/>
        </w:rPr>
      </w:pPr>
    </w:p>
    <w:p>
      <w:pPr>
        <w:ind w:left="492" w:hanging="492"/>
        <w:spacing w:after="0"/>
        <w:tabs>
          <w:tab w:leader="none" w:pos="492" w:val="left"/>
        </w:tabs>
        <w:numPr>
          <w:ilvl w:val="0"/>
          <w:numId w:val="30"/>
        </w:numPr>
        <w:rPr>
          <w:rFonts w:ascii="Arial" w:cs="Arial" w:eastAsia="Arial" w:hAnsi="Arial"/>
          <w:sz w:val="16"/>
          <w:szCs w:val="16"/>
          <w:b w:val="1"/>
          <w:bCs w:val="1"/>
          <w:color w:val="082169"/>
        </w:rPr>
      </w:pPr>
      <w:r>
        <w:rPr>
          <w:rFonts w:ascii="Arial" w:cs="Arial" w:eastAsia="Arial" w:hAnsi="Arial"/>
          <w:sz w:val="16"/>
          <w:szCs w:val="16"/>
          <w:b w:val="1"/>
          <w:bCs w:val="1"/>
          <w:color w:val="082169"/>
        </w:rPr>
        <w:t>Reports</w:t>
      </w:r>
    </w:p>
    <w:p>
      <w:pPr>
        <w:spacing w:after="0" w:line="180" w:lineRule="exact"/>
        <w:rPr>
          <w:rFonts w:ascii="Arial" w:cs="Arial" w:eastAsia="Arial" w:hAnsi="Arial"/>
          <w:sz w:val="16"/>
          <w:szCs w:val="16"/>
          <w:b w:val="1"/>
          <w:bCs w:val="1"/>
          <w:color w:val="082169"/>
        </w:rPr>
      </w:pPr>
    </w:p>
    <w:p>
      <w:pPr>
        <w:ind w:left="492" w:right="20"/>
        <w:spacing w:after="0" w:line="286" w:lineRule="auto"/>
        <w:rPr>
          <w:rFonts w:ascii="Arial" w:cs="Arial" w:eastAsia="Arial" w:hAnsi="Arial"/>
          <w:sz w:val="16"/>
          <w:szCs w:val="16"/>
          <w:b w:val="1"/>
          <w:bCs w:val="1"/>
          <w:color w:val="082169"/>
        </w:rPr>
      </w:pPr>
      <w:r>
        <w:rPr>
          <w:rFonts w:ascii="Arial" w:cs="Arial" w:eastAsia="Arial" w:hAnsi="Arial"/>
          <w:sz w:val="16"/>
          <w:szCs w:val="16"/>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01" w:lineRule="exact"/>
        <w:rPr>
          <w:rFonts w:ascii="Arial" w:cs="Arial" w:eastAsia="Arial" w:hAnsi="Arial"/>
          <w:sz w:val="16"/>
          <w:szCs w:val="16"/>
          <w:b w:val="1"/>
          <w:bCs w:val="1"/>
          <w:color w:val="082169"/>
        </w:rPr>
      </w:pPr>
    </w:p>
    <w:p>
      <w:pPr>
        <w:ind w:left="492" w:hanging="492"/>
        <w:spacing w:after="0"/>
        <w:tabs>
          <w:tab w:leader="none" w:pos="492" w:val="left"/>
        </w:tabs>
        <w:numPr>
          <w:ilvl w:val="0"/>
          <w:numId w:val="30"/>
        </w:numPr>
        <w:rPr>
          <w:rFonts w:ascii="Arial" w:cs="Arial" w:eastAsia="Arial" w:hAnsi="Arial"/>
          <w:sz w:val="16"/>
          <w:szCs w:val="16"/>
          <w:b w:val="1"/>
          <w:bCs w:val="1"/>
          <w:color w:val="082169"/>
        </w:rPr>
      </w:pPr>
      <w:r>
        <w:rPr>
          <w:rFonts w:ascii="Arial" w:cs="Arial" w:eastAsia="Arial" w:hAnsi="Arial"/>
          <w:sz w:val="16"/>
          <w:szCs w:val="16"/>
          <w:b w:val="1"/>
          <w:bCs w:val="1"/>
          <w:color w:val="082169"/>
        </w:rPr>
        <w:t>Equal Rights and Privileges</w:t>
      </w:r>
    </w:p>
    <w:p>
      <w:pPr>
        <w:spacing w:after="0" w:line="180" w:lineRule="exact"/>
        <w:rPr>
          <w:rFonts w:ascii="Arial" w:cs="Arial" w:eastAsia="Arial" w:hAnsi="Arial"/>
          <w:sz w:val="16"/>
          <w:szCs w:val="16"/>
          <w:b w:val="1"/>
          <w:bCs w:val="1"/>
          <w:color w:val="082169"/>
        </w:rPr>
      </w:pPr>
    </w:p>
    <w:p>
      <w:pPr>
        <w:jc w:val="both"/>
        <w:ind w:left="492"/>
        <w:spacing w:after="0" w:line="248" w:lineRule="auto"/>
        <w:rPr>
          <w:rFonts w:ascii="Arial" w:cs="Arial" w:eastAsia="Arial" w:hAnsi="Arial"/>
          <w:sz w:val="16"/>
          <w:szCs w:val="16"/>
          <w:b w:val="1"/>
          <w:bCs w:val="1"/>
          <w:color w:val="082169"/>
        </w:rPr>
      </w:pPr>
      <w:r>
        <w:rPr>
          <w:rFonts w:ascii="Arial" w:cs="Arial" w:eastAsia="Arial" w:hAnsi="Arial"/>
          <w:sz w:val="16"/>
          <w:szCs w:val="16"/>
          <w:color w:val="auto"/>
        </w:rPr>
        <w:t>All eligible Employees will have equal rights and privileges with respect to the Plan so that the Plan qualifies as an “employee stock purchase plan” within the meaning of Section 423 or any successor provision of the Code and related regulations. Any provision of the Plan that is inconsistent with Section 423 or any successor provision of the Code will, without further act or amendment by the Company, be reformed to comply with the requirements of Section 423. This Section 18 supersedes all other provisions in the Plan.</w:t>
      </w:r>
    </w:p>
    <w:p>
      <w:pPr>
        <w:spacing w:after="0" w:line="144" w:lineRule="exact"/>
        <w:rPr>
          <w:rFonts w:ascii="Arial" w:cs="Arial" w:eastAsia="Arial" w:hAnsi="Arial"/>
          <w:sz w:val="16"/>
          <w:szCs w:val="16"/>
          <w:b w:val="1"/>
          <w:bCs w:val="1"/>
          <w:color w:val="082169"/>
        </w:rPr>
      </w:pPr>
    </w:p>
    <w:p>
      <w:pPr>
        <w:ind w:left="492" w:hanging="492"/>
        <w:spacing w:after="0"/>
        <w:tabs>
          <w:tab w:leader="none" w:pos="492" w:val="left"/>
        </w:tabs>
        <w:numPr>
          <w:ilvl w:val="0"/>
          <w:numId w:val="30"/>
        </w:numPr>
        <w:rPr>
          <w:rFonts w:ascii="Arial" w:cs="Arial" w:eastAsia="Arial" w:hAnsi="Arial"/>
          <w:sz w:val="16"/>
          <w:szCs w:val="16"/>
          <w:b w:val="1"/>
          <w:bCs w:val="1"/>
          <w:color w:val="082169"/>
        </w:rPr>
      </w:pPr>
      <w:r>
        <w:rPr>
          <w:rFonts w:ascii="Arial" w:cs="Arial" w:eastAsia="Arial" w:hAnsi="Arial"/>
          <w:sz w:val="16"/>
          <w:szCs w:val="16"/>
          <w:b w:val="1"/>
          <w:bCs w:val="1"/>
          <w:color w:val="082169"/>
        </w:rPr>
        <w:t>Rights as Stockholder</w:t>
      </w:r>
    </w:p>
    <w:p>
      <w:pPr>
        <w:spacing w:after="0" w:line="180" w:lineRule="exact"/>
        <w:rPr>
          <w:rFonts w:ascii="Arial" w:cs="Arial" w:eastAsia="Arial" w:hAnsi="Arial"/>
          <w:sz w:val="16"/>
          <w:szCs w:val="16"/>
          <w:b w:val="1"/>
          <w:bCs w:val="1"/>
          <w:color w:val="082169"/>
        </w:rPr>
      </w:pPr>
    </w:p>
    <w:p>
      <w:pPr>
        <w:jc w:val="both"/>
        <w:ind w:left="492"/>
        <w:spacing w:after="0" w:line="257" w:lineRule="auto"/>
        <w:rPr>
          <w:rFonts w:ascii="Arial" w:cs="Arial" w:eastAsia="Arial" w:hAnsi="Arial"/>
          <w:sz w:val="16"/>
          <w:szCs w:val="16"/>
          <w:b w:val="1"/>
          <w:bCs w:val="1"/>
          <w:color w:val="082169"/>
        </w:rPr>
      </w:pPr>
      <w:r>
        <w:rPr>
          <w:rFonts w:ascii="Arial" w:cs="Arial" w:eastAsia="Arial" w:hAnsi="Arial"/>
          <w:sz w:val="16"/>
          <w:szCs w:val="16"/>
          <w:color w:val="auto"/>
        </w:rPr>
        <w:t>A Participant will have no rights as a stockholder under any election to purchase Common Stock until he or she becomes a stockholder of Schlumberger Limited as herein provided. A Participant will become a stockholder with respect to shares of Common Stock for which payment has been completed as provided in Section 9 hereof at the close of business on the last business day of the Purchase Period.</w:t>
      </w:r>
    </w:p>
    <w:p>
      <w:pPr>
        <w:spacing w:after="0" w:line="124" w:lineRule="exact"/>
        <w:rPr>
          <w:rFonts w:ascii="Arial" w:cs="Arial" w:eastAsia="Arial" w:hAnsi="Arial"/>
          <w:sz w:val="16"/>
          <w:szCs w:val="16"/>
          <w:b w:val="1"/>
          <w:bCs w:val="1"/>
          <w:color w:val="082169"/>
        </w:rPr>
      </w:pPr>
    </w:p>
    <w:p>
      <w:pPr>
        <w:ind w:left="492" w:hanging="492"/>
        <w:spacing w:after="0"/>
        <w:tabs>
          <w:tab w:leader="none" w:pos="492" w:val="left"/>
        </w:tabs>
        <w:numPr>
          <w:ilvl w:val="0"/>
          <w:numId w:val="30"/>
        </w:numPr>
        <w:rPr>
          <w:rFonts w:ascii="Arial" w:cs="Arial" w:eastAsia="Arial" w:hAnsi="Arial"/>
          <w:sz w:val="16"/>
          <w:szCs w:val="16"/>
          <w:b w:val="1"/>
          <w:bCs w:val="1"/>
          <w:color w:val="082169"/>
        </w:rPr>
      </w:pPr>
      <w:r>
        <w:rPr>
          <w:rFonts w:ascii="Arial" w:cs="Arial" w:eastAsia="Arial" w:hAnsi="Arial"/>
          <w:sz w:val="16"/>
          <w:szCs w:val="16"/>
          <w:b w:val="1"/>
          <w:bCs w:val="1"/>
          <w:color w:val="082169"/>
        </w:rPr>
        <w:t>Adjustments Upon Changes in Capitalization, Dissolution, Liquidation, Merger or Asset Sale.</w:t>
      </w:r>
    </w:p>
    <w:p>
      <w:pPr>
        <w:spacing w:after="0" w:line="180" w:lineRule="exact"/>
        <w:rPr>
          <w:rFonts w:ascii="Arial" w:cs="Arial" w:eastAsia="Arial" w:hAnsi="Arial"/>
          <w:sz w:val="16"/>
          <w:szCs w:val="16"/>
          <w:b w:val="1"/>
          <w:bCs w:val="1"/>
          <w:color w:val="082169"/>
        </w:rPr>
      </w:pPr>
    </w:p>
    <w:p>
      <w:pPr>
        <w:jc w:val="both"/>
        <w:ind w:left="1012" w:hanging="486"/>
        <w:spacing w:after="0"/>
        <w:tabs>
          <w:tab w:leader="none" w:pos="1012"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Changes in Capitalization</w:t>
      </w:r>
      <w:r>
        <w:rPr>
          <w:rFonts w:ascii="Arial" w:cs="Arial" w:eastAsia="Arial" w:hAnsi="Arial"/>
          <w:sz w:val="16"/>
          <w:szCs w:val="16"/>
          <w:color w:val="auto"/>
        </w:rPr>
        <w:t>. Subject to any required action by the stockholders of Schlumberger Limited, the right to purchase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covered by a current Purchase Period and the number of shares of Common Stock that have been authorized for issuance under the Plan for any future Purchase Period, the maximum number of shares of Common Stock each Participant may purchase each Purchase Period pursuant to Section 9 hereof, as well as the price per share of Common Stock and the number of shares of Common Stock covered by each right under the Plan that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will affect, and no adjustment by reason thereof will be made with respect to, the number or price of shares of Common Stock.</w:t>
      </w:r>
    </w:p>
    <w:p>
      <w:pPr>
        <w:spacing w:after="0" w:line="328" w:lineRule="exact"/>
        <w:rPr>
          <w:rFonts w:ascii="Arial" w:cs="Arial" w:eastAsia="Arial" w:hAnsi="Arial"/>
          <w:sz w:val="16"/>
          <w:szCs w:val="16"/>
          <w:color w:val="auto"/>
        </w:rPr>
      </w:pPr>
    </w:p>
    <w:p>
      <w:pPr>
        <w:jc w:val="both"/>
        <w:ind w:left="1012" w:hanging="486"/>
        <w:spacing w:after="0" w:line="241" w:lineRule="auto"/>
        <w:tabs>
          <w:tab w:leader="none" w:pos="1012"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In the event of the proposed dissolution or liquidation of Schlumberger Limited, the Purchase Period then in</w:t>
      </w:r>
      <w:r>
        <w:rPr>
          <w:rFonts w:ascii="Arial" w:cs="Arial" w:eastAsia="Arial" w:hAnsi="Arial"/>
          <w:sz w:val="16"/>
          <w:szCs w:val="16"/>
          <w:i w:val="1"/>
          <w:iCs w:val="1"/>
          <w:color w:val="auto"/>
        </w:rPr>
        <w:t xml:space="preserve"> </w:t>
      </w:r>
      <w:r>
        <w:rPr>
          <w:rFonts w:ascii="Arial" w:cs="Arial" w:eastAsia="Arial" w:hAnsi="Arial"/>
          <w:sz w:val="16"/>
          <w:szCs w:val="16"/>
          <w:color w:val="auto"/>
        </w:rPr>
        <w:t>progress shall be shortened by setting a new Purchase Date (the “New Purchase Date”), and shall terminate immediately prior to the consummation of such proposed dissolution or liquidation, unless provided otherwise by the Board. The New Purchase Date will be before the date of the proposed dissolution or liquidation. Each Participant will be notified in writing, at least thirty (30) business days prior to the New Purchase Date, that the Purchase Date for the Participant’s right to purchase shares of Common Stock has been changed to the New Purchase Date and that the applicable number of shares of Common Stock will automatically be purchased on the New Purchase Date, unless prior to such date the Participant has withdrawn from the Plan as provided in Section 10 hereof.</w:t>
      </w:r>
    </w:p>
    <w:p>
      <w:pPr>
        <w:spacing w:after="0" w:line="151" w:lineRule="exact"/>
        <w:rPr>
          <w:rFonts w:ascii="Arial" w:cs="Arial" w:eastAsia="Arial" w:hAnsi="Arial"/>
          <w:sz w:val="16"/>
          <w:szCs w:val="16"/>
          <w:color w:val="auto"/>
        </w:rPr>
      </w:pPr>
    </w:p>
    <w:p>
      <w:pPr>
        <w:jc w:val="both"/>
        <w:ind w:left="1012" w:hanging="486"/>
        <w:spacing w:after="0" w:line="242" w:lineRule="auto"/>
        <w:tabs>
          <w:tab w:leader="none" w:pos="1012"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Merger or Asset Sale. </w:t>
      </w:r>
      <w:r>
        <w:rPr>
          <w:rFonts w:ascii="Arial" w:cs="Arial" w:eastAsia="Arial" w:hAnsi="Arial"/>
          <w:sz w:val="16"/>
          <w:szCs w:val="16"/>
          <w:color w:val="auto"/>
        </w:rPr>
        <w:t>In the event of a proposed sale of all or substantially all of the assets of Schlumberger Limited, or the merger of</w:t>
      </w:r>
      <w:r>
        <w:rPr>
          <w:rFonts w:ascii="Arial" w:cs="Arial" w:eastAsia="Arial" w:hAnsi="Arial"/>
          <w:sz w:val="16"/>
          <w:szCs w:val="16"/>
          <w:i w:val="1"/>
          <w:iCs w:val="1"/>
          <w:color w:val="auto"/>
        </w:rPr>
        <w:t xml:space="preserve"> </w:t>
      </w:r>
      <w:r>
        <w:rPr>
          <w:rFonts w:ascii="Arial" w:cs="Arial" w:eastAsia="Arial" w:hAnsi="Arial"/>
          <w:sz w:val="16"/>
          <w:szCs w:val="16"/>
          <w:color w:val="auto"/>
        </w:rPr>
        <w:t>Schlumberger Limited with or into another entity, each outstanding right to purchase shares of Common Stock shall be assumed or an equivalent right to purchase shares substituted by the successor entity or a parent or subsidiary of the successor entity. In the event that the successor entity refuses to assume or substitute, or to cause a parent or subsidiary corporation to assume or substitute, the right to purchase shares of Common Stock, or is unable to assume or substitute such right in a manner compliant with Section 423 of the Code, then any Purchase Period then in progress shall be shortened by setting a new Purchase Date (the “Alternate Purchase Date”) and any Purchase Period then in progress will end on the Alternate Purchase Date. The Alternate Purchase Date shall be before the date of the proposed sale or merger. Each</w:t>
      </w:r>
    </w:p>
    <w:p>
      <w:pPr>
        <w:spacing w:after="0" w:line="379" w:lineRule="exact"/>
        <w:rPr>
          <w:sz w:val="20"/>
          <w:szCs w:val="20"/>
          <w:color w:val="auto"/>
        </w:rPr>
      </w:pPr>
    </w:p>
    <w:p>
      <w:pPr>
        <w:ind w:left="11152"/>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236855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30" w:right="339" w:bottom="1440" w:gutter="0" w:footer="0" w:header="0"/>
        </w:sectPr>
      </w:pPr>
    </w:p>
    <w:bookmarkStart w:id="31" w:name="page32"/>
    <w:bookmarkEnd w:id="31"/>
    <w:p>
      <w:pPr>
        <w:jc w:val="both"/>
        <w:ind w:left="1020"/>
        <w:spacing w:after="0" w:line="257" w:lineRule="auto"/>
        <w:rPr>
          <w:sz w:val="20"/>
          <w:szCs w:val="20"/>
          <w:color w:val="auto"/>
        </w:rPr>
      </w:pPr>
      <w:r>
        <w:rPr>
          <w:rFonts w:ascii="Arial" w:cs="Arial" w:eastAsia="Arial" w:hAnsi="Arial"/>
          <w:sz w:val="16"/>
          <w:szCs w:val="16"/>
          <w:color w:val="auto"/>
        </w:rPr>
        <w:t>Participant will be notified in writing, at least thirty (30) business days prior to the Alternate Purchase Date, that the Purchase Date has been changed to the Alternate Purchase Date and that the applicable number of shares of Common Stock will be purchased automatically on the Alternate Purchase Date, unless prior to such date the Participant has withdrawn from the Plan as provided in Section 10 hereof.</w:t>
      </w:r>
    </w:p>
    <w:p>
      <w:pPr>
        <w:spacing w:after="0" w:line="124"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6"/>
          <w:szCs w:val="16"/>
          <w:b w:val="1"/>
          <w:bCs w:val="1"/>
          <w:color w:val="082169"/>
        </w:rPr>
      </w:pPr>
      <w:r>
        <w:rPr>
          <w:rFonts w:ascii="Arial" w:cs="Arial" w:eastAsia="Arial" w:hAnsi="Arial"/>
          <w:sz w:val="16"/>
          <w:szCs w:val="16"/>
          <w:b w:val="1"/>
          <w:bCs w:val="1"/>
          <w:color w:val="082169"/>
        </w:rPr>
        <w:t>Modification and Termination</w:t>
      </w:r>
    </w:p>
    <w:p>
      <w:pPr>
        <w:spacing w:after="0" w:line="180" w:lineRule="exact"/>
        <w:rPr>
          <w:rFonts w:ascii="Arial" w:cs="Arial" w:eastAsia="Arial" w:hAnsi="Arial"/>
          <w:sz w:val="16"/>
          <w:szCs w:val="16"/>
          <w:b w:val="1"/>
          <w:bCs w:val="1"/>
          <w:color w:val="082169"/>
        </w:rPr>
      </w:pPr>
    </w:p>
    <w:p>
      <w:pPr>
        <w:jc w:val="both"/>
        <w:ind w:left="500"/>
        <w:spacing w:after="0" w:line="247" w:lineRule="auto"/>
        <w:rPr>
          <w:rFonts w:ascii="Arial" w:cs="Arial" w:eastAsia="Arial" w:hAnsi="Arial"/>
          <w:sz w:val="16"/>
          <w:szCs w:val="16"/>
          <w:b w:val="1"/>
          <w:bCs w:val="1"/>
          <w:color w:val="082169"/>
        </w:rPr>
      </w:pPr>
      <w:r>
        <w:rPr>
          <w:rFonts w:ascii="Arial" w:cs="Arial" w:eastAsia="Arial" w:hAnsi="Arial"/>
          <w:sz w:val="16"/>
          <w:szCs w:val="16"/>
          <w:color w:val="auto"/>
        </w:rPr>
        <w:t>Except as provided in Section 20 hereof, the Board may amend or terminate the Plan at any time; provided, however, that the Committee has the authority to amend the Plan as provided in Section 2 hereof. No amendment will be effective unless, within one year after it is adopted by the Board or effected by the Committee pursuant to Section 2 hereof, it is approved by the holders of a majority of the shares of outstanding Common Stock at a meeting of its stockholders if such amendment would cause the rights granted under the Plan to purchase shares of Common Stock to fail to meet the requirements of Section 423 of the Code (or any successor provision).</w:t>
      </w:r>
    </w:p>
    <w:p>
      <w:pPr>
        <w:spacing w:after="0" w:line="133" w:lineRule="exact"/>
        <w:rPr>
          <w:rFonts w:ascii="Arial" w:cs="Arial" w:eastAsia="Arial" w:hAnsi="Arial"/>
          <w:sz w:val="16"/>
          <w:szCs w:val="16"/>
          <w:b w:val="1"/>
          <w:bCs w:val="1"/>
          <w:color w:val="082169"/>
        </w:rPr>
      </w:pPr>
    </w:p>
    <w:p>
      <w:pPr>
        <w:jc w:val="both"/>
        <w:ind w:left="500"/>
        <w:spacing w:after="0" w:line="243" w:lineRule="auto"/>
        <w:rPr>
          <w:rFonts w:ascii="Arial" w:cs="Arial" w:eastAsia="Arial" w:hAnsi="Arial"/>
          <w:sz w:val="16"/>
          <w:szCs w:val="16"/>
          <w:b w:val="1"/>
          <w:bCs w:val="1"/>
          <w:color w:val="082169"/>
        </w:rPr>
      </w:pPr>
      <w:r>
        <w:rPr>
          <w:rFonts w:ascii="Arial" w:cs="Arial" w:eastAsia="Arial" w:hAnsi="Arial"/>
          <w:sz w:val="16"/>
          <w:szCs w:val="16"/>
          <w:color w:val="auto"/>
        </w:rPr>
        <w:t>In the event the Plan is terminated, the Committee may elect to terminate all outstanding rights to purchase shares of Common Stock under the Plan either immediately or upon completion of the purchase of shares of Common Stock on the next Purchase Date, unless the Committee has designated that the right to make all such purchases shall expire on some other designated date occurring prior to the next Purchase Date. If the rights to purchase shares of Common Stock under the Plan are terminated prior to expiration, all funds contributed to the Plan that have not been used to purchase shares of Common Stock shall be returned to the Participants as soon as administratively feasible, including interest, if applicable, determined in accordance with Section 7 hereof.</w:t>
      </w:r>
    </w:p>
    <w:p>
      <w:pPr>
        <w:spacing w:after="0" w:line="151" w:lineRule="exact"/>
        <w:rPr>
          <w:rFonts w:ascii="Arial" w:cs="Arial" w:eastAsia="Arial" w:hAnsi="Arial"/>
          <w:sz w:val="16"/>
          <w:szCs w:val="16"/>
          <w:b w:val="1"/>
          <w:bCs w:val="1"/>
          <w:color w:val="082169"/>
        </w:rPr>
      </w:pPr>
    </w:p>
    <w:p>
      <w:pPr>
        <w:ind w:left="500" w:hanging="492"/>
        <w:spacing w:after="0"/>
        <w:tabs>
          <w:tab w:leader="none" w:pos="500" w:val="left"/>
        </w:tabs>
        <w:numPr>
          <w:ilvl w:val="0"/>
          <w:numId w:val="31"/>
        </w:numPr>
        <w:rPr>
          <w:rFonts w:ascii="Arial" w:cs="Arial" w:eastAsia="Arial" w:hAnsi="Arial"/>
          <w:sz w:val="16"/>
          <w:szCs w:val="16"/>
          <w:b w:val="1"/>
          <w:bCs w:val="1"/>
          <w:color w:val="082169"/>
        </w:rPr>
      </w:pPr>
      <w:r>
        <w:rPr>
          <w:rFonts w:ascii="Arial" w:cs="Arial" w:eastAsia="Arial" w:hAnsi="Arial"/>
          <w:sz w:val="16"/>
          <w:szCs w:val="16"/>
          <w:b w:val="1"/>
          <w:bCs w:val="1"/>
          <w:color w:val="082169"/>
        </w:rPr>
        <w:t>Board and Stockholder Approval; Effective Date</w:t>
      </w:r>
    </w:p>
    <w:p>
      <w:pPr>
        <w:spacing w:after="0" w:line="180" w:lineRule="exact"/>
        <w:rPr>
          <w:rFonts w:ascii="Arial" w:cs="Arial" w:eastAsia="Arial" w:hAnsi="Arial"/>
          <w:sz w:val="16"/>
          <w:szCs w:val="16"/>
          <w:b w:val="1"/>
          <w:bCs w:val="1"/>
          <w:color w:val="082169"/>
        </w:rPr>
      </w:pPr>
    </w:p>
    <w:p>
      <w:pPr>
        <w:jc w:val="both"/>
        <w:ind w:left="500"/>
        <w:spacing w:after="0" w:line="239" w:lineRule="auto"/>
        <w:rPr>
          <w:rFonts w:ascii="Arial" w:cs="Arial" w:eastAsia="Arial" w:hAnsi="Arial"/>
          <w:sz w:val="16"/>
          <w:szCs w:val="16"/>
          <w:b w:val="1"/>
          <w:bCs w:val="1"/>
          <w:color w:val="082169"/>
        </w:rPr>
      </w:pPr>
      <w:r>
        <w:rPr>
          <w:rFonts w:ascii="Arial" w:cs="Arial" w:eastAsia="Arial" w:hAnsi="Arial"/>
          <w:sz w:val="16"/>
          <w:szCs w:val="16"/>
          <w:color w:val="auto"/>
        </w:rPr>
        <w:t>The Plan was originally approved by the Board on January 28, 1988, and was amended and restated by the Board on January 21, 1992, January 21, 1998, January 20, 2005, January 21, 2010, January 17, 2013, January 19, 2017, April 18, 2018 and January 21, 2021. The Plan was approved by the holders of a majority of the shares of outstanding Common Stock on April 15, 1992. The January 21, 1998 amendment and restatement of the Plan was similarly approved on April 8, 1998; the January 20, 2005 amendment and restatement of the Plan was similarly approved on April 13, 2005; the January 21, 2010 amendment and restatement of the Plan was similarly approved on April 7, 2010; the January 1, 2013 amendment and restatement of the Plan was similarly approved on April 10, 2013; the January 19, 2017 amendment and restatement of the Plan was similarly approved on April 5, 2017; and the January 21, 2021 amendment and restatement of the Plan was similarly approved on April 7, 2021. This amendment and restatement, which was approved by the Board on March 21, 2022, shall become effective as of July 1, 2022.</w:t>
      </w:r>
    </w:p>
    <w:p>
      <w:pPr>
        <w:spacing w:after="0" w:line="154" w:lineRule="exact"/>
        <w:rPr>
          <w:rFonts w:ascii="Arial" w:cs="Arial" w:eastAsia="Arial" w:hAnsi="Arial"/>
          <w:sz w:val="16"/>
          <w:szCs w:val="16"/>
          <w:b w:val="1"/>
          <w:bCs w:val="1"/>
          <w:color w:val="082169"/>
        </w:rPr>
      </w:pPr>
    </w:p>
    <w:p>
      <w:pPr>
        <w:ind w:left="500" w:hanging="492"/>
        <w:spacing w:after="0"/>
        <w:tabs>
          <w:tab w:leader="none" w:pos="500" w:val="left"/>
        </w:tabs>
        <w:numPr>
          <w:ilvl w:val="0"/>
          <w:numId w:val="31"/>
        </w:numPr>
        <w:rPr>
          <w:rFonts w:ascii="Arial" w:cs="Arial" w:eastAsia="Arial" w:hAnsi="Arial"/>
          <w:sz w:val="16"/>
          <w:szCs w:val="16"/>
          <w:b w:val="1"/>
          <w:bCs w:val="1"/>
          <w:color w:val="082169"/>
        </w:rPr>
      </w:pPr>
      <w:r>
        <w:rPr>
          <w:rFonts w:ascii="Arial" w:cs="Arial" w:eastAsia="Arial" w:hAnsi="Arial"/>
          <w:sz w:val="16"/>
          <w:szCs w:val="16"/>
          <w:b w:val="1"/>
          <w:bCs w:val="1"/>
          <w:color w:val="082169"/>
        </w:rPr>
        <w:t>Governmental Approvals or Consents</w:t>
      </w:r>
    </w:p>
    <w:p>
      <w:pPr>
        <w:spacing w:after="0" w:line="180" w:lineRule="exact"/>
        <w:rPr>
          <w:rFonts w:ascii="Arial" w:cs="Arial" w:eastAsia="Arial" w:hAnsi="Arial"/>
          <w:sz w:val="16"/>
          <w:szCs w:val="16"/>
          <w:b w:val="1"/>
          <w:bCs w:val="1"/>
          <w:color w:val="082169"/>
        </w:rPr>
      </w:pPr>
    </w:p>
    <w:p>
      <w:pPr>
        <w:jc w:val="both"/>
        <w:ind w:left="500"/>
        <w:spacing w:after="0" w:line="248" w:lineRule="auto"/>
        <w:rPr>
          <w:rFonts w:ascii="Arial" w:cs="Arial" w:eastAsia="Arial" w:hAnsi="Arial"/>
          <w:sz w:val="16"/>
          <w:szCs w:val="16"/>
          <w:b w:val="1"/>
          <w:bCs w:val="1"/>
          <w:color w:val="082169"/>
        </w:rPr>
      </w:pPr>
      <w:r>
        <w:rPr>
          <w:rFonts w:ascii="Arial" w:cs="Arial" w:eastAsia="Arial" w:hAnsi="Arial"/>
          <w:sz w:val="16"/>
          <w:szCs w:val="16"/>
          <w:color w:val="auto"/>
        </w:rPr>
        <w:t>The Plan and any offering or sale made to Employees under it are subject to any governmental approvals or consents that may be or become applicable in connection therewith. Subject to the provisions of Section 21 hereof, the Board or the Committee may make such changes in the Plan and include such terms in any offering under the Plan as may be desirable to comply with the rules or regulations of any governmental authority.</w:t>
      </w:r>
    </w:p>
    <w:p>
      <w:pPr>
        <w:spacing w:after="0" w:line="145" w:lineRule="exact"/>
        <w:rPr>
          <w:rFonts w:ascii="Arial" w:cs="Arial" w:eastAsia="Arial" w:hAnsi="Arial"/>
          <w:sz w:val="16"/>
          <w:szCs w:val="16"/>
          <w:b w:val="1"/>
          <w:bCs w:val="1"/>
          <w:color w:val="082169"/>
        </w:rPr>
      </w:pPr>
    </w:p>
    <w:p>
      <w:pPr>
        <w:ind w:left="500" w:hanging="492"/>
        <w:spacing w:after="0"/>
        <w:tabs>
          <w:tab w:leader="none" w:pos="500" w:val="left"/>
        </w:tabs>
        <w:numPr>
          <w:ilvl w:val="0"/>
          <w:numId w:val="31"/>
        </w:numPr>
        <w:rPr>
          <w:rFonts w:ascii="Arial" w:cs="Arial" w:eastAsia="Arial" w:hAnsi="Arial"/>
          <w:sz w:val="16"/>
          <w:szCs w:val="16"/>
          <w:b w:val="1"/>
          <w:bCs w:val="1"/>
          <w:color w:val="082169"/>
        </w:rPr>
      </w:pPr>
      <w:r>
        <w:rPr>
          <w:rFonts w:ascii="Arial" w:cs="Arial" w:eastAsia="Arial" w:hAnsi="Arial"/>
          <w:sz w:val="16"/>
          <w:szCs w:val="16"/>
          <w:b w:val="1"/>
          <w:bCs w:val="1"/>
          <w:color w:val="082169"/>
        </w:rPr>
        <w:t>Other Provisions</w:t>
      </w:r>
    </w:p>
    <w:p>
      <w:pPr>
        <w:spacing w:after="0" w:line="180" w:lineRule="exact"/>
        <w:rPr>
          <w:rFonts w:ascii="Arial" w:cs="Arial" w:eastAsia="Arial" w:hAnsi="Arial"/>
          <w:sz w:val="16"/>
          <w:szCs w:val="16"/>
          <w:b w:val="1"/>
          <w:bCs w:val="1"/>
          <w:color w:val="082169"/>
        </w:rPr>
      </w:pPr>
    </w:p>
    <w:p>
      <w:pPr>
        <w:ind w:left="500"/>
        <w:spacing w:after="0" w:line="268" w:lineRule="auto"/>
        <w:rPr>
          <w:rFonts w:ascii="Arial" w:cs="Arial" w:eastAsia="Arial" w:hAnsi="Arial"/>
          <w:sz w:val="16"/>
          <w:szCs w:val="16"/>
          <w:b w:val="1"/>
          <w:bCs w:val="1"/>
          <w:color w:val="082169"/>
        </w:rPr>
      </w:pPr>
      <w:r>
        <w:rPr>
          <w:rFonts w:ascii="Arial" w:cs="Arial" w:eastAsia="Arial" w:hAnsi="Arial"/>
          <w:sz w:val="16"/>
          <w:szCs w:val="16"/>
          <w:color w:val="auto"/>
        </w:rPr>
        <w:t>The agreements to purchase shares of Common Stock under the Plan will contain such other provisions as the Committee and the Board deem advisable, provided, that no such provision shall in any way be in conflict with the terms of the Plan.</w:t>
      </w:r>
    </w:p>
    <w:p>
      <w:pPr>
        <w:spacing w:after="0" w:line="264" w:lineRule="exact"/>
        <w:rPr>
          <w:sz w:val="20"/>
          <w:szCs w:val="20"/>
          <w:color w:val="auto"/>
        </w:rPr>
      </w:pPr>
    </w:p>
    <w:p>
      <w:pPr>
        <w:ind w:left="6000"/>
        <w:spacing w:after="0"/>
        <w:rPr>
          <w:sz w:val="20"/>
          <w:szCs w:val="20"/>
          <w:color w:val="auto"/>
        </w:rPr>
      </w:pPr>
      <w:r>
        <w:rPr>
          <w:rFonts w:ascii="Arial" w:cs="Arial" w:eastAsia="Arial" w:hAnsi="Arial"/>
          <w:sz w:val="16"/>
          <w:szCs w:val="16"/>
          <w:b w:val="1"/>
          <w:bCs w:val="1"/>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_/s/ Gavin Rennick__________________</w:t>
      </w:r>
    </w:p>
    <w:p>
      <w:pPr>
        <w:spacing w:after="0" w:line="21"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Name: Gavin Rennick</w:t>
      </w:r>
    </w:p>
    <w:p>
      <w:pPr>
        <w:spacing w:after="0" w:line="5" w:lineRule="exact"/>
        <w:rPr>
          <w:sz w:val="20"/>
          <w:szCs w:val="20"/>
          <w:color w:val="auto"/>
        </w:rPr>
      </w:pPr>
    </w:p>
    <w:p>
      <w:pPr>
        <w:ind w:left="6000"/>
        <w:spacing w:after="0"/>
        <w:tabs>
          <w:tab w:leader="none" w:pos="6460" w:val="left"/>
        </w:tabs>
        <w:rPr>
          <w:sz w:val="20"/>
          <w:szCs w:val="20"/>
          <w:color w:val="auto"/>
        </w:rPr>
      </w:pPr>
      <w:r>
        <w:rPr>
          <w:rFonts w:ascii="Arial" w:cs="Arial" w:eastAsia="Arial" w:hAnsi="Arial"/>
          <w:sz w:val="16"/>
          <w:szCs w:val="16"/>
          <w:color w:val="auto"/>
        </w:rPr>
        <w:t>Title:</w:t>
        <w:tab/>
        <w:t>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53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22</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Issuers of Registered Guaranteed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N.V. (Schlumberger Limited);</w:t>
      </w:r>
    </w:p>
    <w:p>
      <w:pPr>
        <w:spacing w:after="0" w:line="117" w:lineRule="exact"/>
        <w:rPr>
          <w:rFonts w:ascii="Times New Roman" w:cs="Times New Roman" w:eastAsia="Times New Roman" w:hAnsi="Times New Roman"/>
          <w:sz w:val="18"/>
          <w:szCs w:val="18"/>
          <w:color w:val="auto"/>
        </w:rPr>
      </w:pPr>
    </w:p>
    <w:p>
      <w:pPr>
        <w:ind w:firstLine="382"/>
        <w:spacing w:after="0" w:line="282" w:lineRule="auto"/>
        <w:tabs>
          <w:tab w:leader="none" w:pos="5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82"/>
        <w:spacing w:after="0" w:line="282" w:lineRule="auto"/>
        <w:tabs>
          <w:tab w:leader="none" w:pos="5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82"/>
        <w:spacing w:after="0" w:line="266" w:lineRule="auto"/>
        <w:tabs>
          <w:tab w:leader="none" w:pos="5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382"/>
        <w:spacing w:after="0" w:line="282" w:lineRule="auto"/>
        <w:tabs>
          <w:tab w:leader="none" w:pos="5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Le Peuch</w:t>
            </w:r>
          </w:p>
        </w:tc>
      </w:tr>
      <w:tr>
        <w:trPr>
          <w:trHeight w:val="191"/>
        </w:trPr>
        <w:tc>
          <w:tcPr>
            <w:tcW w:w="674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Olivier Le Peuch</w:t>
            </w:r>
          </w:p>
        </w:tc>
      </w:tr>
      <w:tr>
        <w:trPr>
          <w:trHeight w:val="234"/>
        </w:trPr>
        <w:tc>
          <w:tcPr>
            <w:tcW w:w="67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N.V. (Schlumberger Limited);</w:t>
      </w:r>
    </w:p>
    <w:p>
      <w:pPr>
        <w:spacing w:after="0" w:line="117" w:lineRule="exact"/>
        <w:rPr>
          <w:rFonts w:ascii="Times New Roman" w:cs="Times New Roman" w:eastAsia="Times New Roman" w:hAnsi="Times New Roman"/>
          <w:sz w:val="18"/>
          <w:szCs w:val="18"/>
          <w:color w:val="auto"/>
        </w:rPr>
      </w:pPr>
    </w:p>
    <w:p>
      <w:pPr>
        <w:ind w:firstLine="382"/>
        <w:spacing w:after="0" w:line="282" w:lineRule="auto"/>
        <w:tabs>
          <w:tab w:leader="none" w:pos="5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82"/>
        <w:spacing w:after="0" w:line="282" w:lineRule="auto"/>
        <w:tabs>
          <w:tab w:leader="none" w:pos="5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82"/>
        <w:spacing w:after="0" w:line="266" w:lineRule="auto"/>
        <w:tabs>
          <w:tab w:leader="none" w:pos="5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382"/>
        <w:spacing w:after="0" w:line="282" w:lineRule="auto"/>
        <w:tabs>
          <w:tab w:leader="none" w:pos="5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July </w:t>
            </w:r>
            <w:r>
              <w:rPr>
                <w:rFonts w:ascii="Times New Roman" w:cs="Times New Roman" w:eastAsia="Times New Roman" w:hAnsi="Times New Roman"/>
                <w:sz w:val="19"/>
                <w:szCs w:val="19"/>
                <w:color w:val="auto"/>
              </w:rPr>
              <w:t>27</w:t>
            </w:r>
            <w:r>
              <w:rPr>
                <w:rFonts w:ascii="Times New Roman" w:cs="Times New Roman" w:eastAsia="Times New Roman" w:hAnsi="Times New Roman"/>
                <w:sz w:val="18"/>
                <w:szCs w:val="18"/>
                <w:color w:val="auto"/>
              </w:rPr>
              <w:t>, 2022</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Stephane Biguet</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Stephane Biguet</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54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June 30, 2022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8" w:lineRule="exact"/>
        <w:rPr>
          <w:sz w:val="20"/>
          <w:szCs w:val="20"/>
          <w:color w:val="auto"/>
        </w:rPr>
      </w:pPr>
    </w:p>
    <w:p>
      <w:pPr>
        <w:ind w:left="10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Le Peuch</w:t>
            </w:r>
          </w:p>
        </w:tc>
      </w:tr>
      <w:tr>
        <w:trPr>
          <w:trHeight w:val="191"/>
        </w:trPr>
        <w:tc>
          <w:tcPr>
            <w:tcW w:w="534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Olivier Le Peuch</w:t>
            </w:r>
          </w:p>
        </w:tc>
      </w:tr>
      <w:tr>
        <w:trPr>
          <w:trHeight w:val="234"/>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4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June 30, 2022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8" w:lineRule="exact"/>
        <w:rPr>
          <w:sz w:val="20"/>
          <w:szCs w:val="20"/>
          <w:color w:val="auto"/>
        </w:rPr>
      </w:pPr>
    </w:p>
    <w:p>
      <w:pPr>
        <w:ind w:left="100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Stephane Biguet</w:t>
            </w:r>
          </w:p>
        </w:tc>
      </w:tr>
      <w:tr>
        <w:trPr>
          <w:trHeight w:val="191"/>
        </w:trPr>
        <w:tc>
          <w:tcPr>
            <w:tcW w:w="534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Stephane Biguet</w:t>
            </w:r>
          </w:p>
        </w:tc>
      </w:tr>
      <w:tr>
        <w:trPr>
          <w:trHeight w:val="234"/>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4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5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June 30, 2022. Due to timing and other factors, the data may not agree with the mine data retrieval system maintained by the MSHA at www.MSHA.gov.</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June 30,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Received</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Received</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Notice of</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Notice of</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Potential to</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Pattern of</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Have</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Legal</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Total</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Violations</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Pattern</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Actions</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Legal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3"/>
              </w:rPr>
              <w:t>Total Dollar</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Number</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Under</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Under</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Pending as</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Actions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Legal Actions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Section</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104(d)</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6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Section</w:t>
            </w:r>
          </w:p>
        </w:tc>
        <w:tc>
          <w:tcPr>
            <w:tcW w:w="104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Value of MSHA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of Mining</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 Last</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Initiated</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Resolved</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Mine or Operating Name/</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 104</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104(b)</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Citations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 xml:space="preserve">110(b) </w:t>
            </w:r>
            <w:r>
              <w:rPr>
                <w:rFonts w:ascii="Times New Roman" w:cs="Times New Roman" w:eastAsia="Times New Roman" w:hAnsi="Times New Roman"/>
                <w:sz w:val="10"/>
                <w:szCs w:val="10"/>
                <w:color w:val="auto"/>
              </w:rPr>
              <w:t>(2)</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107(a)</w:t>
            </w:r>
          </w:p>
        </w:tc>
        <w:tc>
          <w:tcPr>
            <w:tcW w:w="104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Assessments</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Related</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104(e)</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104(e)</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Day</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During</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During</w:t>
            </w:r>
          </w:p>
        </w:tc>
        <w:tc>
          <w:tcPr>
            <w:tcW w:w="0" w:type="dxa"/>
            <w:vAlign w:val="bottom"/>
          </w:tcPr>
          <w:p>
            <w:pPr>
              <w:spacing w:after="0"/>
              <w:rPr>
                <w:sz w:val="1"/>
                <w:szCs w:val="1"/>
                <w:color w:val="auto"/>
              </w:rPr>
            </w:pPr>
          </w:p>
        </w:tc>
      </w:tr>
      <w:tr>
        <w:trPr>
          <w:trHeight w:val="153"/>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MSHA Identification Number</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S&amp;S Citations</w:t>
            </w: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Orders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and Orders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Violations</w:t>
            </w: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Orders</w:t>
            </w:r>
          </w:p>
        </w:tc>
        <w:tc>
          <w:tcPr>
            <w:tcW w:w="104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color w:val="auto"/>
              </w:rPr>
              <w:t xml:space="preserve">Proposed </w:t>
            </w:r>
            <w:r>
              <w:rPr>
                <w:rFonts w:ascii="Times New Roman" w:cs="Times New Roman" w:eastAsia="Times New Roman" w:hAnsi="Times New Roman"/>
                <w:sz w:val="10"/>
                <w:szCs w:val="10"/>
                <w:color w:val="auto"/>
              </w:rPr>
              <w:t>(1)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Fatalities</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(yes/no)</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(yes/no)</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of Period</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Period</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0" w:type="dxa"/>
            <w:vAlign w:val="bottom"/>
          </w:tcPr>
          <w:p>
            <w:pPr>
              <w:spacing w:after="0"/>
              <w:rPr>
                <w:sz w:val="1"/>
                <w:szCs w:val="1"/>
                <w:color w:val="auto"/>
              </w:rPr>
            </w:pPr>
          </w:p>
        </w:tc>
      </w:tr>
      <w:tr>
        <w:trPr>
          <w:trHeight w:val="275"/>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Amelia Barite Plant/1600825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1"/>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Battle Mountain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95"/>
              </w:rPr>
              <w:t>─</w:t>
            </w:r>
            <w:r>
              <w:rPr>
                <w:rFonts w:ascii="Times New Roman" w:cs="Times New Roman" w:eastAsia="Times New Roman" w:hAnsi="Times New Roman"/>
                <w:sz w:val="10"/>
                <w:szCs w:val="10"/>
                <w:color w:val="auto"/>
                <w:w w:val="95"/>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Grinding Plant/2600828</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w w:val="98"/>
              </w:rPr>
              <w:t>Greybull Milling Operation/4800602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2"/>
              </w:rPr>
              <w:t>$665</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64"/>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w w:val="98"/>
              </w:rPr>
              <w:t>Greybull Mining Operation/4800603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Greystone Mine/2600411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4"/>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Mountain Springs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Beneficiation Plant/2601390</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460" w:right="40" w:hanging="371"/>
        <w:spacing w:after="0" w:line="224" w:lineRule="auto"/>
        <w:tabs>
          <w:tab w:leader="none" w:pos="460"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Amounts included are the total dollar value of proposed assessments received from MSHA on or before June 30, 2022, regardless of whether the assessment has been challenged or appealed, for citations and orders occurring during the quarter ended June 30, 2022.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 w:lineRule="exact"/>
        <w:rPr>
          <w:rFonts w:ascii="Times New Roman" w:cs="Times New Roman" w:eastAsia="Times New Roman" w:hAnsi="Times New Roman"/>
          <w:sz w:val="28"/>
          <w:szCs w:val="28"/>
          <w:color w:val="auto"/>
          <w:vertAlign w:val="superscript"/>
        </w:rPr>
      </w:pPr>
    </w:p>
    <w:p>
      <w:pPr>
        <w:ind w:left="460" w:hanging="371"/>
        <w:spacing w:after="0" w:line="183" w:lineRule="auto"/>
        <w:tabs>
          <w:tab w:leader="none" w:pos="46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As of June 30, 2022, MSHA had not yet proposed an assessment for one non-S&amp;S citation at Battle Mountain Grinding Plant/2600828.</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2"/>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lvl w:ilvl="1">
      <w:lvlJc w:val="left"/>
      <w:lvlText w:val="(+)"/>
      <w:numFmt w:val="bullet"/>
      <w:start w:val="1"/>
    </w:lvl>
  </w:abstractNum>
  <w:abstractNum w:abstractNumId="24">
    <w:nsid w:val="1E7FF521"/>
    <w:multiLevelType w:val="hybridMultilevel"/>
    <w:lvl w:ilvl="0">
      <w:lvlJc w:val="left"/>
      <w:lvlText w:val="%1."/>
      <w:numFmt w:val="decimal"/>
      <w:start w:val="1"/>
    </w:lvl>
    <w:lvl w:ilvl="1">
      <w:lvlJc w:val="left"/>
      <w:lvlText w:val="(%2)"/>
      <w:numFmt w:val="lowerRoman"/>
      <w:start w:val="1"/>
    </w:lvl>
  </w:abstractNum>
  <w:abstractNum w:abstractNumId="25">
    <w:nsid w:val="7C3DBD3D"/>
    <w:multiLevelType w:val="hybridMultilevel"/>
    <w:lvl w:ilvl="0">
      <w:lvlJc w:val="left"/>
      <w:lvlText w:val="%1."/>
      <w:numFmt w:val="decimal"/>
      <w:start w:val="5"/>
    </w:lvl>
  </w:abstractNum>
  <w:abstractNum w:abstractNumId="26">
    <w:nsid w:val="737B8DDC"/>
    <w:multiLevelType w:val="hybridMultilevel"/>
    <w:lvl w:ilvl="0">
      <w:lvlJc w:val="left"/>
      <w:lvlText w:val="%1"/>
      <w:numFmt w:val="decimal"/>
      <w:start w:val="1"/>
    </w:lvl>
    <w:lvl w:ilvl="1">
      <w:lvlJc w:val="left"/>
      <w:lvlText w:val="(%2)"/>
      <w:numFmt w:val="lowerRoman"/>
      <w:start w:val="1"/>
    </w:lvl>
  </w:abstractNum>
  <w:abstractNum w:abstractNumId="27">
    <w:nsid w:val="6CEAF087"/>
    <w:multiLevelType w:val="hybridMultilevel"/>
    <w:lvl w:ilvl="0">
      <w:lvlJc w:val="left"/>
      <w:lvlText w:val="%1."/>
      <w:numFmt w:val="decimal"/>
      <w:start w:val="9"/>
    </w:lvl>
    <w:lvl w:ilvl="1">
      <w:lvlJc w:val="left"/>
      <w:lvlText w:val="(%2)"/>
      <w:numFmt w:val="lowerRoman"/>
      <w:start w:val="1"/>
    </w:lvl>
  </w:abstractNum>
  <w:abstractNum w:abstractNumId="28">
    <w:nsid w:val="22221A70"/>
    <w:multiLevelType w:val="hybridMultilevel"/>
    <w:lvl w:ilvl="0">
      <w:lvlJc w:val="left"/>
      <w:lvlText w:val="%1."/>
      <w:numFmt w:val="decimal"/>
      <w:start w:val="10"/>
    </w:lvl>
  </w:abstractNum>
  <w:abstractNum w:abstractNumId="29">
    <w:nsid w:val="4516DDE9"/>
    <w:multiLevelType w:val="hybridMultilevel"/>
    <w:lvl w:ilvl="0">
      <w:lvlJc w:val="left"/>
      <w:lvlText w:val="%1."/>
      <w:numFmt w:val="decimal"/>
      <w:start w:val="15"/>
    </w:lvl>
    <w:lvl w:ilvl="1">
      <w:lvlJc w:val="left"/>
      <w:lvlText w:val="(%2)"/>
      <w:numFmt w:val="lowerLetter"/>
      <w:start w:val="1"/>
    </w:lvl>
  </w:abstractNum>
  <w:abstractNum w:abstractNumId="30">
    <w:nsid w:val="3006C83E"/>
    <w:multiLevelType w:val="hybridMultilevel"/>
    <w:lvl w:ilvl="0">
      <w:lvlJc w:val="left"/>
      <w:lvlText w:val="%1."/>
      <w:numFmt w:val="decimal"/>
      <w:start w:val="21"/>
    </w:lvl>
  </w:abstractNum>
  <w:abstractNum w:abstractNumId="31">
    <w:nsid w:val="614FD4A1"/>
    <w:multiLevelType w:val="hybridMultilevel"/>
    <w:lvl w:ilvl="0">
      <w:lvlJc w:val="left"/>
      <w:lvlText w:val="%1."/>
      <w:numFmt w:val="decimal"/>
      <w:start w:val="1"/>
    </w:lvl>
    <w:lvl w:ilvl="1">
      <w:lvlJc w:val="left"/>
      <w:lvlText w:val="%2)"/>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1" Type="http://schemas.openxmlformats.org/officeDocument/2006/relationships/hyperlink" Target="http://www.sec.gov/Archives/edgar/data/87347/000119312516532046/d176097dex31.htm" TargetMode="External"/><Relationship Id="rId44"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2022-07-27T09:32:31Z</dcterms:created>
  <dcterms:modified xsi:type="dcterms:W3CDTF">2022-07-27T09:32:31Z</dcterms:modified>
</cp:coreProperties>
</file>