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79"/>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77" w:lineRule="exact"/>
        <w:rPr>
          <w:sz w:val="24"/>
          <w:szCs w:val="24"/>
          <w:color w:val="auto"/>
        </w:rPr>
      </w:pPr>
    </w:p>
    <w:p>
      <w:pPr>
        <w:ind w:left="2600"/>
        <w:spacing w:after="0"/>
        <w:rPr>
          <w:sz w:val="20"/>
          <w:szCs w:val="20"/>
          <w:color w:val="auto"/>
        </w:rPr>
      </w:pPr>
      <w:r>
        <w:rPr>
          <w:rFonts w:ascii="Courier New" w:cs="Courier New" w:eastAsia="Courier New" w:hAnsi="Courier New"/>
          <w:sz w:val="16"/>
          <w:szCs w:val="16"/>
          <w:color w:val="auto"/>
        </w:rPr>
        <w:t>Washington, D.C. 20549</w:t>
      </w:r>
    </w:p>
    <w:p>
      <w:pPr>
        <w:spacing w:after="0" w:line="355"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FORM 11-K</w:t>
      </w:r>
    </w:p>
    <w:p>
      <w:pPr>
        <w:spacing w:after="0" w:line="355"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ANNUAL REPORT</w:t>
      </w:r>
    </w:p>
    <w:p>
      <w:pPr>
        <w:spacing w:after="0" w:line="355"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Pursuant to Section 15(d) of the Securities Exchange Act of 1934</w:t>
      </w:r>
    </w:p>
    <w:p>
      <w:pPr>
        <w:spacing w:after="0" w:line="177" w:lineRule="exact"/>
        <w:rPr>
          <w:sz w:val="24"/>
          <w:szCs w:val="24"/>
          <w:color w:val="auto"/>
        </w:rPr>
      </w:pPr>
    </w:p>
    <w:p>
      <w:pPr>
        <w:ind w:left="1660"/>
        <w:spacing w:after="0"/>
        <w:rPr>
          <w:sz w:val="20"/>
          <w:szCs w:val="20"/>
          <w:color w:val="auto"/>
        </w:rPr>
      </w:pPr>
      <w:r>
        <w:rPr>
          <w:rFonts w:ascii="Courier New" w:cs="Courier New" w:eastAsia="Courier New" w:hAnsi="Courier New"/>
          <w:sz w:val="16"/>
          <w:szCs w:val="16"/>
          <w:color w:val="auto"/>
        </w:rPr>
        <w:t>For the Fiscal Year Ended December 31, 1999</w:t>
      </w:r>
    </w:p>
    <w:p>
      <w:pPr>
        <w:spacing w:after="0" w:line="177"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Commission File Number 001-04601</w:t>
      </w:r>
    </w:p>
    <w:p>
      <w:pPr>
        <w:spacing w:after="0" w:line="177"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_______________</w:t>
      </w:r>
    </w:p>
    <w:p>
      <w:pPr>
        <w:spacing w:after="0" w:line="177" w:lineRule="exact"/>
        <w:rPr>
          <w:sz w:val="24"/>
          <w:szCs w:val="24"/>
          <w:color w:val="auto"/>
        </w:rPr>
      </w:pPr>
    </w:p>
    <w:p>
      <w:pPr>
        <w:ind w:left="2880"/>
        <w:spacing w:after="0"/>
        <w:rPr>
          <w:sz w:val="20"/>
          <w:szCs w:val="20"/>
          <w:color w:val="auto"/>
        </w:rPr>
      </w:pPr>
      <w:r>
        <w:rPr>
          <w:rFonts w:ascii="Courier New" w:cs="Courier New" w:eastAsia="Courier New" w:hAnsi="Courier New"/>
          <w:sz w:val="16"/>
          <w:szCs w:val="16"/>
          <w:color w:val="auto"/>
        </w:rPr>
        <w:t>CAMCO THRIFT PLAN</w:t>
      </w:r>
    </w:p>
    <w:p>
      <w:pPr>
        <w:ind w:left="2600"/>
        <w:spacing w:after="0" w:line="236" w:lineRule="auto"/>
        <w:rPr>
          <w:sz w:val="20"/>
          <w:szCs w:val="20"/>
          <w:color w:val="auto"/>
        </w:rPr>
      </w:pPr>
      <w:r>
        <w:rPr>
          <w:rFonts w:ascii="Courier New" w:cs="Courier New" w:eastAsia="Courier New" w:hAnsi="Courier New"/>
          <w:sz w:val="16"/>
          <w:szCs w:val="16"/>
          <w:color w:val="auto"/>
        </w:rPr>
        <w:t>(Full title of the plan)</w:t>
      </w:r>
    </w:p>
    <w:p>
      <w:pPr>
        <w:spacing w:after="0" w:line="177"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_______________</w:t>
      </w:r>
    </w:p>
    <w:p>
      <w:pPr>
        <w:spacing w:after="0" w:line="355"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SCHLUMBERGER LIMITED</w:t>
      </w:r>
    </w:p>
    <w:p>
      <w:pPr>
        <w:jc w:val="center"/>
        <w:ind w:right="2779"/>
        <w:spacing w:after="0" w:line="236" w:lineRule="auto"/>
        <w:rPr>
          <w:sz w:val="20"/>
          <w:szCs w:val="20"/>
          <w:color w:val="auto"/>
        </w:rPr>
      </w:pPr>
      <w:r>
        <w:rPr>
          <w:rFonts w:ascii="Courier New" w:cs="Courier New" w:eastAsia="Courier New" w:hAnsi="Courier New"/>
          <w:sz w:val="16"/>
          <w:szCs w:val="16"/>
          <w:color w:val="auto"/>
        </w:rPr>
        <w:t>(Name of issuer of the securities held pursuant to the plan)</w:t>
      </w:r>
    </w:p>
    <w:p>
      <w:pPr>
        <w:spacing w:after="0" w:line="356" w:lineRule="exact"/>
        <w:rPr>
          <w:sz w:val="24"/>
          <w:szCs w:val="24"/>
          <w:color w:val="auto"/>
        </w:rPr>
      </w:pPr>
    </w:p>
    <w:tbl>
      <w:tblPr>
        <w:tblLayout w:type="fixed"/>
        <w:tblInd w:w="180" w:type="dxa"/>
        <w:tblCellMar>
          <w:top w:w="0" w:type="dxa"/>
          <w:left w:w="0" w:type="dxa"/>
          <w:bottom w:w="0" w:type="dxa"/>
          <w:right w:w="0" w:type="dxa"/>
        </w:tblCellMar>
      </w:tblPr>
      <w:tr>
        <w:trPr>
          <w:trHeight w:val="181"/>
        </w:trPr>
        <w:tc>
          <w:tcPr>
            <w:tcW w:w="238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6"/>
              </w:rPr>
              <w:t>42, RUE SAINT-DOMINIQUE</w:t>
            </w:r>
          </w:p>
        </w:tc>
        <w:tc>
          <w:tcPr>
            <w:tcW w:w="1380" w:type="dxa"/>
            <w:vAlign w:val="bottom"/>
          </w:tcPr>
          <w:p>
            <w:pPr>
              <w:ind w:left="600"/>
              <w:spacing w:after="0"/>
              <w:rPr>
                <w:sz w:val="20"/>
                <w:szCs w:val="20"/>
                <w:color w:val="auto"/>
              </w:rPr>
            </w:pPr>
            <w:r>
              <w:rPr>
                <w:rFonts w:ascii="Courier New" w:cs="Courier New" w:eastAsia="Courier New" w:hAnsi="Courier New"/>
                <w:sz w:val="16"/>
                <w:szCs w:val="16"/>
                <w:color w:val="auto"/>
                <w:w w:val="98"/>
              </w:rPr>
              <w:t>277 PARK</w:t>
            </w: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AVENUE</w:t>
            </w:r>
          </w:p>
        </w:tc>
        <w:tc>
          <w:tcPr>
            <w:tcW w:w="34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PARKSTRAAT 83</w:t>
            </w:r>
          </w:p>
        </w:tc>
      </w:tr>
      <w:tr>
        <w:trPr>
          <w:trHeight w:val="179"/>
        </w:trPr>
        <w:tc>
          <w:tcPr>
            <w:tcW w:w="238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7"/>
              </w:rPr>
              <w:t>PARIS, FRANCE 75007</w:t>
            </w:r>
          </w:p>
        </w:tc>
        <w:tc>
          <w:tcPr>
            <w:tcW w:w="138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8"/>
              </w:rPr>
              <w:t>NEW YORK, NY</w:t>
            </w:r>
          </w:p>
        </w:tc>
        <w:tc>
          <w:tcPr>
            <w:tcW w:w="12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10172-2066</w:t>
            </w:r>
          </w:p>
        </w:tc>
        <w:tc>
          <w:tcPr>
            <w:tcW w:w="3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THE HAGUE, THE NETHERLANDS 2514 JG</w:t>
            </w:r>
          </w:p>
        </w:tc>
      </w:tr>
      <w:tr>
        <w:trPr>
          <w:trHeight w:val="179"/>
        </w:trPr>
        <w:tc>
          <w:tcPr>
            <w:tcW w:w="238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(33-1) 4062-1000</w:t>
            </w:r>
          </w:p>
        </w:tc>
        <w:tc>
          <w:tcPr>
            <w:tcW w:w="26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(212) 350-9400</w:t>
            </w:r>
          </w:p>
        </w:tc>
        <w:tc>
          <w:tcPr>
            <w:tcW w:w="3400" w:type="dxa"/>
            <w:vAlign w:val="bottom"/>
          </w:tcPr>
          <w:p>
            <w:pPr>
              <w:jc w:val="right"/>
              <w:ind w:right="682"/>
              <w:spacing w:after="0" w:line="179" w:lineRule="exact"/>
              <w:rPr>
                <w:sz w:val="20"/>
                <w:szCs w:val="20"/>
                <w:color w:val="auto"/>
              </w:rPr>
            </w:pPr>
            <w:r>
              <w:rPr>
                <w:rFonts w:ascii="Courier New" w:cs="Courier New" w:eastAsia="Courier New" w:hAnsi="Courier New"/>
                <w:sz w:val="16"/>
                <w:szCs w:val="16"/>
                <w:color w:val="auto"/>
              </w:rPr>
              <w:t>(31-70) 310-5447</w:t>
            </w:r>
          </w:p>
        </w:tc>
      </w:tr>
    </w:tbl>
    <w:p>
      <w:pPr>
        <w:spacing w:after="0" w:line="4" w:lineRule="exact"/>
        <w:rPr>
          <w:sz w:val="24"/>
          <w:szCs w:val="24"/>
          <w:color w:val="auto"/>
        </w:rPr>
      </w:pPr>
    </w:p>
    <w:p>
      <w:pPr>
        <w:ind w:left="920" w:right="3519" w:firstLine="93"/>
        <w:spacing w:after="0" w:line="295" w:lineRule="auto"/>
        <w:rPr>
          <w:sz w:val="20"/>
          <w:szCs w:val="20"/>
          <w:color w:val="auto"/>
        </w:rPr>
      </w:pPr>
      <w:r>
        <w:rPr>
          <w:rFonts w:ascii="Courier New" w:cs="Courier New" w:eastAsia="Courier New" w:hAnsi="Courier New"/>
          <w:sz w:val="14"/>
          <w:szCs w:val="14"/>
          <w:color w:val="auto"/>
        </w:rPr>
        <w:t>(Addresses, including zip codes, and telephone numbers, including area codes, of issuer's principal executive offices)</w:t>
      </w:r>
    </w:p>
    <w:p>
      <w:pPr>
        <w:spacing w:after="0" w:line="32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95" w:right="1440" w:bottom="1440" w:gutter="0" w:footer="0" w:header="0"/>
        </w:sectPr>
      </w:pPr>
    </w:p>
    <w:bookmarkStart w:id="1" w:name="page2"/>
    <w:bookmarkEnd w:id="1"/>
    <w:p>
      <w:pPr>
        <w:jc w:val="center"/>
        <w:ind w:right="2879"/>
        <w:spacing w:after="0"/>
        <w:rPr>
          <w:sz w:val="20"/>
          <w:szCs w:val="20"/>
          <w:color w:val="auto"/>
        </w:rPr>
      </w:pPr>
      <w:r>
        <w:rPr>
          <w:rFonts w:ascii="Courier New" w:cs="Courier New" w:eastAsia="Courier New" w:hAnsi="Courier New"/>
          <w:sz w:val="16"/>
          <w:szCs w:val="16"/>
          <w:color w:val="auto"/>
        </w:rPr>
        <w:t>CAMCO THRIFT PLAN</w:t>
      </w:r>
    </w:p>
    <w:p>
      <w:pPr>
        <w:spacing w:after="0" w:line="177"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INDEX TO FINANCIAL STATEMENTS AND SUPPLEMENTAL SCHEDULES</w:t>
      </w:r>
    </w:p>
    <w:p>
      <w:pPr>
        <w:ind w:left="2780"/>
        <w:spacing w:after="0" w:line="236" w:lineRule="auto"/>
        <w:rPr>
          <w:sz w:val="20"/>
          <w:szCs w:val="20"/>
          <w:color w:val="auto"/>
        </w:rPr>
      </w:pPr>
      <w:r>
        <w:rPr>
          <w:rFonts w:ascii="Courier New" w:cs="Courier New" w:eastAsia="Courier New" w:hAnsi="Courier New"/>
          <w:sz w:val="16"/>
          <w:szCs w:val="16"/>
          <w:color w:val="auto"/>
        </w:rPr>
        <w:t>____________________</w:t>
      </w:r>
    </w:p>
    <w:p>
      <w:pPr>
        <w:spacing w:after="0" w:line="35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618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6"/>
              </w:rPr>
              <w:t>FINANCIAL STATEMENTS</w:t>
            </w:r>
          </w:p>
        </w:tc>
        <w:tc>
          <w:tcPr>
            <w:tcW w:w="520" w:type="dxa"/>
            <w:vAlign w:val="bottom"/>
          </w:tcPr>
          <w:p>
            <w:pPr>
              <w:spacing w:after="0"/>
              <w:rPr>
                <w:sz w:val="15"/>
                <w:szCs w:val="15"/>
                <w:color w:val="auto"/>
              </w:rPr>
            </w:pPr>
          </w:p>
        </w:tc>
      </w:tr>
      <w:tr>
        <w:trPr>
          <w:trHeight w:val="358"/>
        </w:trPr>
        <w:tc>
          <w:tcPr>
            <w:tcW w:w="6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79"/>
        </w:trPr>
        <w:tc>
          <w:tcPr>
            <w:tcW w:w="6180" w:type="dxa"/>
            <w:vAlign w:val="bottom"/>
          </w:tcPr>
          <w:p>
            <w:pPr>
              <w:spacing w:after="0"/>
              <w:rPr>
                <w:sz w:val="15"/>
                <w:szCs w:val="15"/>
                <w:color w:val="auto"/>
              </w:rPr>
            </w:pP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1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Independent Auditors' Report.....................................</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w:t>
            </w:r>
          </w:p>
        </w:tc>
      </w:tr>
      <w:tr>
        <w:trPr>
          <w:trHeight w:val="358"/>
        </w:trPr>
        <w:tc>
          <w:tcPr>
            <w:tcW w:w="6180" w:type="dxa"/>
            <w:vAlign w:val="bottom"/>
          </w:tcPr>
          <w:p>
            <w:pPr>
              <w:spacing w:after="0"/>
              <w:rPr>
                <w:sz w:val="20"/>
                <w:szCs w:val="20"/>
                <w:color w:val="auto"/>
              </w:rPr>
            </w:pPr>
            <w:r>
              <w:rPr>
                <w:rFonts w:ascii="Courier New" w:cs="Courier New" w:eastAsia="Courier New" w:hAnsi="Courier New"/>
                <w:sz w:val="16"/>
                <w:szCs w:val="16"/>
                <w:color w:val="auto"/>
              </w:rPr>
              <w:t>Statements of Net Assets Available for Benefits,</w:t>
            </w:r>
          </w:p>
        </w:tc>
        <w:tc>
          <w:tcPr>
            <w:tcW w:w="520" w:type="dxa"/>
            <w:vAlign w:val="bottom"/>
          </w:tcPr>
          <w:p>
            <w:pPr>
              <w:spacing w:after="0"/>
              <w:rPr>
                <w:sz w:val="24"/>
                <w:szCs w:val="24"/>
                <w:color w:val="auto"/>
              </w:rPr>
            </w:pPr>
          </w:p>
        </w:tc>
      </w:tr>
      <w:tr>
        <w:trPr>
          <w:trHeight w:val="179"/>
        </w:trPr>
        <w:tc>
          <w:tcPr>
            <w:tcW w:w="6180" w:type="dxa"/>
            <w:vAlign w:val="bottom"/>
          </w:tcPr>
          <w:p>
            <w:pPr>
              <w:jc w:val="center"/>
              <w:ind w:left="242"/>
              <w:spacing w:after="0" w:line="179" w:lineRule="exact"/>
              <w:rPr>
                <w:sz w:val="20"/>
                <w:szCs w:val="20"/>
                <w:color w:val="auto"/>
              </w:rPr>
            </w:pPr>
            <w:r>
              <w:rPr>
                <w:rFonts w:ascii="Courier New" w:cs="Courier New" w:eastAsia="Courier New" w:hAnsi="Courier New"/>
                <w:sz w:val="16"/>
                <w:szCs w:val="16"/>
                <w:color w:val="auto"/>
                <w:w w:val="96"/>
              </w:rPr>
              <w:t>December 31, 1999 and 1998..................................</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w:t>
            </w:r>
          </w:p>
        </w:tc>
      </w:tr>
      <w:tr>
        <w:trPr>
          <w:trHeight w:val="358"/>
        </w:trPr>
        <w:tc>
          <w:tcPr>
            <w:tcW w:w="6180" w:type="dxa"/>
            <w:vAlign w:val="bottom"/>
          </w:tcPr>
          <w:p>
            <w:pPr>
              <w:spacing w:after="0"/>
              <w:rPr>
                <w:sz w:val="20"/>
                <w:szCs w:val="20"/>
                <w:color w:val="auto"/>
              </w:rPr>
            </w:pPr>
            <w:r>
              <w:rPr>
                <w:rFonts w:ascii="Courier New" w:cs="Courier New" w:eastAsia="Courier New" w:hAnsi="Courier New"/>
                <w:sz w:val="16"/>
                <w:szCs w:val="16"/>
                <w:color w:val="auto"/>
              </w:rPr>
              <w:t>Statement of Changes in Net Assets Available for Benefits with</w:t>
            </w:r>
          </w:p>
        </w:tc>
        <w:tc>
          <w:tcPr>
            <w:tcW w:w="520" w:type="dxa"/>
            <w:vAlign w:val="bottom"/>
          </w:tcPr>
          <w:p>
            <w:pPr>
              <w:spacing w:after="0"/>
              <w:rPr>
                <w:sz w:val="24"/>
                <w:szCs w:val="24"/>
                <w:color w:val="auto"/>
              </w:rPr>
            </w:pPr>
          </w:p>
        </w:tc>
      </w:tr>
      <w:tr>
        <w:trPr>
          <w:trHeight w:val="179"/>
        </w:trPr>
        <w:tc>
          <w:tcPr>
            <w:tcW w:w="6180" w:type="dxa"/>
            <w:vAlign w:val="bottom"/>
          </w:tcPr>
          <w:p>
            <w:pPr>
              <w:jc w:val="center"/>
              <w:ind w:left="242"/>
              <w:spacing w:after="0" w:line="179" w:lineRule="exact"/>
              <w:rPr>
                <w:sz w:val="20"/>
                <w:szCs w:val="20"/>
                <w:color w:val="auto"/>
              </w:rPr>
            </w:pPr>
            <w:r>
              <w:rPr>
                <w:rFonts w:ascii="Courier New" w:cs="Courier New" w:eastAsia="Courier New" w:hAnsi="Courier New"/>
                <w:sz w:val="16"/>
                <w:szCs w:val="16"/>
                <w:color w:val="auto"/>
                <w:w w:val="96"/>
              </w:rPr>
              <w:t>Fund Information, Year Ended December 31, 1999..............</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r>
      <w:tr>
        <w:trPr>
          <w:trHeight w:val="358"/>
        </w:trPr>
        <w:tc>
          <w:tcPr>
            <w:tcW w:w="6180" w:type="dxa"/>
            <w:vAlign w:val="bottom"/>
          </w:tcPr>
          <w:p>
            <w:pPr>
              <w:spacing w:after="0"/>
              <w:rPr>
                <w:sz w:val="20"/>
                <w:szCs w:val="20"/>
                <w:color w:val="auto"/>
              </w:rPr>
            </w:pPr>
            <w:r>
              <w:rPr>
                <w:rFonts w:ascii="Courier New" w:cs="Courier New" w:eastAsia="Courier New" w:hAnsi="Courier New"/>
                <w:sz w:val="16"/>
                <w:szCs w:val="16"/>
                <w:color w:val="auto"/>
                <w:w w:val="98"/>
              </w:rPr>
              <w:t>Notes to Financial Statements....................................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358"/>
        </w:trPr>
        <w:tc>
          <w:tcPr>
            <w:tcW w:w="6180" w:type="dxa"/>
            <w:vAlign w:val="bottom"/>
          </w:tcPr>
          <w:p>
            <w:pPr>
              <w:ind w:left="242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24"/>
                <w:szCs w:val="24"/>
                <w:color w:val="auto"/>
              </w:rPr>
            </w:pPr>
          </w:p>
        </w:tc>
      </w:tr>
      <w:tr>
        <w:trPr>
          <w:trHeight w:val="358"/>
        </w:trPr>
        <w:tc>
          <w:tcPr>
            <w:tcW w:w="6180" w:type="dxa"/>
            <w:vAlign w:val="bottom"/>
          </w:tcPr>
          <w:p>
            <w:pPr>
              <w:jc w:val="center"/>
              <w:ind w:left="262"/>
              <w:spacing w:after="0"/>
              <w:rPr>
                <w:sz w:val="20"/>
                <w:szCs w:val="20"/>
                <w:color w:val="auto"/>
              </w:rPr>
            </w:pPr>
            <w:r>
              <w:rPr>
                <w:rFonts w:ascii="Courier New" w:cs="Courier New" w:eastAsia="Courier New" w:hAnsi="Courier New"/>
                <w:sz w:val="16"/>
                <w:szCs w:val="16"/>
                <w:color w:val="auto"/>
                <w:w w:val="96"/>
              </w:rPr>
              <w:t>SUPPLEMENTAL SCHEDULES</w:t>
            </w:r>
          </w:p>
        </w:tc>
        <w:tc>
          <w:tcPr>
            <w:tcW w:w="520" w:type="dxa"/>
            <w:vAlign w:val="bottom"/>
          </w:tcPr>
          <w:p>
            <w:pPr>
              <w:spacing w:after="0"/>
              <w:rPr>
                <w:sz w:val="24"/>
                <w:szCs w:val="24"/>
                <w:color w:val="auto"/>
              </w:rPr>
            </w:pPr>
          </w:p>
        </w:tc>
      </w:tr>
      <w:tr>
        <w:trPr>
          <w:trHeight w:val="358"/>
        </w:trPr>
        <w:tc>
          <w:tcPr>
            <w:tcW w:w="6180" w:type="dxa"/>
            <w:vAlign w:val="bottom"/>
          </w:tcPr>
          <w:p>
            <w:pPr>
              <w:spacing w:after="0"/>
              <w:rPr>
                <w:sz w:val="20"/>
                <w:szCs w:val="20"/>
                <w:color w:val="auto"/>
              </w:rPr>
            </w:pPr>
            <w:r>
              <w:rPr>
                <w:rFonts w:ascii="Courier New" w:cs="Courier New" w:eastAsia="Courier New" w:hAnsi="Courier New"/>
                <w:sz w:val="16"/>
                <w:szCs w:val="16"/>
                <w:color w:val="auto"/>
              </w:rPr>
              <w:t>Schedule of Assets Held for Investment Purposes at End of Year,</w:t>
            </w:r>
          </w:p>
        </w:tc>
        <w:tc>
          <w:tcPr>
            <w:tcW w:w="520" w:type="dxa"/>
            <w:vAlign w:val="bottom"/>
          </w:tcPr>
          <w:p>
            <w:pPr>
              <w:spacing w:after="0"/>
              <w:rPr>
                <w:sz w:val="24"/>
                <w:szCs w:val="24"/>
                <w:color w:val="auto"/>
              </w:rPr>
            </w:pPr>
          </w:p>
        </w:tc>
      </w:tr>
      <w:tr>
        <w:trPr>
          <w:trHeight w:val="179"/>
        </w:trPr>
        <w:tc>
          <w:tcPr>
            <w:tcW w:w="6180" w:type="dxa"/>
            <w:vAlign w:val="bottom"/>
          </w:tcPr>
          <w:p>
            <w:pPr>
              <w:jc w:val="center"/>
              <w:ind w:left="242"/>
              <w:spacing w:after="0" w:line="179" w:lineRule="exact"/>
              <w:rPr>
                <w:sz w:val="20"/>
                <w:szCs w:val="20"/>
                <w:color w:val="auto"/>
              </w:rPr>
            </w:pPr>
            <w:r>
              <w:rPr>
                <w:rFonts w:ascii="Courier New" w:cs="Courier New" w:eastAsia="Courier New" w:hAnsi="Courier New"/>
                <w:sz w:val="16"/>
                <w:szCs w:val="16"/>
                <w:color w:val="auto"/>
                <w:w w:val="96"/>
              </w:rPr>
              <w:t>December 31, 1999...........................................</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w:t>
            </w:r>
          </w:p>
        </w:tc>
      </w:tr>
      <w:tr>
        <w:trPr>
          <w:trHeight w:val="358"/>
        </w:trPr>
        <w:tc>
          <w:tcPr>
            <w:tcW w:w="6180" w:type="dxa"/>
            <w:vAlign w:val="bottom"/>
          </w:tcPr>
          <w:p>
            <w:pPr>
              <w:spacing w:after="0"/>
              <w:rPr>
                <w:sz w:val="20"/>
                <w:szCs w:val="20"/>
                <w:color w:val="auto"/>
              </w:rPr>
            </w:pPr>
            <w:r>
              <w:rPr>
                <w:rFonts w:ascii="Courier New" w:cs="Courier New" w:eastAsia="Courier New" w:hAnsi="Courier New"/>
                <w:sz w:val="16"/>
                <w:szCs w:val="16"/>
                <w:color w:val="auto"/>
              </w:rPr>
              <w:t>Schedule of Reportable Transactions, Year Ended</w:t>
            </w:r>
          </w:p>
        </w:tc>
        <w:tc>
          <w:tcPr>
            <w:tcW w:w="520" w:type="dxa"/>
            <w:vAlign w:val="bottom"/>
          </w:tcPr>
          <w:p>
            <w:pPr>
              <w:spacing w:after="0"/>
              <w:rPr>
                <w:sz w:val="24"/>
                <w:szCs w:val="24"/>
                <w:color w:val="auto"/>
              </w:rPr>
            </w:pPr>
          </w:p>
        </w:tc>
      </w:tr>
      <w:tr>
        <w:trPr>
          <w:trHeight w:val="179"/>
        </w:trPr>
        <w:tc>
          <w:tcPr>
            <w:tcW w:w="6180" w:type="dxa"/>
            <w:vAlign w:val="bottom"/>
          </w:tcPr>
          <w:p>
            <w:pPr>
              <w:jc w:val="center"/>
              <w:ind w:left="242"/>
              <w:spacing w:after="0" w:line="179" w:lineRule="exact"/>
              <w:rPr>
                <w:sz w:val="20"/>
                <w:szCs w:val="20"/>
                <w:color w:val="auto"/>
              </w:rPr>
            </w:pPr>
            <w:r>
              <w:rPr>
                <w:rFonts w:ascii="Courier New" w:cs="Courier New" w:eastAsia="Courier New" w:hAnsi="Courier New"/>
                <w:sz w:val="16"/>
                <w:szCs w:val="16"/>
                <w:color w:val="auto"/>
                <w:w w:val="96"/>
              </w:rPr>
              <w:t>December 31, 1999...........................................</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w:t>
            </w:r>
          </w:p>
        </w:tc>
      </w:tr>
    </w:tbl>
    <w:p>
      <w:pPr>
        <w:spacing w:after="0" w:line="183" w:lineRule="exact"/>
        <w:rPr>
          <w:sz w:val="20"/>
          <w:szCs w:val="20"/>
          <w:color w:val="auto"/>
        </w:rPr>
      </w:pPr>
    </w:p>
    <w:p>
      <w:pPr>
        <w:ind w:left="460" w:right="3439"/>
        <w:spacing w:after="0" w:line="235" w:lineRule="auto"/>
        <w:rPr>
          <w:sz w:val="20"/>
          <w:szCs w:val="20"/>
          <w:color w:val="auto"/>
        </w:rPr>
      </w:pPr>
      <w:r>
        <w:rPr>
          <w:rFonts w:ascii="Courier New" w:cs="Courier New" w:eastAsia="Courier New" w:hAnsi="Courier New"/>
          <w:sz w:val="16"/>
          <w:szCs w:val="16"/>
          <w:color w:val="auto"/>
        </w:rPr>
        <w:t>All other schedules are omitted because they are not applicable, not required or the information is included in the Notes to Financial Statements.</w:t>
      </w:r>
    </w:p>
    <w:p>
      <w:pPr>
        <w:ind w:left="2780"/>
        <w:spacing w:after="0" w:line="237" w:lineRule="auto"/>
        <w:rPr>
          <w:sz w:val="20"/>
          <w:szCs w:val="20"/>
          <w:color w:val="auto"/>
        </w:rPr>
      </w:pPr>
      <w:r>
        <w:rPr>
          <w:rFonts w:ascii="Courier New" w:cs="Courier New" w:eastAsia="Courier New" w:hAnsi="Courier New"/>
          <w:sz w:val="16"/>
          <w:szCs w:val="16"/>
          <w:color w:val="auto"/>
        </w:rPr>
        <w:t>____________________</w:t>
      </w:r>
    </w:p>
    <w:p>
      <w:pPr>
        <w:spacing w:after="0" w:line="356"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THE PLAN. Pursuant to the requirements of the Securities Exchange Act of 1934, the trustees (or other persons who administer the employee benefit plan) have caused this annual report to be signed on their behalf by the undersigned hereunto duly authorized.</w:t>
      </w:r>
    </w:p>
    <w:p>
      <w:pPr>
        <w:spacing w:after="0" w:line="17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CAMCO THRIFT PLAN</w:t>
      </w:r>
    </w:p>
    <w:p>
      <w:pPr>
        <w:sectPr>
          <w:pgSz w:w="11900" w:h="16838" w:orient="portrait"/>
          <w:cols w:equalWidth="0" w:num="1">
            <w:col w:w="10219"/>
          </w:cols>
          <w:pgMar w:left="240" w:top="648" w:right="1440" w:bottom="1440" w:gutter="0" w:footer="0" w:header="0"/>
        </w:sectPr>
      </w:pPr>
    </w:p>
    <w:p>
      <w:pPr>
        <w:spacing w:after="0" w:line="355"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 J. CHRISTOPHER HOLLAND</w:t>
      </w:r>
    </w:p>
    <w:p>
      <w:pPr>
        <w:spacing w:after="0" w:line="236" w:lineRule="auto"/>
        <w:rPr>
          <w:sz w:val="20"/>
          <w:szCs w:val="20"/>
          <w:color w:val="auto"/>
        </w:rPr>
      </w:pPr>
      <w:r>
        <w:rPr>
          <w:rFonts w:ascii="Courier New" w:cs="Courier New" w:eastAsia="Courier New" w:hAnsi="Courier New"/>
          <w:sz w:val="16"/>
          <w:szCs w:val="16"/>
          <w:color w:val="auto"/>
        </w:rPr>
        <w:t>------------------------------------</w:t>
      </w:r>
    </w:p>
    <w:p>
      <w:pPr>
        <w:ind w:left="560"/>
        <w:spacing w:after="0" w:line="237" w:lineRule="auto"/>
        <w:rPr>
          <w:sz w:val="20"/>
          <w:szCs w:val="20"/>
          <w:color w:val="auto"/>
        </w:rPr>
      </w:pPr>
      <w:r>
        <w:rPr>
          <w:rFonts w:ascii="Courier New" w:cs="Courier New" w:eastAsia="Courier New" w:hAnsi="Courier New"/>
          <w:sz w:val="16"/>
          <w:szCs w:val="16"/>
          <w:color w:val="auto"/>
        </w:rPr>
        <w:t>J. Christopher Holland</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Secretary, Administrative Committee</w:t>
      </w:r>
    </w:p>
    <w:p>
      <w:pPr>
        <w:spacing w:after="0" w:line="193" w:lineRule="exact"/>
        <w:rPr>
          <w:sz w:val="20"/>
          <w:szCs w:val="20"/>
          <w:color w:val="auto"/>
        </w:rPr>
      </w:pPr>
    </w:p>
    <w:p>
      <w:pPr>
        <w:sectPr>
          <w:pgSz w:w="11900" w:h="16838" w:orient="portrait"/>
          <w:cols w:equalWidth="0" w:num="2">
            <w:col w:w="2980" w:space="0"/>
            <w:col w:w="7239"/>
          </w:cols>
          <w:pgMar w:left="240" w:top="648" w:right="1440" w:bottom="1440" w:gutter="0" w:footer="0" w:header="0"/>
          <w:type w:val="continuous"/>
        </w:sectPr>
      </w:pPr>
    </w:p>
    <w:p>
      <w:pPr>
        <w:spacing w:after="0"/>
        <w:tabs>
          <w:tab w:leader="none" w:pos="62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4"/>
          <w:szCs w:val="14"/>
          <w:color w:val="auto"/>
        </w:rPr>
        <w:t>June 20, 2000</w:t>
      </w:r>
    </w:p>
    <w:p>
      <w:pPr>
        <w:sectPr>
          <w:pgSz w:w="11900" w:h="16838" w:orient="portrait"/>
          <w:cols w:equalWidth="0" w:num="1">
            <w:col w:w="10219"/>
          </w:cols>
          <w:pgMar w:left="240" w:top="648" w:right="1440" w:bottom="1440" w:gutter="0" w:footer="0" w:header="0"/>
          <w:type w:val="continuous"/>
        </w:sectPr>
      </w:pPr>
    </w:p>
    <w:bookmarkStart w:id="2" w:name="page3"/>
    <w:bookmarkEnd w:id="2"/>
    <w:p>
      <w:pPr>
        <w:ind w:left="2420"/>
        <w:spacing w:after="0"/>
        <w:rPr>
          <w:sz w:val="20"/>
          <w:szCs w:val="20"/>
          <w:color w:val="auto"/>
        </w:rPr>
      </w:pPr>
      <w:r>
        <w:rPr>
          <w:rFonts w:ascii="Courier New" w:cs="Courier New" w:eastAsia="Courier New" w:hAnsi="Courier New"/>
          <w:sz w:val="16"/>
          <w:szCs w:val="16"/>
          <w:color w:val="auto"/>
        </w:rPr>
        <w:t>INDEPENDENT AUDITORS' REPORT</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Retirement Plan Committee of the</w:t>
      </w:r>
    </w:p>
    <w:p>
      <w:pPr>
        <w:spacing w:after="0" w:line="236" w:lineRule="auto"/>
        <w:rPr>
          <w:sz w:val="20"/>
          <w:szCs w:val="20"/>
          <w:color w:val="auto"/>
        </w:rPr>
      </w:pPr>
      <w:r>
        <w:rPr>
          <w:rFonts w:ascii="Courier New" w:cs="Courier New" w:eastAsia="Courier New" w:hAnsi="Courier New"/>
          <w:sz w:val="16"/>
          <w:szCs w:val="16"/>
          <w:color w:val="auto"/>
        </w:rPr>
        <w:t>Camco Thrift Plan:</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We have audited the accompanying statements of net assets available for benefits of the Camco Thrift Plan as of December 31, 1999 and 1998, and the related statement of changes in net assets available for benefits for the year ended December 31, 1999. These financial statements are the responsibility of the Plan's management. Our responsibility is to express an opinion on these financial statements based on our audits.</w:t>
      </w:r>
    </w:p>
    <w:p>
      <w:pPr>
        <w:spacing w:after="0" w:line="183"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2"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net assets available for benefits of the Camco Thrift Plan as of December 31, 1999 and 1998, and the changes in net assets available for benefits for the year ended December 31, 1999, in conformity with generally accepted accounting principles.</w:t>
      </w:r>
    </w:p>
    <w:p>
      <w:pPr>
        <w:spacing w:after="0" w:line="186"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Our audits were conducted for the purpose of forming an opinion on the basic financial statements taken as a whole. The supplemental schedules of assets held for investment purposes and reportable transactions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 Fund Information in the statement of changes in net assets available for benefits is presented for purposes of additional analysis rather than to present the changes in net assets available for plan benefits of each fund. The supplemental schedules and Fund Information have been subjected to the auditing procedures applied in the audits of the basic financial statements and, in our opinion, are fairly stated in all material respects in relation to the basic financial statements taken as a whole.</w:t>
      </w:r>
    </w:p>
    <w:p>
      <w:pPr>
        <w:spacing w:after="0" w:line="200" w:lineRule="exact"/>
        <w:rPr>
          <w:sz w:val="20"/>
          <w:szCs w:val="20"/>
          <w:color w:val="auto"/>
        </w:rPr>
      </w:pPr>
    </w:p>
    <w:p>
      <w:pPr>
        <w:spacing w:after="0" w:line="341"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 LARKIN, ERVIN &amp; SHIRLEY,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236" w:lineRule="auto"/>
        <w:rPr>
          <w:sz w:val="20"/>
          <w:szCs w:val="20"/>
          <w:color w:val="auto"/>
        </w:rPr>
      </w:pPr>
      <w:r>
        <w:rPr>
          <w:rFonts w:ascii="Courier New" w:cs="Courier New" w:eastAsia="Courier New" w:hAnsi="Courier New"/>
          <w:sz w:val="16"/>
          <w:szCs w:val="16"/>
          <w:color w:val="auto"/>
        </w:rPr>
        <w:t>June 20, 2000</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48" w:right="1440" w:bottom="1440" w:gutter="0" w:footer="0" w:header="0"/>
        </w:sectPr>
      </w:pPr>
    </w:p>
    <w:bookmarkStart w:id="3" w:name="page4"/>
    <w:bookmarkEnd w:id="3"/>
    <w:p>
      <w:pPr>
        <w:jc w:val="center"/>
        <w:ind w:right="2880"/>
        <w:spacing w:after="0"/>
        <w:rPr>
          <w:sz w:val="20"/>
          <w:szCs w:val="20"/>
          <w:color w:val="auto"/>
        </w:rPr>
      </w:pPr>
      <w:r>
        <w:rPr>
          <w:rFonts w:ascii="Courier New" w:cs="Courier New" w:eastAsia="Courier New" w:hAnsi="Courier New"/>
          <w:sz w:val="16"/>
          <w:szCs w:val="16"/>
          <w:color w:val="auto"/>
        </w:rPr>
        <w:t>CAMCO THRIFT PLAN</w:t>
      </w:r>
    </w:p>
    <w:p>
      <w:pPr>
        <w:jc w:val="center"/>
        <w:ind w:right="2880"/>
        <w:spacing w:after="0" w:line="236" w:lineRule="auto"/>
        <w:rPr>
          <w:sz w:val="20"/>
          <w:szCs w:val="20"/>
          <w:color w:val="auto"/>
        </w:rPr>
      </w:pPr>
      <w:r>
        <w:rPr>
          <w:rFonts w:ascii="Courier New" w:cs="Courier New" w:eastAsia="Courier New" w:hAnsi="Courier New"/>
          <w:sz w:val="16"/>
          <w:szCs w:val="16"/>
          <w:color w:val="auto"/>
        </w:rPr>
        <w:t>Statements of Net Assets Available for Benefits</w:t>
      </w:r>
    </w:p>
    <w:p>
      <w:pPr>
        <w:jc w:val="center"/>
        <w:ind w:right="2880"/>
        <w:spacing w:after="0" w:line="237" w:lineRule="auto"/>
        <w:rPr>
          <w:sz w:val="20"/>
          <w:szCs w:val="20"/>
          <w:color w:val="auto"/>
        </w:rPr>
      </w:pPr>
      <w:r>
        <w:rPr>
          <w:rFonts w:ascii="Courier New" w:cs="Courier New" w:eastAsia="Courier New" w:hAnsi="Courier New"/>
          <w:sz w:val="16"/>
          <w:szCs w:val="16"/>
          <w:color w:val="auto"/>
        </w:rPr>
        <w:t>December 31</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8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1999</w:t>
            </w:r>
          </w:p>
        </w:tc>
        <w:tc>
          <w:tcPr>
            <w:tcW w:w="920" w:type="dxa"/>
            <w:vAlign w:val="bottom"/>
          </w:tcPr>
          <w:p>
            <w:pPr>
              <w:spacing w:after="0"/>
              <w:rPr>
                <w:sz w:val="15"/>
                <w:szCs w:val="15"/>
                <w:color w:val="auto"/>
              </w:rPr>
            </w:pPr>
          </w:p>
        </w:tc>
        <w:tc>
          <w:tcPr>
            <w:tcW w:w="130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4780" w:type="dxa"/>
            <w:vAlign w:val="bottom"/>
          </w:tcPr>
          <w:p>
            <w:pPr>
              <w:spacing w:after="0"/>
              <w:rPr>
                <w:sz w:val="15"/>
                <w:szCs w:val="15"/>
                <w:color w:val="auto"/>
              </w:rPr>
            </w:pPr>
          </w:p>
        </w:tc>
        <w:tc>
          <w:tcPr>
            <w:tcW w:w="322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80" w:type="dxa"/>
            <w:vAlign w:val="bottom"/>
          </w:tcPr>
          <w:p>
            <w:pPr>
              <w:ind w:left="2320"/>
              <w:spacing w:after="0"/>
              <w:rPr>
                <w:sz w:val="20"/>
                <w:szCs w:val="20"/>
                <w:color w:val="auto"/>
              </w:rPr>
            </w:pPr>
            <w:r>
              <w:rPr>
                <w:rFonts w:ascii="Courier New" w:cs="Courier New" w:eastAsia="Courier New" w:hAnsi="Courier New"/>
                <w:sz w:val="16"/>
                <w:szCs w:val="16"/>
                <w:color w:val="auto"/>
              </w:rPr>
              <w:t>Assets</w:t>
            </w: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Investments:</w:t>
            </w:r>
          </w:p>
        </w:tc>
        <w:tc>
          <w:tcPr>
            <w:tcW w:w="1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4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At fair value -</w:t>
            </w:r>
          </w:p>
        </w:tc>
        <w:tc>
          <w:tcPr>
            <w:tcW w:w="1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47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Registered investment company shares:</w:t>
            </w:r>
          </w:p>
        </w:tc>
        <w:tc>
          <w:tcPr>
            <w:tcW w:w="1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4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AXP International Fund</w:t>
            </w:r>
          </w:p>
        </w:tc>
        <w:tc>
          <w:tcPr>
            <w:tcW w:w="16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3,380,946</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2,862,437</w:t>
            </w:r>
          </w:p>
        </w:tc>
      </w:tr>
      <w:tr>
        <w:trPr>
          <w:trHeight w:val="179"/>
        </w:trPr>
        <w:tc>
          <w:tcPr>
            <w:tcW w:w="4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AXP New Dimensions Fund</w:t>
            </w:r>
          </w:p>
        </w:tc>
        <w:tc>
          <w:tcPr>
            <w:tcW w:w="1640" w:type="dxa"/>
            <w:vAlign w:val="bottom"/>
          </w:tcPr>
          <w:p>
            <w:pPr>
              <w:spacing w:after="0"/>
              <w:rPr>
                <w:sz w:val="15"/>
                <w:szCs w:val="15"/>
                <w:color w:val="auto"/>
              </w:rPr>
            </w:pP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39,757,745</w:t>
            </w:r>
          </w:p>
        </w:tc>
        <w:tc>
          <w:tcPr>
            <w:tcW w:w="92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33,372,154</w:t>
            </w:r>
          </w:p>
        </w:tc>
      </w:tr>
      <w:tr>
        <w:trPr>
          <w:trHeight w:val="179"/>
        </w:trPr>
        <w:tc>
          <w:tcPr>
            <w:tcW w:w="4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AXP Mutual Fund</w:t>
            </w:r>
          </w:p>
        </w:tc>
        <w:tc>
          <w:tcPr>
            <w:tcW w:w="1640" w:type="dxa"/>
            <w:vAlign w:val="bottom"/>
          </w:tcPr>
          <w:p>
            <w:pPr>
              <w:spacing w:after="0"/>
              <w:rPr>
                <w:sz w:val="15"/>
                <w:szCs w:val="15"/>
                <w:color w:val="auto"/>
              </w:rPr>
            </w:pP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8,525,930</w:t>
            </w:r>
          </w:p>
        </w:tc>
        <w:tc>
          <w:tcPr>
            <w:tcW w:w="92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9,973,266</w:t>
            </w:r>
          </w:p>
        </w:tc>
      </w:tr>
      <w:tr>
        <w:trPr>
          <w:trHeight w:val="179"/>
        </w:trPr>
        <w:tc>
          <w:tcPr>
            <w:tcW w:w="4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AXP Federal Income Fund</w:t>
            </w:r>
          </w:p>
        </w:tc>
        <w:tc>
          <w:tcPr>
            <w:tcW w:w="1640" w:type="dxa"/>
            <w:vAlign w:val="bottom"/>
          </w:tcPr>
          <w:p>
            <w:pPr>
              <w:spacing w:after="0"/>
              <w:rPr>
                <w:sz w:val="15"/>
                <w:szCs w:val="15"/>
                <w:color w:val="auto"/>
              </w:rPr>
            </w:pP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17,304,202</w:t>
            </w:r>
          </w:p>
        </w:tc>
        <w:tc>
          <w:tcPr>
            <w:tcW w:w="92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21,336,933</w:t>
            </w:r>
          </w:p>
        </w:tc>
      </w:tr>
      <w:tr>
        <w:trPr>
          <w:trHeight w:val="179"/>
        </w:trPr>
        <w:tc>
          <w:tcPr>
            <w:tcW w:w="4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AIM Constellation Fund</w:t>
            </w:r>
          </w:p>
        </w:tc>
        <w:tc>
          <w:tcPr>
            <w:tcW w:w="1640" w:type="dxa"/>
            <w:vAlign w:val="bottom"/>
          </w:tcPr>
          <w:p>
            <w:pPr>
              <w:spacing w:after="0"/>
              <w:rPr>
                <w:sz w:val="15"/>
                <w:szCs w:val="15"/>
                <w:color w:val="auto"/>
              </w:rPr>
            </w:pP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3,123,706</w:t>
            </w:r>
          </w:p>
        </w:tc>
        <w:tc>
          <w:tcPr>
            <w:tcW w:w="92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1,987,407</w:t>
            </w:r>
          </w:p>
        </w:tc>
      </w:tr>
      <w:tr>
        <w:trPr>
          <w:trHeight w:val="179"/>
        </w:trPr>
        <w:tc>
          <w:tcPr>
            <w:tcW w:w="47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Schlumberger Stock Fund</w:t>
            </w:r>
          </w:p>
        </w:tc>
        <w:tc>
          <w:tcPr>
            <w:tcW w:w="1640" w:type="dxa"/>
            <w:vAlign w:val="bottom"/>
          </w:tcPr>
          <w:p>
            <w:pPr>
              <w:spacing w:after="0"/>
              <w:rPr>
                <w:sz w:val="15"/>
                <w:szCs w:val="15"/>
                <w:color w:val="auto"/>
              </w:rPr>
            </w:pP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5,842,585</w:t>
            </w:r>
          </w:p>
        </w:tc>
        <w:tc>
          <w:tcPr>
            <w:tcW w:w="92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3,806,231</w:t>
            </w:r>
          </w:p>
        </w:tc>
      </w:tr>
      <w:tr>
        <w:trPr>
          <w:trHeight w:val="179"/>
        </w:trPr>
        <w:tc>
          <w:tcPr>
            <w:tcW w:w="47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Participant notes receivable</w:t>
            </w:r>
          </w:p>
        </w:tc>
        <w:tc>
          <w:tcPr>
            <w:tcW w:w="1640" w:type="dxa"/>
            <w:vAlign w:val="bottom"/>
          </w:tcPr>
          <w:p>
            <w:pPr>
              <w:spacing w:after="0"/>
              <w:rPr>
                <w:sz w:val="15"/>
                <w:szCs w:val="15"/>
                <w:color w:val="auto"/>
              </w:rPr>
            </w:pP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6,455,598</w:t>
            </w:r>
          </w:p>
        </w:tc>
        <w:tc>
          <w:tcPr>
            <w:tcW w:w="92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6,890,466</w:t>
            </w:r>
          </w:p>
        </w:tc>
      </w:tr>
      <w:tr>
        <w:trPr>
          <w:trHeight w:val="179"/>
        </w:trPr>
        <w:tc>
          <w:tcPr>
            <w:tcW w:w="4780" w:type="dxa"/>
            <w:vAlign w:val="bottom"/>
          </w:tcPr>
          <w:p>
            <w:pPr>
              <w:spacing w:after="0"/>
              <w:rPr>
                <w:sz w:val="15"/>
                <w:szCs w:val="15"/>
                <w:color w:val="auto"/>
              </w:rPr>
            </w:pPr>
          </w:p>
        </w:tc>
        <w:tc>
          <w:tcPr>
            <w:tcW w:w="322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84,390,712</w:t>
            </w:r>
          </w:p>
        </w:tc>
        <w:tc>
          <w:tcPr>
            <w:tcW w:w="92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80,228,894</w:t>
            </w:r>
          </w:p>
        </w:tc>
      </w:tr>
      <w:tr>
        <w:trPr>
          <w:trHeight w:val="179"/>
        </w:trPr>
        <w:tc>
          <w:tcPr>
            <w:tcW w:w="4780" w:type="dxa"/>
            <w:vAlign w:val="bottom"/>
          </w:tcPr>
          <w:p>
            <w:pPr>
              <w:spacing w:after="0"/>
              <w:rPr>
                <w:sz w:val="15"/>
                <w:szCs w:val="15"/>
                <w:color w:val="auto"/>
              </w:rPr>
            </w:pPr>
          </w:p>
        </w:tc>
        <w:tc>
          <w:tcPr>
            <w:tcW w:w="322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At contract value -</w:t>
            </w:r>
          </w:p>
        </w:tc>
        <w:tc>
          <w:tcPr>
            <w:tcW w:w="1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4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AET Equity Index Fund I</w:t>
            </w:r>
          </w:p>
        </w:tc>
        <w:tc>
          <w:tcPr>
            <w:tcW w:w="1640" w:type="dxa"/>
            <w:vAlign w:val="bottom"/>
          </w:tcPr>
          <w:p>
            <w:pPr>
              <w:spacing w:after="0"/>
              <w:rPr>
                <w:sz w:val="15"/>
                <w:szCs w:val="15"/>
                <w:color w:val="auto"/>
              </w:rPr>
            </w:pP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15,976,063</w:t>
            </w:r>
          </w:p>
        </w:tc>
        <w:tc>
          <w:tcPr>
            <w:tcW w:w="92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13,935,694</w:t>
            </w:r>
          </w:p>
        </w:tc>
      </w:tr>
      <w:tr>
        <w:trPr>
          <w:trHeight w:val="179"/>
        </w:trPr>
        <w:tc>
          <w:tcPr>
            <w:tcW w:w="4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AET Income Fund II</w:t>
            </w:r>
          </w:p>
        </w:tc>
        <w:tc>
          <w:tcPr>
            <w:tcW w:w="1640" w:type="dxa"/>
            <w:vAlign w:val="bottom"/>
          </w:tcPr>
          <w:p>
            <w:pPr>
              <w:spacing w:after="0"/>
              <w:rPr>
                <w:sz w:val="15"/>
                <w:szCs w:val="15"/>
                <w:color w:val="auto"/>
              </w:rPr>
            </w:pP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25,777,393</w:t>
            </w:r>
          </w:p>
        </w:tc>
        <w:tc>
          <w:tcPr>
            <w:tcW w:w="92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25,562,380</w:t>
            </w:r>
          </w:p>
        </w:tc>
      </w:tr>
      <w:tr>
        <w:trPr>
          <w:trHeight w:val="179"/>
        </w:trPr>
        <w:tc>
          <w:tcPr>
            <w:tcW w:w="4780" w:type="dxa"/>
            <w:vAlign w:val="bottom"/>
          </w:tcPr>
          <w:p>
            <w:pPr>
              <w:spacing w:after="0"/>
              <w:rPr>
                <w:sz w:val="15"/>
                <w:szCs w:val="15"/>
                <w:color w:val="auto"/>
              </w:rPr>
            </w:pPr>
          </w:p>
        </w:tc>
        <w:tc>
          <w:tcPr>
            <w:tcW w:w="322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41,753,456</w:t>
            </w:r>
          </w:p>
        </w:tc>
        <w:tc>
          <w:tcPr>
            <w:tcW w:w="92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39,498,074</w:t>
            </w:r>
          </w:p>
        </w:tc>
      </w:tr>
      <w:tr>
        <w:trPr>
          <w:trHeight w:val="179"/>
        </w:trPr>
        <w:tc>
          <w:tcPr>
            <w:tcW w:w="4780" w:type="dxa"/>
            <w:vAlign w:val="bottom"/>
          </w:tcPr>
          <w:p>
            <w:pPr>
              <w:spacing w:after="0"/>
              <w:rPr>
                <w:sz w:val="15"/>
                <w:szCs w:val="15"/>
                <w:color w:val="auto"/>
              </w:rPr>
            </w:pPr>
          </w:p>
        </w:tc>
        <w:tc>
          <w:tcPr>
            <w:tcW w:w="322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Total investments</w:t>
            </w:r>
          </w:p>
        </w:tc>
        <w:tc>
          <w:tcPr>
            <w:tcW w:w="1640" w:type="dxa"/>
            <w:vAlign w:val="bottom"/>
          </w:tcPr>
          <w:p>
            <w:pPr>
              <w:spacing w:after="0"/>
              <w:rPr>
                <w:sz w:val="15"/>
                <w:szCs w:val="15"/>
                <w:color w:val="auto"/>
              </w:rPr>
            </w:pP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w w:val="94"/>
              </w:rPr>
              <w:t>126,144,168</w:t>
            </w:r>
          </w:p>
        </w:tc>
        <w:tc>
          <w:tcPr>
            <w:tcW w:w="92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119,726,968</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assets</w:t>
            </w:r>
          </w:p>
        </w:tc>
        <w:tc>
          <w:tcPr>
            <w:tcW w:w="1640" w:type="dxa"/>
            <w:vAlign w:val="bottom"/>
          </w:tcPr>
          <w:p>
            <w:pPr>
              <w:spacing w:after="0"/>
              <w:rPr>
                <w:sz w:val="15"/>
                <w:szCs w:val="15"/>
                <w:color w:val="auto"/>
              </w:rPr>
            </w:pP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rPr>
                <w:sz w:val="15"/>
                <w:szCs w:val="15"/>
                <w:color w:val="auto"/>
              </w:rPr>
            </w:pPr>
          </w:p>
        </w:tc>
        <w:tc>
          <w:tcPr>
            <w:tcW w:w="322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Total assets</w:t>
            </w:r>
          </w:p>
        </w:tc>
        <w:tc>
          <w:tcPr>
            <w:tcW w:w="1640" w:type="dxa"/>
            <w:vAlign w:val="bottom"/>
          </w:tcPr>
          <w:p>
            <w:pPr>
              <w:spacing w:after="0"/>
              <w:rPr>
                <w:sz w:val="15"/>
                <w:szCs w:val="15"/>
                <w:color w:val="auto"/>
              </w:rPr>
            </w:pP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w w:val="94"/>
              </w:rPr>
              <w:t>126,144,168</w:t>
            </w:r>
          </w:p>
        </w:tc>
        <w:tc>
          <w:tcPr>
            <w:tcW w:w="92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119,726,968</w:t>
            </w:r>
          </w:p>
        </w:tc>
      </w:tr>
      <w:tr>
        <w:trPr>
          <w:trHeight w:val="179"/>
        </w:trPr>
        <w:tc>
          <w:tcPr>
            <w:tcW w:w="478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Liabilities</w:t>
            </w:r>
          </w:p>
        </w:tc>
        <w:tc>
          <w:tcPr>
            <w:tcW w:w="1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liabilities</w:t>
            </w:r>
          </w:p>
        </w:tc>
        <w:tc>
          <w:tcPr>
            <w:tcW w:w="1640" w:type="dxa"/>
            <w:vAlign w:val="bottom"/>
          </w:tcPr>
          <w:p>
            <w:pPr>
              <w:spacing w:after="0"/>
              <w:rPr>
                <w:sz w:val="15"/>
                <w:szCs w:val="15"/>
                <w:color w:val="auto"/>
              </w:rPr>
            </w:pP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rPr>
                <w:sz w:val="15"/>
                <w:szCs w:val="15"/>
                <w:color w:val="auto"/>
              </w:rPr>
            </w:pPr>
          </w:p>
        </w:tc>
        <w:tc>
          <w:tcPr>
            <w:tcW w:w="322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Net assets available for benefits</w:t>
            </w:r>
          </w:p>
        </w:tc>
        <w:tc>
          <w:tcPr>
            <w:tcW w:w="16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w w:val="94"/>
              </w:rPr>
              <w:t>126,144,168</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119,726,968</w:t>
            </w:r>
          </w:p>
        </w:tc>
      </w:tr>
      <w:tr>
        <w:trPr>
          <w:trHeight w:val="179"/>
        </w:trPr>
        <w:tc>
          <w:tcPr>
            <w:tcW w:w="4780" w:type="dxa"/>
            <w:vAlign w:val="bottom"/>
          </w:tcPr>
          <w:p>
            <w:pPr>
              <w:spacing w:after="0"/>
              <w:rPr>
                <w:sz w:val="15"/>
                <w:szCs w:val="15"/>
                <w:color w:val="auto"/>
              </w:rPr>
            </w:pPr>
          </w:p>
        </w:tc>
        <w:tc>
          <w:tcPr>
            <w:tcW w:w="322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The accompanying notes are an integral</w:t>
      </w:r>
    </w:p>
    <w:p>
      <w:pPr>
        <w:ind w:left="2040"/>
        <w:spacing w:after="0" w:line="236" w:lineRule="auto"/>
        <w:rPr>
          <w:sz w:val="20"/>
          <w:szCs w:val="20"/>
          <w:color w:val="auto"/>
        </w:rPr>
      </w:pPr>
      <w:r>
        <w:rPr>
          <w:rFonts w:ascii="Courier New" w:cs="Courier New" w:eastAsia="Courier New" w:hAnsi="Courier New"/>
          <w:sz w:val="16"/>
          <w:szCs w:val="16"/>
          <w:color w:val="auto"/>
        </w:rPr>
        <w:t>part of these 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0"/>
          </w:cols>
          <w:pgMar w:left="240" w:top="648" w:right="1439" w:bottom="1440" w:gutter="0" w:footer="0" w:header="0"/>
        </w:sectPr>
      </w:pPr>
    </w:p>
    <w:bookmarkStart w:id="4" w:name="page5"/>
    <w:bookmarkEnd w:id="4"/>
    <w:p>
      <w:pPr>
        <w:jc w:val="center"/>
        <w:ind w:right="3260"/>
        <w:spacing w:after="0"/>
        <w:rPr>
          <w:sz w:val="20"/>
          <w:szCs w:val="20"/>
          <w:color w:val="auto"/>
        </w:rPr>
      </w:pPr>
      <w:r>
        <w:rPr>
          <w:rFonts w:ascii="Courier New" w:cs="Courier New" w:eastAsia="Courier New" w:hAnsi="Courier New"/>
          <w:sz w:val="16"/>
          <w:szCs w:val="16"/>
          <w:color w:val="auto"/>
        </w:rPr>
        <w:t>CAMCO THRIFT PLAN</w:t>
      </w:r>
    </w:p>
    <w:p>
      <w:pPr>
        <w:jc w:val="center"/>
        <w:ind w:right="3260"/>
        <w:spacing w:after="0" w:line="236" w:lineRule="auto"/>
        <w:rPr>
          <w:sz w:val="20"/>
          <w:szCs w:val="20"/>
          <w:color w:val="auto"/>
        </w:rPr>
      </w:pPr>
      <w:r>
        <w:rPr>
          <w:rFonts w:ascii="Courier New" w:cs="Courier New" w:eastAsia="Courier New" w:hAnsi="Courier New"/>
          <w:sz w:val="16"/>
          <w:szCs w:val="16"/>
          <w:color w:val="auto"/>
        </w:rPr>
        <w:t>Statement of Changes in Net Assets Available for Benefits</w:t>
      </w:r>
    </w:p>
    <w:p>
      <w:pPr>
        <w:jc w:val="center"/>
        <w:ind w:right="3260"/>
        <w:spacing w:after="0" w:line="237" w:lineRule="auto"/>
        <w:rPr>
          <w:sz w:val="20"/>
          <w:szCs w:val="20"/>
          <w:color w:val="auto"/>
        </w:rPr>
      </w:pPr>
      <w:r>
        <w:rPr>
          <w:rFonts w:ascii="Courier New" w:cs="Courier New" w:eastAsia="Courier New" w:hAnsi="Courier New"/>
          <w:sz w:val="16"/>
          <w:szCs w:val="16"/>
          <w:color w:val="auto"/>
        </w:rPr>
        <w:t>with Fund Information</w:t>
      </w:r>
    </w:p>
    <w:tbl>
      <w:tblPr>
        <w:tblLayout w:type="fixed"/>
        <w:tblInd w:w="0" w:type="dxa"/>
        <w:tblCellMar>
          <w:top w:w="0" w:type="dxa"/>
          <w:left w:w="0" w:type="dxa"/>
          <w:bottom w:w="0" w:type="dxa"/>
          <w:right w:w="0" w:type="dxa"/>
        </w:tblCellMar>
      </w:tblPr>
      <w:tr>
        <w:trPr>
          <w:trHeight w:val="179"/>
        </w:trPr>
        <w:tc>
          <w:tcPr>
            <w:tcW w:w="6560" w:type="dxa"/>
            <w:vAlign w:val="bottom"/>
            <w:gridSpan w:val="4"/>
          </w:tcPr>
          <w:p>
            <w:pPr>
              <w:jc w:val="right"/>
              <w:ind w:right="1082"/>
              <w:spacing w:after="0" w:line="179" w:lineRule="exact"/>
              <w:rPr>
                <w:sz w:val="20"/>
                <w:szCs w:val="20"/>
                <w:color w:val="auto"/>
              </w:rPr>
            </w:pPr>
            <w:r>
              <w:rPr>
                <w:rFonts w:ascii="Courier New" w:cs="Courier New" w:eastAsia="Courier New" w:hAnsi="Courier New"/>
                <w:sz w:val="16"/>
                <w:szCs w:val="16"/>
                <w:color w:val="auto"/>
              </w:rPr>
              <w:t>For the Year Ended December 31, 1999</w:t>
            </w: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894"/>
        </w:trPr>
        <w:tc>
          <w:tcPr>
            <w:tcW w:w="3620" w:type="dxa"/>
            <w:vAlign w:val="bottom"/>
          </w:tcPr>
          <w:p>
            <w:pPr>
              <w:spacing w:after="0"/>
              <w:rPr>
                <w:sz w:val="24"/>
                <w:szCs w:val="24"/>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AXP</w:t>
            </w:r>
          </w:p>
        </w:tc>
        <w:tc>
          <w:tcPr>
            <w:tcW w:w="180" w:type="dxa"/>
            <w:vAlign w:val="bottom"/>
          </w:tcPr>
          <w:p>
            <w:pPr>
              <w:spacing w:after="0"/>
              <w:rPr>
                <w:sz w:val="24"/>
                <w:szCs w:val="24"/>
                <w:color w:val="auto"/>
              </w:rPr>
            </w:pP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rPr>
              <w:t>AXP New</w:t>
            </w:r>
          </w:p>
        </w:tc>
        <w:tc>
          <w:tcPr>
            <w:tcW w:w="1440" w:type="dxa"/>
            <w:vAlign w:val="bottom"/>
          </w:tcPr>
          <w:p>
            <w:pPr>
              <w:ind w:left="500"/>
              <w:spacing w:after="0"/>
              <w:rPr>
                <w:sz w:val="20"/>
                <w:szCs w:val="20"/>
                <w:color w:val="auto"/>
              </w:rPr>
            </w:pPr>
            <w:r>
              <w:rPr>
                <w:rFonts w:ascii="Courier New" w:cs="Courier New" w:eastAsia="Courier New" w:hAnsi="Courier New"/>
                <w:sz w:val="16"/>
                <w:szCs w:val="16"/>
                <w:color w:val="auto"/>
              </w:rPr>
              <w:t>AXP</w:t>
            </w:r>
          </w:p>
        </w:tc>
        <w:tc>
          <w:tcPr>
            <w:tcW w:w="134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AXP</w:t>
            </w:r>
          </w:p>
        </w:tc>
        <w:tc>
          <w:tcPr>
            <w:tcW w:w="1260" w:type="dxa"/>
            <w:vAlign w:val="bottom"/>
          </w:tcPr>
          <w:p>
            <w:pPr>
              <w:ind w:left="420"/>
              <w:spacing w:after="0"/>
              <w:rPr>
                <w:sz w:val="20"/>
                <w:szCs w:val="20"/>
                <w:color w:val="auto"/>
              </w:rPr>
            </w:pPr>
            <w:r>
              <w:rPr>
                <w:rFonts w:ascii="Courier New" w:cs="Courier New" w:eastAsia="Courier New" w:hAnsi="Courier New"/>
                <w:sz w:val="16"/>
                <w:szCs w:val="16"/>
                <w:color w:val="auto"/>
              </w:rPr>
              <w:t>AIM</w:t>
            </w:r>
          </w:p>
        </w:tc>
      </w:tr>
      <w:tr>
        <w:trPr>
          <w:trHeight w:val="179"/>
        </w:trPr>
        <w:tc>
          <w:tcPr>
            <w:tcW w:w="3620" w:type="dxa"/>
            <w:vAlign w:val="bottom"/>
          </w:tcPr>
          <w:p>
            <w:pPr>
              <w:spacing w:after="0"/>
              <w:rPr>
                <w:sz w:val="15"/>
                <w:szCs w:val="15"/>
                <w:color w:val="auto"/>
              </w:rPr>
            </w:pP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International</w:t>
            </w:r>
          </w:p>
        </w:tc>
        <w:tc>
          <w:tcPr>
            <w:tcW w:w="180" w:type="dxa"/>
            <w:vAlign w:val="bottom"/>
          </w:tcPr>
          <w:p>
            <w:pPr>
              <w:spacing w:after="0"/>
              <w:rPr>
                <w:sz w:val="15"/>
                <w:szCs w:val="15"/>
                <w:color w:val="auto"/>
              </w:rPr>
            </w:pPr>
          </w:p>
        </w:tc>
        <w:tc>
          <w:tcPr>
            <w:tcW w:w="13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5"/>
              </w:rPr>
              <w:t>Dimensions</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Mutual</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Federal</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Constellation</w:t>
            </w:r>
          </w:p>
        </w:tc>
      </w:tr>
      <w:tr>
        <w:trPr>
          <w:trHeight w:val="179"/>
        </w:trPr>
        <w:tc>
          <w:tcPr>
            <w:tcW w:w="3620" w:type="dxa"/>
            <w:vAlign w:val="bottom"/>
          </w:tcPr>
          <w:p>
            <w:pPr>
              <w:spacing w:after="0"/>
              <w:rPr>
                <w:sz w:val="15"/>
                <w:szCs w:val="15"/>
                <w:color w:val="auto"/>
              </w:rPr>
            </w:pPr>
          </w:p>
        </w:tc>
        <w:tc>
          <w:tcPr>
            <w:tcW w:w="14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Fund</w:t>
            </w:r>
          </w:p>
        </w:tc>
        <w:tc>
          <w:tcPr>
            <w:tcW w:w="180" w:type="dxa"/>
            <w:vAlign w:val="bottom"/>
          </w:tcPr>
          <w:p>
            <w:pPr>
              <w:spacing w:after="0"/>
              <w:rPr>
                <w:sz w:val="15"/>
                <w:szCs w:val="15"/>
                <w:color w:val="auto"/>
              </w:rPr>
            </w:pPr>
          </w:p>
        </w:tc>
        <w:tc>
          <w:tcPr>
            <w:tcW w:w="136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Fund</w:t>
            </w:r>
          </w:p>
        </w:tc>
        <w:tc>
          <w:tcPr>
            <w:tcW w:w="144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Fund</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Income Fund</w:t>
            </w:r>
          </w:p>
        </w:tc>
        <w:tc>
          <w:tcPr>
            <w:tcW w:w="126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Fund</w:t>
            </w:r>
          </w:p>
        </w:tc>
      </w:tr>
      <w:tr>
        <w:trPr>
          <w:trHeight w:val="179"/>
        </w:trPr>
        <w:tc>
          <w:tcPr>
            <w:tcW w:w="3620" w:type="dxa"/>
            <w:vAlign w:val="bottom"/>
          </w:tcPr>
          <w:p>
            <w:pPr>
              <w:spacing w:after="0"/>
              <w:rPr>
                <w:sz w:val="15"/>
                <w:szCs w:val="15"/>
                <w:color w:val="auto"/>
              </w:rPr>
            </w:pP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3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5"/>
              </w:rPr>
              <w:t>----------</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358"/>
        </w:trPr>
        <w:tc>
          <w:tcPr>
            <w:tcW w:w="3620" w:type="dxa"/>
            <w:vAlign w:val="bottom"/>
          </w:tcPr>
          <w:p>
            <w:pPr>
              <w:spacing w:after="0"/>
              <w:rPr>
                <w:sz w:val="20"/>
                <w:szCs w:val="20"/>
                <w:color w:val="auto"/>
              </w:rPr>
            </w:pPr>
            <w:r>
              <w:rPr>
                <w:rFonts w:ascii="Courier New" w:cs="Courier New" w:eastAsia="Courier New" w:hAnsi="Courier New"/>
                <w:sz w:val="16"/>
                <w:szCs w:val="16"/>
                <w:color w:val="auto"/>
              </w:rPr>
              <w:t>Additions</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Additions to net assets attributed to:</w:t>
            </w: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36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Investment income</w:t>
            </w: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36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9"/>
              </w:rPr>
              <w:t>Net appreciation/(depreciation) in</w:t>
            </w: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36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fair value of investments</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584,555</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7,602,617</w:t>
            </w:r>
          </w:p>
        </w:tc>
        <w:tc>
          <w:tcPr>
            <w:tcW w:w="14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  (127,382)</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$(1,106,547)</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697,833</w:t>
            </w:r>
          </w:p>
        </w:tc>
      </w:tr>
      <w:tr>
        <w:trPr>
          <w:trHeight w:val="179"/>
        </w:trPr>
        <w:tc>
          <w:tcPr>
            <w:tcW w:w="36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Interest</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Dividends</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472,322</w:t>
            </w:r>
          </w:p>
        </w:tc>
        <w:tc>
          <w:tcPr>
            <w:tcW w:w="18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2,260,726</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805,552</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1,336,581</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239,486</w:t>
            </w:r>
          </w:p>
        </w:tc>
      </w:tr>
      <w:tr>
        <w:trPr>
          <w:trHeight w:val="179"/>
        </w:trPr>
        <w:tc>
          <w:tcPr>
            <w:tcW w:w="362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1,056,877</w:t>
            </w:r>
          </w:p>
        </w:tc>
        <w:tc>
          <w:tcPr>
            <w:tcW w:w="18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9,863,343</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678,170</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230,034</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937,319</w:t>
            </w:r>
          </w:p>
        </w:tc>
      </w:tr>
      <w:tr>
        <w:trPr>
          <w:trHeight w:val="179"/>
        </w:trPr>
        <w:tc>
          <w:tcPr>
            <w:tcW w:w="362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Contributions</w:t>
            </w: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36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Participants'</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302,424</w:t>
            </w:r>
          </w:p>
        </w:tc>
        <w:tc>
          <w:tcPr>
            <w:tcW w:w="18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2,079,570</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629,357</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942,327</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156,372</w:t>
            </w:r>
          </w:p>
        </w:tc>
      </w:tr>
      <w:tr>
        <w:trPr>
          <w:trHeight w:val="179"/>
        </w:trPr>
        <w:tc>
          <w:tcPr>
            <w:tcW w:w="36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Employer's</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64,367</w:t>
            </w:r>
          </w:p>
        </w:tc>
        <w:tc>
          <w:tcPr>
            <w:tcW w:w="18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458,948</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139,732</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275,702</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35,876</w:t>
            </w:r>
          </w:p>
        </w:tc>
      </w:tr>
      <w:tr>
        <w:trPr>
          <w:trHeight w:val="179"/>
        </w:trPr>
        <w:tc>
          <w:tcPr>
            <w:tcW w:w="362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366,791</w:t>
            </w:r>
          </w:p>
        </w:tc>
        <w:tc>
          <w:tcPr>
            <w:tcW w:w="18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2,538,518</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769,089</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1,218,029</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192,248</w:t>
            </w:r>
          </w:p>
        </w:tc>
      </w:tr>
      <w:tr>
        <w:trPr>
          <w:trHeight w:val="179"/>
        </w:trPr>
        <w:tc>
          <w:tcPr>
            <w:tcW w:w="362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Total additions</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1,423,668</w:t>
            </w:r>
          </w:p>
        </w:tc>
        <w:tc>
          <w:tcPr>
            <w:tcW w:w="18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12,401,861</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1,447,259</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1,448,063</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1,129,567</w:t>
            </w:r>
          </w:p>
        </w:tc>
      </w:tr>
      <w:tr>
        <w:trPr>
          <w:trHeight w:val="179"/>
        </w:trPr>
        <w:tc>
          <w:tcPr>
            <w:tcW w:w="362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Deductions</w:t>
            </w: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Deductions from net assets</w:t>
            </w: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36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attributable to:</w:t>
            </w: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36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Benefits paid to participants</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329,204</w:t>
            </w:r>
          </w:p>
        </w:tc>
        <w:tc>
          <w:tcPr>
            <w:tcW w:w="18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5,274,329</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1,688,860</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4,093,123</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384,533</w:t>
            </w:r>
          </w:p>
        </w:tc>
      </w:tr>
      <w:tr>
        <w:trPr>
          <w:trHeight w:val="179"/>
        </w:trPr>
        <w:tc>
          <w:tcPr>
            <w:tcW w:w="36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Administrative expenses</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873</w:t>
            </w:r>
          </w:p>
        </w:tc>
        <w:tc>
          <w:tcPr>
            <w:tcW w:w="18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6,429</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2,104</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5,380</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378</w:t>
            </w:r>
          </w:p>
        </w:tc>
      </w:tr>
      <w:tr>
        <w:trPr>
          <w:trHeight w:val="179"/>
        </w:trPr>
        <w:tc>
          <w:tcPr>
            <w:tcW w:w="362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Total deductions</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330,077</w:t>
            </w:r>
          </w:p>
        </w:tc>
        <w:tc>
          <w:tcPr>
            <w:tcW w:w="18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5,280,758</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1,690,964</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4,098,503</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384,911</w:t>
            </w:r>
          </w:p>
        </w:tc>
      </w:tr>
      <w:tr>
        <w:trPr>
          <w:trHeight w:val="179"/>
        </w:trPr>
        <w:tc>
          <w:tcPr>
            <w:tcW w:w="362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increase/(decrease) prior to</w:t>
            </w: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36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transfers</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1,093,591</w:t>
            </w:r>
          </w:p>
        </w:tc>
        <w:tc>
          <w:tcPr>
            <w:tcW w:w="18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7,121,103</w:t>
            </w:r>
          </w:p>
        </w:tc>
        <w:tc>
          <w:tcPr>
            <w:tcW w:w="14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(243,705)</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(2,650,440)</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744,656</w:t>
            </w:r>
          </w:p>
        </w:tc>
      </w:tr>
      <w:tr>
        <w:trPr>
          <w:trHeight w:val="358"/>
        </w:trPr>
        <w:tc>
          <w:tcPr>
            <w:tcW w:w="3620" w:type="dxa"/>
            <w:vAlign w:val="bottom"/>
          </w:tcPr>
          <w:p>
            <w:pPr>
              <w:spacing w:after="0"/>
              <w:rPr>
                <w:sz w:val="20"/>
                <w:szCs w:val="20"/>
                <w:color w:val="auto"/>
              </w:rPr>
            </w:pPr>
            <w:r>
              <w:rPr>
                <w:rFonts w:ascii="Courier New" w:cs="Courier New" w:eastAsia="Courier New" w:hAnsi="Courier New"/>
                <w:sz w:val="16"/>
                <w:szCs w:val="16"/>
                <w:color w:val="auto"/>
              </w:rPr>
              <w:t>Transfers to/(from) affiliates' plans</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24"/>
                <w:szCs w:val="24"/>
                <w:color w:val="auto"/>
              </w:rPr>
            </w:pP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(76,032)</w:t>
            </w:r>
          </w:p>
        </w:tc>
        <w:tc>
          <w:tcPr>
            <w:tcW w:w="14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(38,893)</w:t>
            </w:r>
          </w:p>
        </w:tc>
        <w:tc>
          <w:tcPr>
            <w:tcW w:w="13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9,619</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58"/>
        </w:trPr>
        <w:tc>
          <w:tcPr>
            <w:tcW w:w="3620" w:type="dxa"/>
            <w:vAlign w:val="bottom"/>
          </w:tcPr>
          <w:p>
            <w:pPr>
              <w:spacing w:after="0"/>
              <w:rPr>
                <w:sz w:val="20"/>
                <w:szCs w:val="20"/>
                <w:color w:val="auto"/>
              </w:rPr>
            </w:pPr>
            <w:r>
              <w:rPr>
                <w:rFonts w:ascii="Courier New" w:cs="Courier New" w:eastAsia="Courier New" w:hAnsi="Courier New"/>
                <w:sz w:val="16"/>
                <w:szCs w:val="16"/>
                <w:color w:val="auto"/>
              </w:rPr>
              <w:t>Interfund transfers</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(575,082)</w:t>
            </w:r>
          </w:p>
        </w:tc>
        <w:tc>
          <w:tcPr>
            <w:tcW w:w="180" w:type="dxa"/>
            <w:vAlign w:val="bottom"/>
          </w:tcPr>
          <w:p>
            <w:pPr>
              <w:spacing w:after="0"/>
              <w:rPr>
                <w:sz w:val="24"/>
                <w:szCs w:val="24"/>
                <w:color w:val="auto"/>
              </w:rPr>
            </w:pP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(659,480)</w:t>
            </w:r>
          </w:p>
        </w:tc>
        <w:tc>
          <w:tcPr>
            <w:tcW w:w="14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(1,164,738)</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(1,391,910)</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391,643</w:t>
            </w:r>
          </w:p>
        </w:tc>
      </w:tr>
      <w:tr>
        <w:trPr>
          <w:trHeight w:val="179"/>
        </w:trPr>
        <w:tc>
          <w:tcPr>
            <w:tcW w:w="362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increase/(decrease)</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518,509</w:t>
            </w:r>
          </w:p>
        </w:tc>
        <w:tc>
          <w:tcPr>
            <w:tcW w:w="18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6,385,591</w:t>
            </w:r>
          </w:p>
        </w:tc>
        <w:tc>
          <w:tcPr>
            <w:tcW w:w="14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(1,447,336)</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(4,032,731)</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1,136,299</w:t>
            </w:r>
          </w:p>
        </w:tc>
      </w:tr>
      <w:tr>
        <w:trPr>
          <w:trHeight w:val="358"/>
        </w:trPr>
        <w:tc>
          <w:tcPr>
            <w:tcW w:w="3620" w:type="dxa"/>
            <w:vAlign w:val="bottom"/>
          </w:tcPr>
          <w:p>
            <w:pPr>
              <w:spacing w:after="0"/>
              <w:rPr>
                <w:sz w:val="20"/>
                <w:szCs w:val="20"/>
                <w:color w:val="auto"/>
              </w:rPr>
            </w:pPr>
            <w:r>
              <w:rPr>
                <w:rFonts w:ascii="Courier New" w:cs="Courier New" w:eastAsia="Courier New" w:hAnsi="Courier New"/>
                <w:sz w:val="16"/>
                <w:szCs w:val="16"/>
                <w:color w:val="auto"/>
              </w:rPr>
              <w:t>Net assets available for benefits:</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9"/>
        </w:trPr>
        <w:tc>
          <w:tcPr>
            <w:tcW w:w="36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Beginning of year</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2,862,437</w:t>
            </w:r>
          </w:p>
        </w:tc>
        <w:tc>
          <w:tcPr>
            <w:tcW w:w="180" w:type="dxa"/>
            <w:vAlign w:val="bottom"/>
          </w:tcPr>
          <w:p>
            <w:pPr>
              <w:spacing w:after="0"/>
              <w:rPr>
                <w:sz w:val="15"/>
                <w:szCs w:val="15"/>
                <w:color w:val="auto"/>
              </w:rPr>
            </w:pP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33,372,154</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9,973,266</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21,336,933</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1,987,407</w:t>
            </w:r>
          </w:p>
        </w:tc>
      </w:tr>
      <w:tr>
        <w:trPr>
          <w:trHeight w:val="179"/>
        </w:trPr>
        <w:tc>
          <w:tcPr>
            <w:tcW w:w="362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End of year</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$3,380,946</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39,757,745</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$ 8,525,930</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$17,304,202</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$3,123,706</w:t>
            </w:r>
          </w:p>
        </w:tc>
      </w:tr>
      <w:tr>
        <w:trPr>
          <w:trHeight w:val="179"/>
        </w:trPr>
        <w:tc>
          <w:tcPr>
            <w:tcW w:w="362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The accompanying notes are an integral</w:t>
      </w:r>
    </w:p>
    <w:p>
      <w:pPr>
        <w:ind w:left="2040"/>
        <w:spacing w:after="0" w:line="236" w:lineRule="auto"/>
        <w:rPr>
          <w:sz w:val="20"/>
          <w:szCs w:val="20"/>
          <w:color w:val="auto"/>
        </w:rPr>
      </w:pPr>
      <w:r>
        <w:rPr>
          <w:rFonts w:ascii="Courier New" w:cs="Courier New" w:eastAsia="Courier New" w:hAnsi="Courier New"/>
          <w:sz w:val="16"/>
          <w:szCs w:val="16"/>
          <w:color w:val="auto"/>
        </w:rPr>
        <w:t>part of these 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600"/>
          </w:cols>
          <w:pgMar w:left="240" w:top="648" w:right="1059" w:bottom="1440" w:gutter="0" w:footer="0" w:header="0"/>
        </w:sectPr>
      </w:pPr>
    </w:p>
    <w:bookmarkStart w:id="5" w:name="page6"/>
    <w:bookmarkEnd w:id="5"/>
    <w:p>
      <w:pPr>
        <w:jc w:val="center"/>
        <w:ind w:right="4180"/>
        <w:spacing w:after="0"/>
        <w:rPr>
          <w:sz w:val="20"/>
          <w:szCs w:val="20"/>
          <w:color w:val="auto"/>
        </w:rPr>
      </w:pPr>
      <w:r>
        <w:rPr>
          <w:rFonts w:ascii="Courier New" w:cs="Courier New" w:eastAsia="Courier New" w:hAnsi="Courier New"/>
          <w:sz w:val="16"/>
          <w:szCs w:val="16"/>
          <w:color w:val="auto"/>
        </w:rPr>
        <w:t>CAMCO THRIFT PLAN</w:t>
      </w:r>
    </w:p>
    <w:p>
      <w:pPr>
        <w:jc w:val="center"/>
        <w:ind w:right="4180"/>
        <w:spacing w:after="0" w:line="236" w:lineRule="auto"/>
        <w:rPr>
          <w:sz w:val="20"/>
          <w:szCs w:val="20"/>
          <w:color w:val="auto"/>
        </w:rPr>
      </w:pPr>
      <w:r>
        <w:rPr>
          <w:rFonts w:ascii="Courier New" w:cs="Courier New" w:eastAsia="Courier New" w:hAnsi="Courier New"/>
          <w:sz w:val="16"/>
          <w:szCs w:val="16"/>
          <w:color w:val="auto"/>
        </w:rPr>
        <w:t>Statement of Changes in Net Assets Available for Benefits</w:t>
      </w:r>
    </w:p>
    <w:p>
      <w:pPr>
        <w:jc w:val="center"/>
        <w:ind w:right="4180"/>
        <w:spacing w:after="0" w:line="237" w:lineRule="auto"/>
        <w:rPr>
          <w:sz w:val="20"/>
          <w:szCs w:val="20"/>
          <w:color w:val="auto"/>
        </w:rPr>
      </w:pPr>
      <w:r>
        <w:rPr>
          <w:rFonts w:ascii="Courier New" w:cs="Courier New" w:eastAsia="Courier New" w:hAnsi="Courier New"/>
          <w:sz w:val="16"/>
          <w:szCs w:val="16"/>
          <w:color w:val="auto"/>
        </w:rPr>
        <w:t>with Fund Information</w:t>
      </w:r>
    </w:p>
    <w:tbl>
      <w:tblPr>
        <w:tblLayout w:type="fixed"/>
        <w:tblInd w:w="0" w:type="dxa"/>
        <w:tblCellMar>
          <w:top w:w="0" w:type="dxa"/>
          <w:left w:w="0" w:type="dxa"/>
          <w:bottom w:w="0" w:type="dxa"/>
          <w:right w:w="0" w:type="dxa"/>
        </w:tblCellMar>
      </w:tblPr>
      <w:tr>
        <w:trPr>
          <w:trHeight w:val="179"/>
        </w:trPr>
        <w:tc>
          <w:tcPr>
            <w:tcW w:w="594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rPr>
              <w:t>For the Year Ended December 31, 1999</w:t>
            </w: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716"/>
        </w:trPr>
        <w:tc>
          <w:tcPr>
            <w:tcW w:w="4320" w:type="dxa"/>
            <w:vAlign w:val="bottom"/>
          </w:tcPr>
          <w:p>
            <w:pPr>
              <w:spacing w:after="0"/>
              <w:rPr>
                <w:sz w:val="24"/>
                <w:szCs w:val="24"/>
                <w:color w:val="auto"/>
              </w:rPr>
            </w:pPr>
          </w:p>
        </w:tc>
        <w:tc>
          <w:tcPr>
            <w:tcW w:w="162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AET</w:t>
            </w:r>
          </w:p>
        </w:tc>
        <w:tc>
          <w:tcPr>
            <w:tcW w:w="14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AET</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4320" w:type="dxa"/>
            <w:vAlign w:val="bottom"/>
          </w:tcPr>
          <w:p>
            <w:pPr>
              <w:spacing w:after="0"/>
              <w:rPr>
                <w:sz w:val="15"/>
                <w:szCs w:val="15"/>
                <w:color w:val="auto"/>
              </w:rPr>
            </w:pPr>
          </w:p>
        </w:tc>
        <w:tc>
          <w:tcPr>
            <w:tcW w:w="16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Equity Index</w:t>
            </w:r>
          </w:p>
        </w:tc>
        <w:tc>
          <w:tcPr>
            <w:tcW w:w="146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Income</w:t>
            </w:r>
          </w:p>
        </w:tc>
        <w:tc>
          <w:tcPr>
            <w:tcW w:w="13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Schlumberger</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Participant</w:t>
            </w:r>
          </w:p>
        </w:tc>
        <w:tc>
          <w:tcPr>
            <w:tcW w:w="1440" w:type="dxa"/>
            <w:vAlign w:val="bottom"/>
          </w:tcPr>
          <w:p>
            <w:pPr>
              <w:spacing w:after="0"/>
              <w:rPr>
                <w:sz w:val="15"/>
                <w:szCs w:val="15"/>
                <w:color w:val="auto"/>
              </w:rPr>
            </w:pPr>
          </w:p>
        </w:tc>
      </w:tr>
      <w:tr>
        <w:trPr>
          <w:trHeight w:val="179"/>
        </w:trPr>
        <w:tc>
          <w:tcPr>
            <w:tcW w:w="4320" w:type="dxa"/>
            <w:vAlign w:val="bottom"/>
          </w:tcPr>
          <w:p>
            <w:pPr>
              <w:spacing w:after="0"/>
              <w:rPr>
                <w:sz w:val="15"/>
                <w:szCs w:val="15"/>
                <w:color w:val="auto"/>
              </w:rPr>
            </w:pPr>
          </w:p>
        </w:tc>
        <w:tc>
          <w:tcPr>
            <w:tcW w:w="16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Fund I</w:t>
            </w:r>
          </w:p>
        </w:tc>
        <w:tc>
          <w:tcPr>
            <w:tcW w:w="146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Fund II</w:t>
            </w:r>
          </w:p>
        </w:tc>
        <w:tc>
          <w:tcPr>
            <w:tcW w:w="13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Stock Fund</w:t>
            </w:r>
          </w:p>
        </w:tc>
        <w:tc>
          <w:tcPr>
            <w:tcW w:w="240" w:type="dxa"/>
            <w:vAlign w:val="bottom"/>
          </w:tcPr>
          <w:p>
            <w:pPr>
              <w:spacing w:after="0"/>
              <w:rPr>
                <w:sz w:val="15"/>
                <w:szCs w:val="15"/>
                <w:color w:val="auto"/>
              </w:rPr>
            </w:pPr>
          </w:p>
        </w:tc>
        <w:tc>
          <w:tcPr>
            <w:tcW w:w="10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Notes</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Total</w:t>
            </w:r>
          </w:p>
        </w:tc>
      </w:tr>
      <w:tr>
        <w:trPr>
          <w:trHeight w:val="179"/>
        </w:trPr>
        <w:tc>
          <w:tcPr>
            <w:tcW w:w="4320" w:type="dxa"/>
            <w:vAlign w:val="bottom"/>
          </w:tcPr>
          <w:p>
            <w:pPr>
              <w:spacing w:after="0"/>
              <w:rPr>
                <w:sz w:val="15"/>
                <w:szCs w:val="15"/>
                <w:color w:val="auto"/>
              </w:rPr>
            </w:pPr>
          </w:p>
        </w:tc>
        <w:tc>
          <w:tcPr>
            <w:tcW w:w="16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w:t>
            </w: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320" w:type="dxa"/>
            <w:vAlign w:val="bottom"/>
          </w:tcPr>
          <w:p>
            <w:pPr>
              <w:spacing w:after="0"/>
              <w:rPr>
                <w:sz w:val="20"/>
                <w:szCs w:val="20"/>
                <w:color w:val="auto"/>
              </w:rPr>
            </w:pPr>
            <w:r>
              <w:rPr>
                <w:rFonts w:ascii="Courier New" w:cs="Courier New" w:eastAsia="Courier New" w:hAnsi="Courier New"/>
                <w:sz w:val="16"/>
                <w:szCs w:val="16"/>
                <w:color w:val="auto"/>
              </w:rPr>
              <w:t>Additions</w:t>
            </w: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4320" w:type="dxa"/>
            <w:vAlign w:val="bottom"/>
          </w:tcPr>
          <w:p>
            <w:pPr>
              <w:spacing w:after="0" w:line="179" w:lineRule="exact"/>
              <w:rPr>
                <w:sz w:val="20"/>
                <w:szCs w:val="20"/>
                <w:color w:val="auto"/>
              </w:rPr>
            </w:pPr>
            <w:r>
              <w:rPr>
                <w:rFonts w:ascii="Courier New" w:cs="Courier New" w:eastAsia="Courier New" w:hAnsi="Courier New"/>
                <w:sz w:val="16"/>
                <w:szCs w:val="16"/>
                <w:color w:val="auto"/>
              </w:rPr>
              <w:t>Additions to net assets attributed to:</w:t>
            </w: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4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Investment income</w:t>
            </w: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43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appreciation/(depreciation) in</w:t>
            </w: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43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fair value of investments</w:t>
            </w: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$ 2,752,885</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$ 1,421,307</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$ 1,390,360</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$ 13,215,628</w:t>
            </w:r>
          </w:p>
        </w:tc>
      </w:tr>
      <w:tr>
        <w:trPr>
          <w:trHeight w:val="179"/>
        </w:trPr>
        <w:tc>
          <w:tcPr>
            <w:tcW w:w="43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Interest</w:t>
            </w: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493,797</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493,797</w:t>
            </w:r>
          </w:p>
        </w:tc>
      </w:tr>
      <w:tr>
        <w:trPr>
          <w:trHeight w:val="179"/>
        </w:trPr>
        <w:tc>
          <w:tcPr>
            <w:tcW w:w="43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Dividends</w:t>
            </w: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47,635</w:t>
            </w:r>
          </w:p>
        </w:tc>
        <w:tc>
          <w:tcPr>
            <w:tcW w:w="2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5,162,318</w:t>
            </w:r>
          </w:p>
        </w:tc>
      </w:tr>
      <w:tr>
        <w:trPr>
          <w:trHeight w:val="179"/>
        </w:trPr>
        <w:tc>
          <w:tcPr>
            <w:tcW w:w="4320" w:type="dxa"/>
            <w:vAlign w:val="bottom"/>
          </w:tcPr>
          <w:p>
            <w:pPr>
              <w:spacing w:after="0"/>
              <w:rPr>
                <w:sz w:val="15"/>
                <w:szCs w:val="15"/>
                <w:color w:val="auto"/>
              </w:rPr>
            </w:pP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20" w:type="dxa"/>
            <w:vAlign w:val="bottom"/>
          </w:tcPr>
          <w:p>
            <w:pPr>
              <w:spacing w:after="0"/>
              <w:rPr>
                <w:sz w:val="15"/>
                <w:szCs w:val="15"/>
                <w:color w:val="auto"/>
              </w:rPr>
            </w:pP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2,752,885</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1,421,323</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1,437,995</w:t>
            </w:r>
          </w:p>
        </w:tc>
        <w:tc>
          <w:tcPr>
            <w:tcW w:w="2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493,797</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18,871,743</w:t>
            </w:r>
          </w:p>
        </w:tc>
      </w:tr>
      <w:tr>
        <w:trPr>
          <w:trHeight w:val="179"/>
        </w:trPr>
        <w:tc>
          <w:tcPr>
            <w:tcW w:w="4320" w:type="dxa"/>
            <w:vAlign w:val="bottom"/>
          </w:tcPr>
          <w:p>
            <w:pPr>
              <w:spacing w:after="0"/>
              <w:rPr>
                <w:sz w:val="15"/>
                <w:szCs w:val="15"/>
                <w:color w:val="auto"/>
              </w:rPr>
            </w:pP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Contributions</w:t>
            </w: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43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Participants'</w:t>
            </w: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959,659</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1,222,784</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448,720</w:t>
            </w:r>
          </w:p>
        </w:tc>
        <w:tc>
          <w:tcPr>
            <w:tcW w:w="2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6,741,213</w:t>
            </w:r>
          </w:p>
        </w:tc>
      </w:tr>
      <w:tr>
        <w:trPr>
          <w:trHeight w:val="179"/>
        </w:trPr>
        <w:tc>
          <w:tcPr>
            <w:tcW w:w="43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Employer's</w:t>
            </w: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205,528</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310,001</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94,474</w:t>
            </w:r>
          </w:p>
        </w:tc>
        <w:tc>
          <w:tcPr>
            <w:tcW w:w="2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1,584,628</w:t>
            </w:r>
          </w:p>
        </w:tc>
      </w:tr>
      <w:tr>
        <w:trPr>
          <w:trHeight w:val="179"/>
        </w:trPr>
        <w:tc>
          <w:tcPr>
            <w:tcW w:w="4320" w:type="dxa"/>
            <w:vAlign w:val="bottom"/>
          </w:tcPr>
          <w:p>
            <w:pPr>
              <w:spacing w:after="0"/>
              <w:rPr>
                <w:sz w:val="15"/>
                <w:szCs w:val="15"/>
                <w:color w:val="auto"/>
              </w:rPr>
            </w:pP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20" w:type="dxa"/>
            <w:vAlign w:val="bottom"/>
          </w:tcPr>
          <w:p>
            <w:pPr>
              <w:spacing w:after="0"/>
              <w:rPr>
                <w:sz w:val="15"/>
                <w:szCs w:val="15"/>
                <w:color w:val="auto"/>
              </w:rPr>
            </w:pP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1,165,187</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1,532,785</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543,194</w:t>
            </w:r>
          </w:p>
        </w:tc>
        <w:tc>
          <w:tcPr>
            <w:tcW w:w="2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8,325,841</w:t>
            </w:r>
          </w:p>
        </w:tc>
      </w:tr>
      <w:tr>
        <w:trPr>
          <w:trHeight w:val="179"/>
        </w:trPr>
        <w:tc>
          <w:tcPr>
            <w:tcW w:w="4320" w:type="dxa"/>
            <w:vAlign w:val="bottom"/>
          </w:tcPr>
          <w:p>
            <w:pPr>
              <w:spacing w:after="0"/>
              <w:rPr>
                <w:sz w:val="15"/>
                <w:szCs w:val="15"/>
                <w:color w:val="auto"/>
              </w:rPr>
            </w:pP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Total additions</w:t>
            </w: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3,918,072</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2,954,108</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1,981,189</w:t>
            </w:r>
          </w:p>
        </w:tc>
        <w:tc>
          <w:tcPr>
            <w:tcW w:w="2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493,797</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27,197,584</w:t>
            </w:r>
          </w:p>
        </w:tc>
      </w:tr>
      <w:tr>
        <w:trPr>
          <w:trHeight w:val="179"/>
        </w:trPr>
        <w:tc>
          <w:tcPr>
            <w:tcW w:w="4320" w:type="dxa"/>
            <w:vAlign w:val="bottom"/>
          </w:tcPr>
          <w:p>
            <w:pPr>
              <w:spacing w:after="0"/>
              <w:rPr>
                <w:sz w:val="15"/>
                <w:szCs w:val="15"/>
                <w:color w:val="auto"/>
              </w:rPr>
            </w:pP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Deductions</w:t>
            </w: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4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Deductions from net assets attributable to:</w:t>
            </w: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43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Benefits paid to participants</w:t>
            </w: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2,285,142</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5,051,841</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594,550</w:t>
            </w:r>
          </w:p>
        </w:tc>
        <w:tc>
          <w:tcPr>
            <w:tcW w:w="2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909,570</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20,611,152</w:t>
            </w:r>
          </w:p>
        </w:tc>
      </w:tr>
      <w:tr>
        <w:trPr>
          <w:trHeight w:val="179"/>
        </w:trPr>
        <w:tc>
          <w:tcPr>
            <w:tcW w:w="43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Administrative expenses</w:t>
            </w: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2,878</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6,790</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1,161</w:t>
            </w:r>
          </w:p>
        </w:tc>
        <w:tc>
          <w:tcPr>
            <w:tcW w:w="2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25,993</w:t>
            </w:r>
          </w:p>
        </w:tc>
      </w:tr>
      <w:tr>
        <w:trPr>
          <w:trHeight w:val="179"/>
        </w:trPr>
        <w:tc>
          <w:tcPr>
            <w:tcW w:w="4320" w:type="dxa"/>
            <w:vAlign w:val="bottom"/>
          </w:tcPr>
          <w:p>
            <w:pPr>
              <w:spacing w:after="0"/>
              <w:rPr>
                <w:sz w:val="15"/>
                <w:szCs w:val="15"/>
                <w:color w:val="auto"/>
              </w:rPr>
            </w:pP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Total deductions</w:t>
            </w: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2,288,020</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5,058,631</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595,711</w:t>
            </w:r>
          </w:p>
        </w:tc>
        <w:tc>
          <w:tcPr>
            <w:tcW w:w="2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909,570</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20,637,145</w:t>
            </w:r>
          </w:p>
        </w:tc>
      </w:tr>
      <w:tr>
        <w:trPr>
          <w:trHeight w:val="179"/>
        </w:trPr>
        <w:tc>
          <w:tcPr>
            <w:tcW w:w="4320" w:type="dxa"/>
            <w:vAlign w:val="bottom"/>
          </w:tcPr>
          <w:p>
            <w:pPr>
              <w:spacing w:after="0"/>
              <w:rPr>
                <w:sz w:val="15"/>
                <w:szCs w:val="15"/>
                <w:color w:val="auto"/>
              </w:rPr>
            </w:pP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9"/>
              </w:rPr>
              <w:t>Net increase/(decrease) prior to transfers</w:t>
            </w: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1,630,052</w:t>
            </w:r>
          </w:p>
        </w:tc>
        <w:tc>
          <w:tcPr>
            <w:tcW w:w="1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(2,104,523)</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1,385,478</w:t>
            </w:r>
          </w:p>
        </w:tc>
        <w:tc>
          <w:tcPr>
            <w:tcW w:w="2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(415,773)</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6,560,439</w:t>
            </w:r>
          </w:p>
        </w:tc>
      </w:tr>
      <w:tr>
        <w:trPr>
          <w:trHeight w:val="179"/>
        </w:trPr>
        <w:tc>
          <w:tcPr>
            <w:tcW w:w="4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Transfers to/(from) affiliates' plans</w:t>
            </w:r>
          </w:p>
        </w:tc>
        <w:tc>
          <w:tcPr>
            <w:tcW w:w="16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(39,404)</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9,582</w:t>
            </w:r>
          </w:p>
        </w:tc>
        <w:tc>
          <w:tcPr>
            <w:tcW w:w="13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(5,182)</w:t>
            </w:r>
          </w:p>
        </w:tc>
        <w:tc>
          <w:tcPr>
            <w:tcW w:w="2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(2,929)</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(143,239)</w:t>
            </w:r>
          </w:p>
        </w:tc>
      </w:tr>
      <w:tr>
        <w:trPr>
          <w:trHeight w:val="179"/>
        </w:trPr>
        <w:tc>
          <w:tcPr>
            <w:tcW w:w="4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Interfund transfers</w:t>
            </w: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449,721</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2,309,954</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656,058</w:t>
            </w:r>
          </w:p>
        </w:tc>
        <w:tc>
          <w:tcPr>
            <w:tcW w:w="2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(16,166)</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20" w:type="dxa"/>
            <w:vAlign w:val="bottom"/>
          </w:tcPr>
          <w:p>
            <w:pPr>
              <w:spacing w:after="0"/>
              <w:rPr>
                <w:sz w:val="15"/>
                <w:szCs w:val="15"/>
                <w:color w:val="auto"/>
              </w:rPr>
            </w:pP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increase/(decrease)</w:t>
            </w: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2,040,369</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215,013</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2,036,354</w:t>
            </w:r>
          </w:p>
        </w:tc>
        <w:tc>
          <w:tcPr>
            <w:tcW w:w="2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(434,868)</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6,417,200</w:t>
            </w:r>
          </w:p>
        </w:tc>
      </w:tr>
      <w:tr>
        <w:trPr>
          <w:trHeight w:val="179"/>
        </w:trPr>
        <w:tc>
          <w:tcPr>
            <w:tcW w:w="4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assets available for benefits:</w:t>
            </w: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43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Beginning of year</w:t>
            </w: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13,935,694</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25,562,380</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3,806,231</w:t>
            </w:r>
          </w:p>
        </w:tc>
        <w:tc>
          <w:tcPr>
            <w:tcW w:w="2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4"/>
              </w:rPr>
              <w:t>6,890,466</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119,726,968</w:t>
            </w:r>
          </w:p>
        </w:tc>
      </w:tr>
      <w:tr>
        <w:trPr>
          <w:trHeight w:val="179"/>
        </w:trPr>
        <w:tc>
          <w:tcPr>
            <w:tcW w:w="4320" w:type="dxa"/>
            <w:vAlign w:val="bottom"/>
          </w:tcPr>
          <w:p>
            <w:pPr>
              <w:spacing w:after="0"/>
              <w:rPr>
                <w:sz w:val="15"/>
                <w:szCs w:val="15"/>
                <w:color w:val="auto"/>
              </w:rPr>
            </w:pP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End of year</w:t>
            </w: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$15,976,063</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$25,777,393</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$ 5,842,585</w:t>
            </w: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$6,455,598</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$126,144,168</w:t>
            </w:r>
          </w:p>
        </w:tc>
      </w:tr>
      <w:tr>
        <w:trPr>
          <w:trHeight w:val="179"/>
        </w:trPr>
        <w:tc>
          <w:tcPr>
            <w:tcW w:w="4320" w:type="dxa"/>
            <w:vAlign w:val="bottom"/>
          </w:tcPr>
          <w:p>
            <w:pPr>
              <w:spacing w:after="0"/>
              <w:rPr>
                <w:sz w:val="15"/>
                <w:szCs w:val="15"/>
                <w:color w:val="auto"/>
              </w:rPr>
            </w:pP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The accompanying notes are an integral</w:t>
      </w:r>
    </w:p>
    <w:p>
      <w:pPr>
        <w:ind w:left="2040"/>
        <w:spacing w:after="0" w:line="236" w:lineRule="auto"/>
        <w:rPr>
          <w:sz w:val="20"/>
          <w:szCs w:val="20"/>
          <w:color w:val="auto"/>
        </w:rPr>
      </w:pPr>
      <w:r>
        <w:rPr>
          <w:rFonts w:ascii="Courier New" w:cs="Courier New" w:eastAsia="Courier New" w:hAnsi="Courier New"/>
          <w:sz w:val="16"/>
          <w:szCs w:val="16"/>
          <w:color w:val="auto"/>
        </w:rPr>
        <w:t>part of these 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520"/>
          </w:cols>
          <w:pgMar w:left="240" w:top="648" w:right="139" w:bottom="1440" w:gutter="0" w:footer="0" w:header="0"/>
        </w:sectPr>
      </w:pPr>
    </w:p>
    <w:bookmarkStart w:id="6" w:name="page7"/>
    <w:bookmarkEnd w:id="6"/>
    <w:p>
      <w:pPr>
        <w:jc w:val="center"/>
        <w:ind w:right="2879"/>
        <w:spacing w:after="0"/>
        <w:rPr>
          <w:sz w:val="20"/>
          <w:szCs w:val="20"/>
          <w:color w:val="auto"/>
        </w:rPr>
      </w:pPr>
      <w:r>
        <w:rPr>
          <w:rFonts w:ascii="Courier New" w:cs="Courier New" w:eastAsia="Courier New" w:hAnsi="Courier New"/>
          <w:sz w:val="16"/>
          <w:szCs w:val="16"/>
          <w:color w:val="auto"/>
        </w:rPr>
        <w:t>CAMCO THRIFT PLAN</w:t>
      </w:r>
    </w:p>
    <w:p>
      <w:pPr>
        <w:jc w:val="center"/>
        <w:ind w:right="2879"/>
        <w:spacing w:after="0" w:line="236" w:lineRule="auto"/>
        <w:rPr>
          <w:sz w:val="20"/>
          <w:szCs w:val="20"/>
          <w:color w:val="auto"/>
        </w:rPr>
      </w:pPr>
      <w:r>
        <w:rPr>
          <w:rFonts w:ascii="Courier New" w:cs="Courier New" w:eastAsia="Courier New" w:hAnsi="Courier New"/>
          <w:sz w:val="16"/>
          <w:szCs w:val="16"/>
          <w:color w:val="auto"/>
        </w:rPr>
        <w:t>Notes to Financial Statements</w:t>
      </w:r>
    </w:p>
    <w:p>
      <w:pPr>
        <w:jc w:val="center"/>
        <w:ind w:right="2879"/>
        <w:spacing w:after="0" w:line="237" w:lineRule="auto"/>
        <w:rPr>
          <w:sz w:val="20"/>
          <w:szCs w:val="20"/>
          <w:color w:val="auto"/>
        </w:rPr>
      </w:pPr>
      <w:r>
        <w:rPr>
          <w:rFonts w:ascii="Courier New" w:cs="Courier New" w:eastAsia="Courier New" w:hAnsi="Courier New"/>
          <w:sz w:val="16"/>
          <w:szCs w:val="16"/>
          <w:color w:val="auto"/>
        </w:rPr>
        <w:t>December 31, 1999</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 DESCRIPTION OF THE PLAN</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The Camco Thrift Plan (the "Plan"), a defined contribution plan, was established on February 1, 1975. It covers substantially all domestic employees and certain employees in foreign service of Camco International Inc. (the "Company"). The Company is a wholly owned subsidiary of Schlumberger Technology Corporation ("STC") which, in turn, is a wholly owned subsidiary of Schlumberger Limited ("Schlumberger"). Schlumberger maintains the Schlumberger Well Services Savings and Profit Sharing Plan (the "SWS Plan") that is a defined contribution plan similar to the Plan and expects to merge the Plan into the SWS Plan before the end of 2000. Nevertheless, the Company has reserved the right to terminate the Plan at any time by resolution of the board of directors.</w:t>
      </w:r>
    </w:p>
    <w:p>
      <w:pPr>
        <w:spacing w:after="0" w:line="344" w:lineRule="exact"/>
        <w:rPr>
          <w:sz w:val="20"/>
          <w:szCs w:val="20"/>
          <w:color w:val="auto"/>
        </w:rPr>
      </w:pPr>
    </w:p>
    <w:p>
      <w:pPr>
        <w:jc w:val="both"/>
        <w:ind w:right="3339"/>
        <w:spacing w:after="0" w:line="235" w:lineRule="auto"/>
        <w:rPr>
          <w:sz w:val="20"/>
          <w:szCs w:val="20"/>
          <w:color w:val="auto"/>
        </w:rPr>
      </w:pPr>
      <w:r>
        <w:rPr>
          <w:rFonts w:ascii="Courier New" w:cs="Courier New" w:eastAsia="Courier New" w:hAnsi="Courier New"/>
          <w:sz w:val="16"/>
          <w:szCs w:val="16"/>
          <w:color w:val="auto"/>
        </w:rPr>
        <w:t>The following description of the Plan and Plan Amendments is provided for general purposes only. Participants should refer to the Plan Document, as amended, for more complete information.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Administration of the Plan is conducted by a committee consisting of no less than three members appointed by the board of directors of the Company. The board of directors has appointed two employees of Schlumberger as Trustees for the Plan. American Express Trust Company ("American Express") is asset custodian and record keeper for the Plan.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Eligibility and Vesting</w:t>
      </w:r>
    </w:p>
    <w:p>
      <w:pPr>
        <w:spacing w:after="0" w:line="183" w:lineRule="exact"/>
        <w:rPr>
          <w:sz w:val="20"/>
          <w:szCs w:val="20"/>
          <w:color w:val="auto"/>
        </w:rPr>
      </w:pPr>
    </w:p>
    <w:p>
      <w:pPr>
        <w:ind w:right="2879"/>
        <w:spacing w:after="0" w:line="275" w:lineRule="auto"/>
        <w:rPr>
          <w:sz w:val="20"/>
          <w:szCs w:val="20"/>
          <w:color w:val="auto"/>
        </w:rPr>
      </w:pPr>
      <w:r>
        <w:rPr>
          <w:rFonts w:ascii="Courier New" w:cs="Courier New" w:eastAsia="Courier New" w:hAnsi="Courier New"/>
          <w:sz w:val="14"/>
          <w:szCs w:val="14"/>
          <w:color w:val="auto"/>
        </w:rPr>
        <w:t>Employees are eligible to participate in the Plan after completing one hour of service. Participants are fully vested in their contributions and the related earnings/losses. Participants vest in Company matching contributions and related earnings/losses at 20% per year, becoming fully vested after five years of service. In the event the Plan is partially or completely terminated, all participants will become 100% vested in their account balances.</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Contributions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Participants may elect to defer from 1% to 15% of their compensation on a pre-tax basis, subject to maximum annual contributions of $10,000, and have the Company contribute to the Plan on their behalf the amount so deferred. After-tax contributions of up to 10% of compensation are also permitted. The Company makes matching contributions of 50% of participants' pre-tax contributions up to a maximum contribution amount of $1,500 per year.</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48"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Expenses</w:t>
      </w:r>
    </w:p>
    <w:p>
      <w:pPr>
        <w:spacing w:after="0" w:line="1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The accounts of participants are charged fees of $2.50 per quarter, which are applied to the cost of administering the Plan. Transaction fees are also charged for participant loans, withdrawals and distributions. The Company has paid all administrative expenses in excess of these fees.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Withdrawals</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Company matching contributions made before January 1, 1983, and all after-tax contributions may be withdrawn by participants by making written application to the Plan's record keeper. Company matching contributions made after December 31, 1982, pre-tax contributions and rollover contributions may be withdrawn after the participant has attained age 59-1/2 or if the participant suffers an immediate and heavy financial hardship that cannot be satisfied from other reasonably available resources. Additionally, Company matching contributions may be withdrawn only if they have been credited to a participant's account for more than two years. No more than one withdrawal may be made during any calendar quarter.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Loans</w:t>
      </w:r>
    </w:p>
    <w:p>
      <w:pPr>
        <w:spacing w:after="0" w:line="183" w:lineRule="exact"/>
        <w:rPr>
          <w:sz w:val="20"/>
          <w:szCs w:val="20"/>
          <w:color w:val="auto"/>
        </w:rPr>
      </w:pPr>
    </w:p>
    <w:p>
      <w:pPr>
        <w:ind w:right="2879"/>
        <w:spacing w:after="0" w:line="276" w:lineRule="auto"/>
        <w:rPr>
          <w:sz w:val="20"/>
          <w:szCs w:val="20"/>
          <w:color w:val="auto"/>
        </w:rPr>
      </w:pPr>
      <w:r>
        <w:rPr>
          <w:rFonts w:ascii="Courier New" w:cs="Courier New" w:eastAsia="Courier New" w:hAnsi="Courier New"/>
          <w:sz w:val="14"/>
          <w:szCs w:val="14"/>
          <w:color w:val="auto"/>
        </w:rPr>
        <w:t>Participants may borrow a portion of their account balance to relieve a financial hardship or for any other suitable purpose. Loan amounts are limited in accordance with a formula based on 50% of the present value of a participant's vested account balance, not to exceed $50,000. Loans must be repaid within five years and are secured by the participant's account balance.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Forfeitures</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Participants who terminate employment forfeit the non-vested portion of their account. Forfeited amounts will be restored for former participants who resume employment if they repay, within five years, the full amount of termination distribution they received. Amounts forfeited are used first to restore accounts, as above, and then to reduce Company contributions.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SUMMARY OF SIGNIFICANT ACCOUNTING POLICIES</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The financial statements of the Plan are presented on the accrual basis of accounting in compliance with generally accepted accounting principles. Certain reclassifications have been made to prior year balances to conform to current year financial statement presentation.</w:t>
      </w:r>
    </w:p>
    <w:p>
      <w:pPr>
        <w:spacing w:after="0" w:line="185"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the Plan administrator to make estimates and assumptions that affect certain reported amounts and disclosures. Accordingly, actual results may differ from those estimates.</w:t>
      </w:r>
    </w:p>
    <w:p>
      <w:pPr>
        <w:spacing w:after="0" w:line="185" w:lineRule="exact"/>
        <w:rPr>
          <w:sz w:val="20"/>
          <w:szCs w:val="20"/>
          <w:color w:val="auto"/>
        </w:rPr>
      </w:pPr>
    </w:p>
    <w:p>
      <w:pPr>
        <w:ind w:right="2959"/>
        <w:spacing w:after="0" w:line="275" w:lineRule="auto"/>
        <w:rPr>
          <w:sz w:val="20"/>
          <w:szCs w:val="20"/>
          <w:color w:val="auto"/>
        </w:rPr>
      </w:pPr>
      <w:r>
        <w:rPr>
          <w:rFonts w:ascii="Courier New" w:cs="Courier New" w:eastAsia="Courier New" w:hAnsi="Courier New"/>
          <w:sz w:val="14"/>
          <w:szCs w:val="14"/>
          <w:color w:val="auto"/>
        </w:rPr>
        <w:t>Investments in registered investment companies (mutual funds) are valued at quoted market prices. American Express Trust Equity Index Fund I and American Express Trust Income Fund II are collective trusts stated at contract value. Units of the Schlumberger Stock Fund, invested primarily in common stock of Schlumberger, but also in cash or cash equivalents to provide liquidity, are valued using quoted market prices for the common stock.</w:t>
      </w:r>
    </w:p>
    <w:p>
      <w:pPr>
        <w:spacing w:after="0" w:line="1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48"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NOTE 3 - INVESTMENT PROGRAMS</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Participants may invest their account balances and all contributions made to their accounts in the investment choices described below. Investments may be made in one or more of the funds in 1% increments and choices may be changed any business day. The number of participants investing in each fund at December 31, 1999, is shown parenthetically.</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AXP International Fund (341 participants)</w:t>
      </w:r>
    </w:p>
    <w:p>
      <w:pPr>
        <w:spacing w:after="0" w:line="183" w:lineRule="exact"/>
        <w:rPr>
          <w:sz w:val="20"/>
          <w:szCs w:val="20"/>
          <w:color w:val="auto"/>
        </w:rPr>
      </w:pPr>
    </w:p>
    <w:p>
      <w:pPr>
        <w:jc w:val="both"/>
        <w:ind w:left="920" w:right="2959"/>
        <w:spacing w:after="0" w:line="235" w:lineRule="auto"/>
        <w:rPr>
          <w:sz w:val="20"/>
          <w:szCs w:val="20"/>
          <w:color w:val="auto"/>
        </w:rPr>
      </w:pPr>
      <w:r>
        <w:rPr>
          <w:rFonts w:ascii="Courier New" w:cs="Courier New" w:eastAsia="Courier New" w:hAnsi="Courier New"/>
          <w:sz w:val="16"/>
          <w:szCs w:val="16"/>
          <w:color w:val="auto"/>
        </w:rPr>
        <w:t>A specialty growth fund for aggressive investors whose objective is long-term growth of capital that invests in common stocks of foreign companies.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AXP New Dimensions Fund (1,073 participants)</w:t>
      </w:r>
    </w:p>
    <w:p>
      <w:pPr>
        <w:spacing w:after="0" w:line="183" w:lineRule="exact"/>
        <w:rPr>
          <w:sz w:val="20"/>
          <w:szCs w:val="20"/>
          <w:color w:val="auto"/>
        </w:rPr>
      </w:pPr>
    </w:p>
    <w:p>
      <w:pPr>
        <w:jc w:val="both"/>
        <w:ind w:left="920" w:right="3059"/>
        <w:spacing w:after="0" w:line="283" w:lineRule="auto"/>
        <w:rPr>
          <w:sz w:val="20"/>
          <w:szCs w:val="20"/>
          <w:color w:val="auto"/>
        </w:rPr>
      </w:pPr>
      <w:r>
        <w:rPr>
          <w:rFonts w:ascii="Courier New" w:cs="Courier New" w:eastAsia="Courier New" w:hAnsi="Courier New"/>
          <w:sz w:val="14"/>
          <w:szCs w:val="14"/>
          <w:color w:val="auto"/>
        </w:rPr>
        <w:t>A growth fund for aggressive investors whose objective is long-term growth of capital that invests in a portfolio of company stocks in which powerful economic and/or technical changes may take place.</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AXP Mutual Fund (586 participants)</w:t>
      </w:r>
    </w:p>
    <w:p>
      <w:pPr>
        <w:spacing w:after="0" w:line="183" w:lineRule="exact"/>
        <w:rPr>
          <w:sz w:val="20"/>
          <w:szCs w:val="20"/>
          <w:color w:val="auto"/>
        </w:rPr>
      </w:pPr>
    </w:p>
    <w:p>
      <w:pPr>
        <w:ind w:left="920" w:right="2879"/>
        <w:spacing w:after="0" w:line="235" w:lineRule="auto"/>
        <w:rPr>
          <w:sz w:val="20"/>
          <w:szCs w:val="20"/>
          <w:color w:val="auto"/>
        </w:rPr>
      </w:pPr>
      <w:r>
        <w:rPr>
          <w:rFonts w:ascii="Courier New" w:cs="Courier New" w:eastAsia="Courier New" w:hAnsi="Courier New"/>
          <w:sz w:val="16"/>
          <w:szCs w:val="16"/>
          <w:color w:val="auto"/>
        </w:rPr>
        <w:t>A growth and income fund for investors with moderate tolerance for risk whose objective is balance of growth of capital and current income that invests in a portfolio of common and preferred stocks and bonds.</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AXP Federal Income Fund (918 participants)</w:t>
      </w:r>
    </w:p>
    <w:p>
      <w:pPr>
        <w:spacing w:after="0" w:line="183" w:lineRule="exact"/>
        <w:rPr>
          <w:sz w:val="20"/>
          <w:szCs w:val="20"/>
          <w:color w:val="auto"/>
        </w:rPr>
      </w:pPr>
    </w:p>
    <w:p>
      <w:pPr>
        <w:ind w:left="920" w:right="2959"/>
        <w:spacing w:after="0" w:line="235" w:lineRule="auto"/>
        <w:rPr>
          <w:sz w:val="20"/>
          <w:szCs w:val="20"/>
          <w:color w:val="auto"/>
        </w:rPr>
      </w:pPr>
      <w:r>
        <w:rPr>
          <w:rFonts w:ascii="Courier New" w:cs="Courier New" w:eastAsia="Courier New" w:hAnsi="Courier New"/>
          <w:sz w:val="16"/>
          <w:szCs w:val="16"/>
          <w:color w:val="auto"/>
        </w:rPr>
        <w:t>An income fund for conservative investors whose objective is current income and preservation of capital that invests in a portfolio of U. S. government and government agency securities.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AIM Constellation Fund (186 participants)</w:t>
      </w:r>
    </w:p>
    <w:p>
      <w:pPr>
        <w:spacing w:after="0" w:line="183" w:lineRule="exact"/>
        <w:rPr>
          <w:sz w:val="20"/>
          <w:szCs w:val="20"/>
          <w:color w:val="auto"/>
        </w:rPr>
      </w:pPr>
    </w:p>
    <w:p>
      <w:pPr>
        <w:jc w:val="both"/>
        <w:ind w:left="920" w:right="3239"/>
        <w:spacing w:after="0" w:line="283" w:lineRule="auto"/>
        <w:rPr>
          <w:sz w:val="20"/>
          <w:szCs w:val="20"/>
          <w:color w:val="auto"/>
        </w:rPr>
      </w:pPr>
      <w:r>
        <w:rPr>
          <w:rFonts w:ascii="Courier New" w:cs="Courier New" w:eastAsia="Courier New" w:hAnsi="Courier New"/>
          <w:sz w:val="14"/>
          <w:szCs w:val="14"/>
          <w:color w:val="auto"/>
        </w:rPr>
        <w:t>A growth fund for aggressive investors whose objective is capital appreciation primarily through investments in common stocks with emphasis on medium-sized and smaller emerging growth companies.</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American Express Trust Equity Index Fund I (743 participants)</w:t>
      </w:r>
    </w:p>
    <w:p>
      <w:pPr>
        <w:spacing w:after="0" w:line="183" w:lineRule="exact"/>
        <w:rPr>
          <w:sz w:val="20"/>
          <w:szCs w:val="20"/>
          <w:color w:val="auto"/>
        </w:rPr>
      </w:pPr>
    </w:p>
    <w:p>
      <w:pPr>
        <w:ind w:left="920" w:right="2779"/>
        <w:spacing w:after="0" w:line="235" w:lineRule="auto"/>
        <w:rPr>
          <w:sz w:val="20"/>
          <w:szCs w:val="20"/>
          <w:color w:val="auto"/>
        </w:rPr>
      </w:pPr>
      <w:r>
        <w:rPr>
          <w:rFonts w:ascii="Courier New" w:cs="Courier New" w:eastAsia="Courier New" w:hAnsi="Courier New"/>
          <w:sz w:val="16"/>
          <w:szCs w:val="16"/>
          <w:color w:val="auto"/>
        </w:rPr>
        <w:t>A growth fund for aggressive investors whose objective is to achieve a rate of return as close as possible to the return of the Standard &amp; Poor's 500 Index that employs a passive portfolio structuring and stock selecting strategy by investing primarily in common stocks of the S&amp;P 500 Index.</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48" w:right="1440" w:bottom="1440" w:gutter="0" w:footer="0" w:header="0"/>
        </w:sectPr>
      </w:pPr>
    </w:p>
    <w:bookmarkStart w:id="9" w:name="page10"/>
    <w:bookmarkEnd w:id="9"/>
    <w:p>
      <w:pPr>
        <w:ind w:left="465"/>
        <w:spacing w:after="0"/>
        <w:rPr>
          <w:sz w:val="20"/>
          <w:szCs w:val="20"/>
          <w:color w:val="auto"/>
        </w:rPr>
      </w:pPr>
      <w:r>
        <w:rPr>
          <w:rFonts w:ascii="Courier New" w:cs="Courier New" w:eastAsia="Courier New" w:hAnsi="Courier New"/>
          <w:sz w:val="16"/>
          <w:szCs w:val="16"/>
          <w:color w:val="auto"/>
        </w:rPr>
        <w:t>American Express Trust Income Fund II (1,026 participants)</w:t>
      </w:r>
    </w:p>
    <w:p>
      <w:pPr>
        <w:spacing w:after="0" w:line="183" w:lineRule="exact"/>
        <w:rPr>
          <w:sz w:val="20"/>
          <w:szCs w:val="20"/>
          <w:color w:val="auto"/>
        </w:rPr>
      </w:pPr>
    </w:p>
    <w:p>
      <w:pPr>
        <w:ind w:left="925" w:right="2779"/>
        <w:spacing w:after="0" w:line="235" w:lineRule="auto"/>
        <w:rPr>
          <w:sz w:val="20"/>
          <w:szCs w:val="20"/>
          <w:color w:val="auto"/>
        </w:rPr>
      </w:pPr>
      <w:r>
        <w:rPr>
          <w:rFonts w:ascii="Courier New" w:cs="Courier New" w:eastAsia="Courier New" w:hAnsi="Courier New"/>
          <w:sz w:val="16"/>
          <w:szCs w:val="16"/>
          <w:color w:val="auto"/>
        </w:rPr>
        <w:t>A stable capital fund for conservative investors whose objective is to preserve principal and income while maximizing current income that invests in investment contracts and stable value contracts.</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Schlumberger Stock Fund (500 participants)</w:t>
      </w:r>
    </w:p>
    <w:p>
      <w:pPr>
        <w:spacing w:after="0" w:line="183" w:lineRule="exact"/>
        <w:rPr>
          <w:sz w:val="20"/>
          <w:szCs w:val="20"/>
          <w:color w:val="auto"/>
        </w:rPr>
      </w:pPr>
    </w:p>
    <w:p>
      <w:pPr>
        <w:ind w:left="925" w:right="2779"/>
        <w:spacing w:after="0" w:line="235" w:lineRule="auto"/>
        <w:rPr>
          <w:sz w:val="20"/>
          <w:szCs w:val="20"/>
          <w:color w:val="auto"/>
        </w:rPr>
      </w:pPr>
      <w:r>
        <w:rPr>
          <w:rFonts w:ascii="Courier New" w:cs="Courier New" w:eastAsia="Courier New" w:hAnsi="Courier New"/>
          <w:sz w:val="16"/>
          <w:szCs w:val="16"/>
          <w:color w:val="auto"/>
        </w:rPr>
        <w:t>A stock fund for aggressive investors whose objective is growth of capital and dividend income that invests in Schlumberger common stock. Participants may invest no more than 25% of their account balances and/or contributions in this fund.</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NOTE 4 - REGULATORY STATUS OF THE PLAN</w:t>
      </w:r>
    </w:p>
    <w:p>
      <w:pPr>
        <w:spacing w:after="0" w:line="183" w:lineRule="exact"/>
        <w:rPr>
          <w:sz w:val="20"/>
          <w:szCs w:val="20"/>
          <w:color w:val="auto"/>
        </w:rPr>
      </w:pPr>
    </w:p>
    <w:p>
      <w:pPr>
        <w:ind w:left="5" w:right="2879"/>
        <w:spacing w:after="0" w:line="236" w:lineRule="auto"/>
        <w:rPr>
          <w:sz w:val="20"/>
          <w:szCs w:val="20"/>
          <w:color w:val="auto"/>
        </w:rPr>
      </w:pPr>
      <w:r>
        <w:rPr>
          <w:rFonts w:ascii="Courier New" w:cs="Courier New" w:eastAsia="Courier New" w:hAnsi="Courier New"/>
          <w:sz w:val="16"/>
          <w:szCs w:val="16"/>
          <w:color w:val="auto"/>
        </w:rPr>
        <w:t>In a determination letter dated February 19, 1998, the Internal Revenue Service stated that the Plan met the requirements of Section 401(a) of the Internal Revenue Code of 1986, as amended (the "Code"), and that the trust established thereunder was entitled to exemption from federal income tax under the provisions of Section 501(a) of the Code. Company matching contributions will not be required to be included in participants' taxable income until they are distributed to the participants. The Plan is also in compliance with the provisions of the Employee Retirement Income Security Act of 1974, as amended ("ERISA").</w:t>
      </w:r>
    </w:p>
    <w:p>
      <w:pPr>
        <w:spacing w:after="0" w:line="17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NOTE 5 - SUBSEQUENT EVENTS</w:t>
      </w:r>
    </w:p>
    <w:p>
      <w:pPr>
        <w:spacing w:after="0" w:line="183" w:lineRule="exact"/>
        <w:rPr>
          <w:sz w:val="20"/>
          <w:szCs w:val="20"/>
          <w:color w:val="auto"/>
        </w:rPr>
      </w:pPr>
    </w:p>
    <w:p>
      <w:pPr>
        <w:ind w:left="5" w:right="2779"/>
        <w:spacing w:after="0" w:line="270" w:lineRule="auto"/>
        <w:rPr>
          <w:sz w:val="20"/>
          <w:szCs w:val="20"/>
          <w:color w:val="auto"/>
        </w:rPr>
      </w:pPr>
      <w:r>
        <w:rPr>
          <w:rFonts w:ascii="Courier New" w:cs="Courier New" w:eastAsia="Courier New" w:hAnsi="Courier New"/>
          <w:sz w:val="14"/>
          <w:szCs w:val="14"/>
          <w:color w:val="auto"/>
        </w:rPr>
        <w:t>Pursuant to Schlumberger's intent to merge the Plan into the SWS Plan, the board of directors adopted resolutions effective January 1, 2000, to conform significant provisions of the Plan to the SWS Plan. The resolutions (i) prohibit further after-tax contributions, (ii) prohibit further investments in the Schlumberger Stock Fund on and after March 1, 2000, (iii) provide for separate profit sharing, basic matching and supplemental matching contributions to different employee groups under the Plan and allocations within those groups,</w:t>
      </w:r>
    </w:p>
    <w:p>
      <w:pPr>
        <w:spacing w:after="0" w:line="3" w:lineRule="exact"/>
        <w:rPr>
          <w:sz w:val="20"/>
          <w:szCs w:val="20"/>
          <w:color w:val="auto"/>
        </w:rPr>
      </w:pPr>
    </w:p>
    <w:p>
      <w:pPr>
        <w:ind w:left="5" w:right="3059" w:hanging="5"/>
        <w:spacing w:after="0" w:line="270" w:lineRule="auto"/>
        <w:tabs>
          <w:tab w:leader="none" w:pos="4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Plan loans to one loan outstanding at a time for any participant, with exceptions for Plan loans outstanding on December 31, 1999, (v) prohibit special compensation deferral arrangements, and (vi) conform the substance of the following Plan provisions to the SWS Plan: (a) the definition of compensation on which employee deferral and employer contributions are based,</w:t>
      </w:r>
    </w:p>
    <w:p>
      <w:pPr>
        <w:spacing w:after="0" w:line="2" w:lineRule="exact"/>
        <w:rPr>
          <w:rFonts w:ascii="Courier New" w:cs="Courier New" w:eastAsia="Courier New" w:hAnsi="Courier New"/>
          <w:sz w:val="14"/>
          <w:szCs w:val="14"/>
          <w:color w:val="auto"/>
        </w:rPr>
      </w:pPr>
    </w:p>
    <w:p>
      <w:pPr>
        <w:ind w:left="5" w:right="28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(b) the percentage limit a highly compensated employee may contribute to the Plan on a pre-tax basis, (c) the eligibility for, amount of and allocation of employee contributions, basic matching contributions, supplemental matching contributions and profit sharing contributions, (d) the percentage vesting schedule (for employees hired on and after January 1, 2000), (e) the minimum required distribution provisions, (f) the provisions for the automatic cash-out of small benefits, (g) the administrations provisions and claims/appeal provisions and (h) the normal retirement age provisions.</w:t>
      </w:r>
    </w:p>
    <w:p>
      <w:pPr>
        <w:spacing w:after="0" w:line="184" w:lineRule="exact"/>
        <w:rPr>
          <w:sz w:val="20"/>
          <w:szCs w:val="20"/>
          <w:color w:val="auto"/>
        </w:rPr>
      </w:pPr>
    </w:p>
    <w:p>
      <w:pPr>
        <w:ind w:left="5" w:right="2779"/>
        <w:spacing w:after="0" w:line="276" w:lineRule="auto"/>
        <w:rPr>
          <w:sz w:val="20"/>
          <w:szCs w:val="20"/>
          <w:color w:val="auto"/>
        </w:rPr>
      </w:pPr>
      <w:r>
        <w:rPr>
          <w:rFonts w:ascii="Courier New" w:cs="Courier New" w:eastAsia="Courier New" w:hAnsi="Courier New"/>
          <w:sz w:val="14"/>
          <w:szCs w:val="14"/>
          <w:color w:val="auto"/>
        </w:rPr>
        <w:t>On December 31, 1999, Schlumberger announced the completion of the spin-off of its offshore contract drilling business, Sedco Forex, to its stockholders and the subsequent merger of Sedco Forex and Transocean Offshore Inc., which changed its name to Transocean Sedco Forex Inc. ("Transocean") following the merger. In the spin-off, Schlumberger stockholders received one share of Sedco Forex for</w:t>
      </w:r>
    </w:p>
    <w:p>
      <w:pPr>
        <w:spacing w:after="0" w:line="15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4"/>
          </w:cols>
          <w:pgMar w:left="235" w:top="648" w:right="1440" w:bottom="1440" w:gutter="0" w:footer="0" w:header="0"/>
        </w:sectPr>
      </w:pPr>
    </w:p>
    <w:bookmarkStart w:id="10" w:name="page11"/>
    <w:bookmarkEnd w:id="10"/>
    <w:p>
      <w:pPr>
        <w:ind w:right="2779"/>
        <w:spacing w:after="0" w:line="236" w:lineRule="auto"/>
        <w:rPr>
          <w:sz w:val="20"/>
          <w:szCs w:val="20"/>
          <w:color w:val="auto"/>
        </w:rPr>
      </w:pPr>
      <w:r>
        <w:rPr>
          <w:rFonts w:ascii="Courier New" w:cs="Courier New" w:eastAsia="Courier New" w:hAnsi="Courier New"/>
          <w:sz w:val="16"/>
          <w:szCs w:val="16"/>
          <w:color w:val="auto"/>
        </w:rPr>
        <w:t>each share of Schlumberger owned on the record date of December 20, 1999. In the merger, each Sedco Forex share was exchanged for 0.1936 ordinary share of Transocean. Stockholders received cash for fractional shares. In early 2000, the Transocean Stock Fund was established to hold the Transocean shares that the Schlumberger Stock Fund received from the spin-off and merger. Participants who held investments in the Schlumberger Stock Fund were apportioned units of the Transocean Stock Fund in the ratio of the number of units of the Schlumberger Stock Fund they held to the total number of units in the Schlumberger Stock Fund. As with the Schlumberger Stock Fund, further investments in the Transocean Stock Fund have been prohibited.</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4"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5520" w:type="dxa"/>
            <w:vAlign w:val="bottom"/>
            <w:gridSpan w:val="2"/>
          </w:tcPr>
          <w:p>
            <w:pPr>
              <w:jc w:val="center"/>
              <w:ind w:left="622"/>
              <w:spacing w:after="0"/>
              <w:rPr>
                <w:sz w:val="20"/>
                <w:szCs w:val="20"/>
                <w:color w:val="auto"/>
              </w:rPr>
            </w:pPr>
            <w:r>
              <w:rPr>
                <w:rFonts w:ascii="Courier New" w:cs="Courier New" w:eastAsia="Courier New" w:hAnsi="Courier New"/>
                <w:sz w:val="16"/>
                <w:szCs w:val="16"/>
                <w:color w:val="auto"/>
                <w:w w:val="97"/>
              </w:rPr>
              <w:t>Schedule H, Line 4i</w:t>
            </w:r>
          </w:p>
        </w:tc>
        <w:tc>
          <w:tcPr>
            <w:tcW w:w="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6040" w:type="dxa"/>
            <w:vAlign w:val="bottom"/>
            <w:gridSpan w:val="3"/>
          </w:tcPr>
          <w:p>
            <w:pPr>
              <w:ind w:left="280"/>
              <w:spacing w:after="0" w:line="179" w:lineRule="exact"/>
              <w:rPr>
                <w:sz w:val="20"/>
                <w:szCs w:val="20"/>
                <w:color w:val="auto"/>
              </w:rPr>
            </w:pPr>
            <w:r>
              <w:rPr>
                <w:rFonts w:ascii="Courier New" w:cs="Courier New" w:eastAsia="Courier New" w:hAnsi="Courier New"/>
                <w:sz w:val="16"/>
                <w:szCs w:val="16"/>
                <w:color w:val="auto"/>
                <w:w w:val="96"/>
              </w:rPr>
              <w:t>Schedule of Assets Held for Investment Purposes At End of Year</w:t>
            </w:r>
          </w:p>
        </w:tc>
        <w:tc>
          <w:tcPr>
            <w:tcW w:w="158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200" w:type="dxa"/>
            <w:vAlign w:val="bottom"/>
          </w:tcPr>
          <w:p>
            <w:pPr>
              <w:jc w:val="center"/>
              <w:ind w:right="1542"/>
              <w:spacing w:after="0" w:line="179" w:lineRule="exact"/>
              <w:rPr>
                <w:sz w:val="20"/>
                <w:szCs w:val="20"/>
                <w:color w:val="auto"/>
              </w:rPr>
            </w:pPr>
            <w:r>
              <w:rPr>
                <w:rFonts w:ascii="Courier New" w:cs="Courier New" w:eastAsia="Courier New" w:hAnsi="Courier New"/>
                <w:sz w:val="16"/>
                <w:szCs w:val="16"/>
                <w:color w:val="auto"/>
                <w:w w:val="96"/>
              </w:rPr>
              <w:t>Camco Thrift Plan</w:t>
            </w:r>
          </w:p>
        </w:tc>
        <w:tc>
          <w:tcPr>
            <w:tcW w:w="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2320" w:type="dxa"/>
            <w:vAlign w:val="bottom"/>
          </w:tcPr>
          <w:p>
            <w:pPr>
              <w:ind w:left="1940"/>
              <w:spacing w:after="0" w:line="179" w:lineRule="exact"/>
              <w:rPr>
                <w:sz w:val="20"/>
                <w:szCs w:val="20"/>
                <w:color w:val="auto"/>
              </w:rPr>
            </w:pPr>
            <w:r>
              <w:rPr>
                <w:rFonts w:ascii="Courier New" w:cs="Courier New" w:eastAsia="Courier New" w:hAnsi="Courier New"/>
                <w:sz w:val="16"/>
                <w:szCs w:val="16"/>
                <w:color w:val="auto"/>
                <w:w w:val="93"/>
              </w:rPr>
              <w:t>EIN:</w:t>
            </w:r>
          </w:p>
        </w:tc>
        <w:tc>
          <w:tcPr>
            <w:tcW w:w="3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13-3517570; P/N 001</w:t>
            </w:r>
          </w:p>
        </w:tc>
        <w:tc>
          <w:tcPr>
            <w:tcW w:w="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200" w:type="dxa"/>
            <w:vAlign w:val="bottom"/>
          </w:tcPr>
          <w:p>
            <w:pPr>
              <w:jc w:val="center"/>
              <w:ind w:right="1542"/>
              <w:spacing w:after="0" w:line="179" w:lineRule="exact"/>
              <w:rPr>
                <w:sz w:val="20"/>
                <w:szCs w:val="20"/>
                <w:color w:val="auto"/>
              </w:rPr>
            </w:pPr>
            <w:r>
              <w:rPr>
                <w:rFonts w:ascii="Courier New" w:cs="Courier New" w:eastAsia="Courier New" w:hAnsi="Courier New"/>
                <w:sz w:val="16"/>
                <w:szCs w:val="16"/>
                <w:color w:val="auto"/>
                <w:w w:val="96"/>
              </w:rPr>
              <w:t>December 31, 1999</w:t>
            </w:r>
          </w:p>
        </w:tc>
        <w:tc>
          <w:tcPr>
            <w:tcW w:w="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894"/>
        </w:trPr>
        <w:tc>
          <w:tcPr>
            <w:tcW w:w="5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00" w:type="dxa"/>
            <w:vAlign w:val="bottom"/>
          </w:tcPr>
          <w:p>
            <w:pPr>
              <w:ind w:left="1120"/>
              <w:spacing w:after="0"/>
              <w:rPr>
                <w:sz w:val="20"/>
                <w:szCs w:val="20"/>
                <w:color w:val="auto"/>
              </w:rPr>
            </w:pPr>
            <w:r>
              <w:rPr>
                <w:rFonts w:ascii="Courier New" w:cs="Courier New" w:eastAsia="Courier New" w:hAnsi="Courier New"/>
                <w:sz w:val="16"/>
                <w:szCs w:val="16"/>
                <w:color w:val="auto"/>
              </w:rPr>
              <w:t>(c)</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79"/>
        </w:trPr>
        <w:tc>
          <w:tcPr>
            <w:tcW w:w="5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2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Description of investment</w:t>
            </w:r>
          </w:p>
        </w:tc>
        <w:tc>
          <w:tcPr>
            <w:tcW w:w="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23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(b)</w:t>
            </w:r>
          </w:p>
        </w:tc>
        <w:tc>
          <w:tcPr>
            <w:tcW w:w="320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including maturity date,</w:t>
            </w:r>
          </w:p>
        </w:tc>
        <w:tc>
          <w:tcPr>
            <w:tcW w:w="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2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Identity of issue,</w:t>
            </w:r>
          </w:p>
        </w:tc>
        <w:tc>
          <w:tcPr>
            <w:tcW w:w="32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rate of interest,</w:t>
            </w:r>
          </w:p>
        </w:tc>
        <w:tc>
          <w:tcPr>
            <w:tcW w:w="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14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7"/>
              </w:rPr>
              <w:t>(e)</w:t>
            </w:r>
          </w:p>
        </w:tc>
      </w:tr>
      <w:tr>
        <w:trPr>
          <w:trHeight w:val="179"/>
        </w:trPr>
        <w:tc>
          <w:tcPr>
            <w:tcW w:w="560" w:type="dxa"/>
            <w:vAlign w:val="bottom"/>
          </w:tcPr>
          <w:p>
            <w:pPr>
              <w:spacing w:after="0"/>
              <w:rPr>
                <w:sz w:val="15"/>
                <w:szCs w:val="15"/>
                <w:color w:val="auto"/>
              </w:rPr>
            </w:pPr>
          </w:p>
        </w:tc>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borrower, lessor, or</w:t>
            </w:r>
          </w:p>
        </w:tc>
        <w:tc>
          <w:tcPr>
            <w:tcW w:w="320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collateral, par or</w:t>
            </w:r>
          </w:p>
        </w:tc>
        <w:tc>
          <w:tcPr>
            <w:tcW w:w="520" w:type="dxa"/>
            <w:vAlign w:val="bottom"/>
          </w:tcPr>
          <w:p>
            <w:pPr>
              <w:spacing w:after="0"/>
              <w:rPr>
                <w:sz w:val="15"/>
                <w:szCs w:val="15"/>
                <w:color w:val="auto"/>
              </w:rPr>
            </w:pPr>
          </w:p>
        </w:tc>
        <w:tc>
          <w:tcPr>
            <w:tcW w:w="158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(d)</w:t>
            </w:r>
          </w:p>
        </w:tc>
        <w:tc>
          <w:tcPr>
            <w:tcW w:w="2140" w:type="dxa"/>
            <w:vAlign w:val="bottom"/>
          </w:tcPr>
          <w:p>
            <w:pPr>
              <w:jc w:val="center"/>
              <w:ind w:right="282"/>
              <w:spacing w:after="0" w:line="179" w:lineRule="exact"/>
              <w:rPr>
                <w:sz w:val="20"/>
                <w:szCs w:val="20"/>
                <w:color w:val="auto"/>
              </w:rPr>
            </w:pPr>
            <w:r>
              <w:rPr>
                <w:rFonts w:ascii="Courier New" w:cs="Courier New" w:eastAsia="Courier New" w:hAnsi="Courier New"/>
                <w:sz w:val="16"/>
                <w:szCs w:val="16"/>
                <w:color w:val="auto"/>
                <w:w w:val="98"/>
              </w:rPr>
              <w:t>Current</w:t>
            </w: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(a)</w:t>
            </w:r>
          </w:p>
        </w:tc>
        <w:tc>
          <w:tcPr>
            <w:tcW w:w="2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similar party</w:t>
            </w:r>
          </w:p>
        </w:tc>
        <w:tc>
          <w:tcPr>
            <w:tcW w:w="3200" w:type="dxa"/>
            <w:vAlign w:val="bottom"/>
          </w:tcPr>
          <w:p>
            <w:pPr>
              <w:jc w:val="right"/>
              <w:ind w:right="982"/>
              <w:spacing w:after="0" w:line="179" w:lineRule="exact"/>
              <w:rPr>
                <w:sz w:val="20"/>
                <w:szCs w:val="20"/>
                <w:color w:val="auto"/>
              </w:rPr>
            </w:pPr>
            <w:r>
              <w:rPr>
                <w:rFonts w:ascii="Courier New" w:cs="Courier New" w:eastAsia="Courier New" w:hAnsi="Courier New"/>
                <w:sz w:val="16"/>
                <w:szCs w:val="16"/>
                <w:color w:val="auto"/>
              </w:rPr>
              <w:t>maturity value</w:t>
            </w:r>
          </w:p>
        </w:tc>
        <w:tc>
          <w:tcPr>
            <w:tcW w:w="520" w:type="dxa"/>
            <w:vAlign w:val="bottom"/>
          </w:tcPr>
          <w:p>
            <w:pPr>
              <w:spacing w:after="0"/>
              <w:rPr>
                <w:sz w:val="15"/>
                <w:szCs w:val="15"/>
                <w:color w:val="auto"/>
              </w:rPr>
            </w:pPr>
          </w:p>
        </w:tc>
        <w:tc>
          <w:tcPr>
            <w:tcW w:w="158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Cost</w:t>
            </w:r>
          </w:p>
        </w:tc>
        <w:tc>
          <w:tcPr>
            <w:tcW w:w="2140" w:type="dxa"/>
            <w:vAlign w:val="bottom"/>
          </w:tcPr>
          <w:p>
            <w:pPr>
              <w:jc w:val="center"/>
              <w:ind w:right="282"/>
              <w:spacing w:after="0" w:line="179" w:lineRule="exact"/>
              <w:rPr>
                <w:sz w:val="20"/>
                <w:szCs w:val="20"/>
                <w:color w:val="auto"/>
              </w:rPr>
            </w:pPr>
            <w:r>
              <w:rPr>
                <w:rFonts w:ascii="Courier New" w:cs="Courier New" w:eastAsia="Courier New" w:hAnsi="Courier New"/>
                <w:sz w:val="16"/>
                <w:szCs w:val="16"/>
                <w:color w:val="auto"/>
                <w:w w:val="95"/>
              </w:rPr>
              <w:t>value</w:t>
            </w: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2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32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5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560" w:type="dxa"/>
            <w:vAlign w:val="bottom"/>
          </w:tcPr>
          <w:p>
            <w:pPr>
              <w:spacing w:after="0"/>
              <w:rPr>
                <w:sz w:val="24"/>
                <w:szCs w:val="24"/>
                <w:color w:val="auto"/>
              </w:rPr>
            </w:pPr>
          </w:p>
        </w:tc>
        <w:tc>
          <w:tcPr>
            <w:tcW w:w="2320" w:type="dxa"/>
            <w:vAlign w:val="bottom"/>
          </w:tcPr>
          <w:p>
            <w:pPr>
              <w:ind w:left="80"/>
              <w:spacing w:after="0"/>
              <w:rPr>
                <w:sz w:val="20"/>
                <w:szCs w:val="20"/>
                <w:color w:val="auto"/>
              </w:rPr>
            </w:pPr>
            <w:r>
              <w:rPr>
                <w:rFonts w:ascii="Courier New" w:cs="Courier New" w:eastAsia="Courier New" w:hAnsi="Courier New"/>
                <w:sz w:val="16"/>
                <w:szCs w:val="16"/>
                <w:color w:val="auto"/>
              </w:rPr>
              <w:t>Participant loans</w:t>
            </w:r>
          </w:p>
        </w:tc>
        <w:tc>
          <w:tcPr>
            <w:tcW w:w="3200" w:type="dxa"/>
            <w:vAlign w:val="bottom"/>
          </w:tcPr>
          <w:p>
            <w:pPr>
              <w:ind w:left="280"/>
              <w:spacing w:after="0"/>
              <w:rPr>
                <w:sz w:val="20"/>
                <w:szCs w:val="20"/>
                <w:color w:val="auto"/>
              </w:rPr>
            </w:pPr>
            <w:r>
              <w:rPr>
                <w:rFonts w:ascii="Courier New" w:cs="Courier New" w:eastAsia="Courier New" w:hAnsi="Courier New"/>
                <w:sz w:val="16"/>
                <w:szCs w:val="16"/>
                <w:color w:val="auto"/>
              </w:rPr>
              <w:t>7.0% - 12.0% interest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  6,455,598</w:t>
            </w:r>
          </w:p>
        </w:tc>
      </w:tr>
      <w:tr>
        <w:trPr>
          <w:trHeight w:val="358"/>
        </w:trPr>
        <w:tc>
          <w:tcPr>
            <w:tcW w:w="5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00" w:type="dxa"/>
            <w:vAlign w:val="bottom"/>
          </w:tcPr>
          <w:p>
            <w:pPr>
              <w:ind w:left="280"/>
              <w:spacing w:after="0"/>
              <w:rPr>
                <w:sz w:val="20"/>
                <w:szCs w:val="20"/>
                <w:color w:val="auto"/>
              </w:rPr>
            </w:pPr>
            <w:r>
              <w:rPr>
                <w:rFonts w:ascii="Courier New" w:cs="Courier New" w:eastAsia="Courier New" w:hAnsi="Courier New"/>
                <w:sz w:val="16"/>
                <w:szCs w:val="16"/>
                <w:color w:val="auto"/>
              </w:rPr>
              <w:t>Employer common stock</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79"/>
        </w:trPr>
        <w:tc>
          <w:tcPr>
            <w:tcW w:w="560" w:type="dxa"/>
            <w:vAlign w:val="bottom"/>
          </w:tcPr>
          <w:p>
            <w:pPr>
              <w:spacing w:after="0"/>
              <w:rPr>
                <w:sz w:val="15"/>
                <w:szCs w:val="15"/>
                <w:color w:val="auto"/>
              </w:rPr>
            </w:pPr>
          </w:p>
        </w:tc>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Schlumberger Stock Fund</w:t>
            </w:r>
          </w:p>
        </w:tc>
        <w:tc>
          <w:tcPr>
            <w:tcW w:w="3200" w:type="dxa"/>
            <w:vAlign w:val="bottom"/>
          </w:tcPr>
          <w:p>
            <w:pPr>
              <w:jc w:val="right"/>
              <w:ind w:right="982"/>
              <w:spacing w:after="0" w:line="179" w:lineRule="exact"/>
              <w:rPr>
                <w:sz w:val="20"/>
                <w:szCs w:val="20"/>
                <w:color w:val="auto"/>
              </w:rPr>
            </w:pPr>
            <w:r>
              <w:rPr>
                <w:rFonts w:ascii="Courier New" w:cs="Courier New" w:eastAsia="Courier New" w:hAnsi="Courier New"/>
                <w:sz w:val="16"/>
                <w:szCs w:val="16"/>
                <w:color w:val="auto"/>
              </w:rPr>
              <w:t>271,256 units</w:t>
            </w:r>
          </w:p>
        </w:tc>
        <w:tc>
          <w:tcPr>
            <w:tcW w:w="520" w:type="dxa"/>
            <w:vAlign w:val="bottom"/>
          </w:tcPr>
          <w:p>
            <w:pPr>
              <w:spacing w:after="0"/>
              <w:rPr>
                <w:sz w:val="15"/>
                <w:szCs w:val="15"/>
                <w:color w:val="auto"/>
              </w:rPr>
            </w:pPr>
          </w:p>
        </w:tc>
        <w:tc>
          <w:tcPr>
            <w:tcW w:w="15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5,027,571</w:t>
            </w:r>
          </w:p>
        </w:tc>
        <w:tc>
          <w:tcPr>
            <w:tcW w:w="21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5,842,585</w:t>
            </w:r>
          </w:p>
        </w:tc>
      </w:tr>
      <w:tr>
        <w:trPr>
          <w:trHeight w:val="358"/>
        </w:trPr>
        <w:tc>
          <w:tcPr>
            <w:tcW w:w="5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00" w:type="dxa"/>
            <w:vAlign w:val="bottom"/>
          </w:tcPr>
          <w:p>
            <w:pPr>
              <w:ind w:left="280"/>
              <w:spacing w:after="0"/>
              <w:rPr>
                <w:sz w:val="20"/>
                <w:szCs w:val="20"/>
                <w:color w:val="auto"/>
              </w:rPr>
            </w:pPr>
            <w:r>
              <w:rPr>
                <w:rFonts w:ascii="Courier New" w:cs="Courier New" w:eastAsia="Courier New" w:hAnsi="Courier New"/>
                <w:sz w:val="16"/>
                <w:szCs w:val="16"/>
                <w:color w:val="auto"/>
              </w:rPr>
              <w:t>Common/collective trusts:</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79"/>
        </w:trPr>
        <w:tc>
          <w:tcPr>
            <w:tcW w:w="560" w:type="dxa"/>
            <w:vAlign w:val="bottom"/>
          </w:tcPr>
          <w:p>
            <w:pPr>
              <w:spacing w:after="0"/>
              <w:rPr>
                <w:sz w:val="15"/>
                <w:szCs w:val="15"/>
                <w:color w:val="auto"/>
              </w:rPr>
            </w:pPr>
          </w:p>
        </w:tc>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AET Equity Index Fund I</w:t>
            </w:r>
          </w:p>
        </w:tc>
        <w:tc>
          <w:tcPr>
            <w:tcW w:w="32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378,957 shares</w:t>
            </w:r>
          </w:p>
        </w:tc>
        <w:tc>
          <w:tcPr>
            <w:tcW w:w="520" w:type="dxa"/>
            <w:vAlign w:val="bottom"/>
          </w:tcPr>
          <w:p>
            <w:pPr>
              <w:spacing w:after="0"/>
              <w:rPr>
                <w:sz w:val="15"/>
                <w:szCs w:val="15"/>
                <w:color w:val="auto"/>
              </w:rPr>
            </w:pPr>
          </w:p>
        </w:tc>
        <w:tc>
          <w:tcPr>
            <w:tcW w:w="15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w w:val="95"/>
              </w:rPr>
              <w:t>11,718,446</w:t>
            </w:r>
          </w:p>
        </w:tc>
        <w:tc>
          <w:tcPr>
            <w:tcW w:w="21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15,976,063</w:t>
            </w:r>
          </w:p>
        </w:tc>
      </w:tr>
      <w:tr>
        <w:trPr>
          <w:trHeight w:val="358"/>
        </w:trPr>
        <w:tc>
          <w:tcPr>
            <w:tcW w:w="560" w:type="dxa"/>
            <w:vAlign w:val="bottom"/>
          </w:tcPr>
          <w:p>
            <w:pPr>
              <w:spacing w:after="0"/>
              <w:rPr>
                <w:sz w:val="24"/>
                <w:szCs w:val="24"/>
                <w:color w:val="auto"/>
              </w:rPr>
            </w:pPr>
          </w:p>
        </w:tc>
        <w:tc>
          <w:tcPr>
            <w:tcW w:w="2320" w:type="dxa"/>
            <w:vAlign w:val="bottom"/>
          </w:tcPr>
          <w:p>
            <w:pPr>
              <w:ind w:left="80"/>
              <w:spacing w:after="0"/>
              <w:rPr>
                <w:sz w:val="20"/>
                <w:szCs w:val="20"/>
                <w:color w:val="auto"/>
              </w:rPr>
            </w:pPr>
            <w:r>
              <w:rPr>
                <w:rFonts w:ascii="Courier New" w:cs="Courier New" w:eastAsia="Courier New" w:hAnsi="Courier New"/>
                <w:sz w:val="16"/>
                <w:szCs w:val="16"/>
                <w:color w:val="auto"/>
              </w:rPr>
              <w:t>AET Income Fund II</w:t>
            </w:r>
          </w:p>
        </w:tc>
        <w:tc>
          <w:tcPr>
            <w:tcW w:w="3200" w:type="dxa"/>
            <w:vAlign w:val="bottom"/>
          </w:tcPr>
          <w:p>
            <w:pPr>
              <w:jc w:val="center"/>
              <w:spacing w:after="0"/>
              <w:rPr>
                <w:sz w:val="20"/>
                <w:szCs w:val="20"/>
                <w:color w:val="auto"/>
              </w:rPr>
            </w:pPr>
            <w:r>
              <w:rPr>
                <w:rFonts w:ascii="Courier New" w:cs="Courier New" w:eastAsia="Courier New" w:hAnsi="Courier New"/>
                <w:sz w:val="16"/>
                <w:szCs w:val="16"/>
                <w:color w:val="auto"/>
                <w:w w:val="96"/>
              </w:rPr>
              <w:t>1,321,105 shares</w:t>
            </w:r>
          </w:p>
        </w:tc>
        <w:tc>
          <w:tcPr>
            <w:tcW w:w="520" w:type="dxa"/>
            <w:vAlign w:val="bottom"/>
          </w:tcPr>
          <w:p>
            <w:pPr>
              <w:spacing w:after="0"/>
              <w:rPr>
                <w:sz w:val="24"/>
                <w:szCs w:val="24"/>
                <w:color w:val="auto"/>
              </w:rPr>
            </w:pPr>
          </w:p>
        </w:tc>
        <w:tc>
          <w:tcPr>
            <w:tcW w:w="1580" w:type="dxa"/>
            <w:vAlign w:val="bottom"/>
          </w:tcPr>
          <w:p>
            <w:pPr>
              <w:jc w:val="right"/>
              <w:ind w:right="562"/>
              <w:spacing w:after="0"/>
              <w:rPr>
                <w:sz w:val="20"/>
                <w:szCs w:val="20"/>
                <w:color w:val="auto"/>
              </w:rPr>
            </w:pPr>
            <w:r>
              <w:rPr>
                <w:rFonts w:ascii="Courier New" w:cs="Courier New" w:eastAsia="Courier New" w:hAnsi="Courier New"/>
                <w:sz w:val="16"/>
                <w:szCs w:val="16"/>
                <w:color w:val="auto"/>
                <w:w w:val="95"/>
              </w:rPr>
              <w:t>22,828,157</w:t>
            </w:r>
          </w:p>
        </w:tc>
        <w:tc>
          <w:tcPr>
            <w:tcW w:w="21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25,777,393</w:t>
            </w:r>
          </w:p>
        </w:tc>
      </w:tr>
      <w:tr>
        <w:trPr>
          <w:trHeight w:val="358"/>
        </w:trPr>
        <w:tc>
          <w:tcPr>
            <w:tcW w:w="5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00" w:type="dxa"/>
            <w:vAlign w:val="bottom"/>
          </w:tcPr>
          <w:p>
            <w:pPr>
              <w:ind w:left="280"/>
              <w:spacing w:after="0"/>
              <w:rPr>
                <w:sz w:val="20"/>
                <w:szCs w:val="20"/>
                <w:color w:val="auto"/>
              </w:rPr>
            </w:pPr>
            <w:r>
              <w:rPr>
                <w:rFonts w:ascii="Courier New" w:cs="Courier New" w:eastAsia="Courier New" w:hAnsi="Courier New"/>
                <w:sz w:val="16"/>
                <w:szCs w:val="16"/>
                <w:color w:val="auto"/>
              </w:rPr>
              <w:t>Registered investment</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79"/>
        </w:trPr>
        <w:tc>
          <w:tcPr>
            <w:tcW w:w="5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2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companies:</w:t>
            </w:r>
          </w:p>
        </w:tc>
        <w:tc>
          <w:tcPr>
            <w:tcW w:w="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AXP International Fund</w:t>
            </w:r>
          </w:p>
        </w:tc>
        <w:tc>
          <w:tcPr>
            <w:tcW w:w="32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237,760 shares</w:t>
            </w:r>
          </w:p>
        </w:tc>
        <w:tc>
          <w:tcPr>
            <w:tcW w:w="520" w:type="dxa"/>
            <w:vAlign w:val="bottom"/>
          </w:tcPr>
          <w:p>
            <w:pPr>
              <w:spacing w:after="0"/>
              <w:rPr>
                <w:sz w:val="15"/>
                <w:szCs w:val="15"/>
                <w:color w:val="auto"/>
              </w:rPr>
            </w:pPr>
          </w:p>
        </w:tc>
        <w:tc>
          <w:tcPr>
            <w:tcW w:w="15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2,995,537</w:t>
            </w:r>
          </w:p>
        </w:tc>
        <w:tc>
          <w:tcPr>
            <w:tcW w:w="21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3,380,946</w:t>
            </w:r>
          </w:p>
        </w:tc>
      </w:tr>
      <w:tr>
        <w:trPr>
          <w:trHeight w:val="358"/>
        </w:trPr>
        <w:tc>
          <w:tcPr>
            <w:tcW w:w="560" w:type="dxa"/>
            <w:vAlign w:val="bottom"/>
          </w:tcPr>
          <w:p>
            <w:pPr>
              <w:spacing w:after="0"/>
              <w:rPr>
                <w:sz w:val="24"/>
                <w:szCs w:val="24"/>
                <w:color w:val="auto"/>
              </w:rPr>
            </w:pPr>
          </w:p>
        </w:tc>
        <w:tc>
          <w:tcPr>
            <w:tcW w:w="2320" w:type="dxa"/>
            <w:vAlign w:val="bottom"/>
          </w:tcPr>
          <w:p>
            <w:pPr>
              <w:ind w:left="80"/>
              <w:spacing w:after="0"/>
              <w:rPr>
                <w:sz w:val="20"/>
                <w:szCs w:val="20"/>
                <w:color w:val="auto"/>
              </w:rPr>
            </w:pPr>
            <w:r>
              <w:rPr>
                <w:rFonts w:ascii="Courier New" w:cs="Courier New" w:eastAsia="Courier New" w:hAnsi="Courier New"/>
                <w:sz w:val="16"/>
                <w:szCs w:val="16"/>
                <w:color w:val="auto"/>
              </w:rPr>
              <w:t>AXP New Dimensions Fund</w:t>
            </w:r>
          </w:p>
        </w:tc>
        <w:tc>
          <w:tcPr>
            <w:tcW w:w="3200" w:type="dxa"/>
            <w:vAlign w:val="bottom"/>
          </w:tcPr>
          <w:p>
            <w:pPr>
              <w:jc w:val="center"/>
              <w:spacing w:after="0"/>
              <w:rPr>
                <w:sz w:val="20"/>
                <w:szCs w:val="20"/>
                <w:color w:val="auto"/>
              </w:rPr>
            </w:pPr>
            <w:r>
              <w:rPr>
                <w:rFonts w:ascii="Courier New" w:cs="Courier New" w:eastAsia="Courier New" w:hAnsi="Courier New"/>
                <w:sz w:val="16"/>
                <w:szCs w:val="16"/>
                <w:color w:val="auto"/>
                <w:w w:val="96"/>
              </w:rPr>
              <w:t>1,110,241 shares</w:t>
            </w:r>
          </w:p>
        </w:tc>
        <w:tc>
          <w:tcPr>
            <w:tcW w:w="520" w:type="dxa"/>
            <w:vAlign w:val="bottom"/>
          </w:tcPr>
          <w:p>
            <w:pPr>
              <w:spacing w:after="0"/>
              <w:rPr>
                <w:sz w:val="24"/>
                <w:szCs w:val="24"/>
                <w:color w:val="auto"/>
              </w:rPr>
            </w:pPr>
          </w:p>
        </w:tc>
        <w:tc>
          <w:tcPr>
            <w:tcW w:w="1580" w:type="dxa"/>
            <w:vAlign w:val="bottom"/>
          </w:tcPr>
          <w:p>
            <w:pPr>
              <w:jc w:val="right"/>
              <w:ind w:right="562"/>
              <w:spacing w:after="0"/>
              <w:rPr>
                <w:sz w:val="20"/>
                <w:szCs w:val="20"/>
                <w:color w:val="auto"/>
              </w:rPr>
            </w:pPr>
            <w:r>
              <w:rPr>
                <w:rFonts w:ascii="Courier New" w:cs="Courier New" w:eastAsia="Courier New" w:hAnsi="Courier New"/>
                <w:sz w:val="16"/>
                <w:szCs w:val="16"/>
                <w:color w:val="auto"/>
                <w:w w:val="95"/>
              </w:rPr>
              <w:t>27,625,622</w:t>
            </w:r>
          </w:p>
        </w:tc>
        <w:tc>
          <w:tcPr>
            <w:tcW w:w="21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39,757,745</w:t>
            </w:r>
          </w:p>
        </w:tc>
      </w:tr>
      <w:tr>
        <w:trPr>
          <w:trHeight w:val="358"/>
        </w:trPr>
        <w:tc>
          <w:tcPr>
            <w:tcW w:w="560" w:type="dxa"/>
            <w:vAlign w:val="bottom"/>
          </w:tcPr>
          <w:p>
            <w:pPr>
              <w:spacing w:after="0"/>
              <w:rPr>
                <w:sz w:val="24"/>
                <w:szCs w:val="24"/>
                <w:color w:val="auto"/>
              </w:rPr>
            </w:pPr>
          </w:p>
        </w:tc>
        <w:tc>
          <w:tcPr>
            <w:tcW w:w="2320" w:type="dxa"/>
            <w:vAlign w:val="bottom"/>
          </w:tcPr>
          <w:p>
            <w:pPr>
              <w:ind w:left="80"/>
              <w:spacing w:after="0"/>
              <w:rPr>
                <w:sz w:val="20"/>
                <w:szCs w:val="20"/>
                <w:color w:val="auto"/>
              </w:rPr>
            </w:pPr>
            <w:r>
              <w:rPr>
                <w:rFonts w:ascii="Courier New" w:cs="Courier New" w:eastAsia="Courier New" w:hAnsi="Courier New"/>
                <w:sz w:val="16"/>
                <w:szCs w:val="16"/>
                <w:color w:val="auto"/>
              </w:rPr>
              <w:t>AXP Mutual Fund</w:t>
            </w:r>
          </w:p>
        </w:tc>
        <w:tc>
          <w:tcPr>
            <w:tcW w:w="3200" w:type="dxa"/>
            <w:vAlign w:val="bottom"/>
          </w:tcPr>
          <w:p>
            <w:pPr>
              <w:jc w:val="center"/>
              <w:spacing w:after="0"/>
              <w:rPr>
                <w:sz w:val="20"/>
                <w:szCs w:val="20"/>
                <w:color w:val="auto"/>
              </w:rPr>
            </w:pPr>
            <w:r>
              <w:rPr>
                <w:rFonts w:ascii="Courier New" w:cs="Courier New" w:eastAsia="Courier New" w:hAnsi="Courier New"/>
                <w:sz w:val="16"/>
                <w:szCs w:val="16"/>
                <w:color w:val="auto"/>
                <w:w w:val="98"/>
              </w:rPr>
              <w:t>671,862 shares</w:t>
            </w:r>
          </w:p>
        </w:tc>
        <w:tc>
          <w:tcPr>
            <w:tcW w:w="520" w:type="dxa"/>
            <w:vAlign w:val="bottom"/>
          </w:tcPr>
          <w:p>
            <w:pPr>
              <w:spacing w:after="0"/>
              <w:rPr>
                <w:sz w:val="24"/>
                <w:szCs w:val="24"/>
                <w:color w:val="auto"/>
              </w:rPr>
            </w:pPr>
          </w:p>
        </w:tc>
        <w:tc>
          <w:tcPr>
            <w:tcW w:w="158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9,011,303</w:t>
            </w:r>
          </w:p>
        </w:tc>
        <w:tc>
          <w:tcPr>
            <w:tcW w:w="21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8,525,930</w:t>
            </w:r>
          </w:p>
        </w:tc>
      </w:tr>
      <w:tr>
        <w:trPr>
          <w:trHeight w:val="358"/>
        </w:trPr>
        <w:tc>
          <w:tcPr>
            <w:tcW w:w="560" w:type="dxa"/>
            <w:vAlign w:val="bottom"/>
          </w:tcPr>
          <w:p>
            <w:pPr>
              <w:spacing w:after="0"/>
              <w:rPr>
                <w:sz w:val="24"/>
                <w:szCs w:val="24"/>
                <w:color w:val="auto"/>
              </w:rPr>
            </w:pPr>
          </w:p>
        </w:tc>
        <w:tc>
          <w:tcPr>
            <w:tcW w:w="2320" w:type="dxa"/>
            <w:vAlign w:val="bottom"/>
          </w:tcPr>
          <w:p>
            <w:pPr>
              <w:ind w:left="80"/>
              <w:spacing w:after="0"/>
              <w:rPr>
                <w:sz w:val="20"/>
                <w:szCs w:val="20"/>
                <w:color w:val="auto"/>
              </w:rPr>
            </w:pPr>
            <w:r>
              <w:rPr>
                <w:rFonts w:ascii="Courier New" w:cs="Courier New" w:eastAsia="Courier New" w:hAnsi="Courier New"/>
                <w:sz w:val="16"/>
                <w:szCs w:val="16"/>
                <w:color w:val="auto"/>
              </w:rPr>
              <w:t>AXP Federal Income Fund</w:t>
            </w:r>
          </w:p>
        </w:tc>
        <w:tc>
          <w:tcPr>
            <w:tcW w:w="3200" w:type="dxa"/>
            <w:vAlign w:val="bottom"/>
          </w:tcPr>
          <w:p>
            <w:pPr>
              <w:jc w:val="center"/>
              <w:spacing w:after="0"/>
              <w:rPr>
                <w:sz w:val="20"/>
                <w:szCs w:val="20"/>
                <w:color w:val="auto"/>
              </w:rPr>
            </w:pPr>
            <w:r>
              <w:rPr>
                <w:rFonts w:ascii="Courier New" w:cs="Courier New" w:eastAsia="Courier New" w:hAnsi="Courier New"/>
                <w:sz w:val="16"/>
                <w:szCs w:val="16"/>
                <w:color w:val="auto"/>
                <w:w w:val="96"/>
              </w:rPr>
              <w:t>3,635,337 shares</w:t>
            </w:r>
          </w:p>
        </w:tc>
        <w:tc>
          <w:tcPr>
            <w:tcW w:w="520" w:type="dxa"/>
            <w:vAlign w:val="bottom"/>
          </w:tcPr>
          <w:p>
            <w:pPr>
              <w:spacing w:after="0"/>
              <w:rPr>
                <w:sz w:val="24"/>
                <w:szCs w:val="24"/>
                <w:color w:val="auto"/>
              </w:rPr>
            </w:pPr>
          </w:p>
        </w:tc>
        <w:tc>
          <w:tcPr>
            <w:tcW w:w="1580" w:type="dxa"/>
            <w:vAlign w:val="bottom"/>
          </w:tcPr>
          <w:p>
            <w:pPr>
              <w:jc w:val="right"/>
              <w:ind w:right="562"/>
              <w:spacing w:after="0"/>
              <w:rPr>
                <w:sz w:val="20"/>
                <w:szCs w:val="20"/>
                <w:color w:val="auto"/>
              </w:rPr>
            </w:pPr>
            <w:r>
              <w:rPr>
                <w:rFonts w:ascii="Courier New" w:cs="Courier New" w:eastAsia="Courier New" w:hAnsi="Courier New"/>
                <w:sz w:val="16"/>
                <w:szCs w:val="16"/>
                <w:color w:val="auto"/>
                <w:w w:val="95"/>
              </w:rPr>
              <w:t>18,315,114</w:t>
            </w:r>
          </w:p>
        </w:tc>
        <w:tc>
          <w:tcPr>
            <w:tcW w:w="21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17,304,202</w:t>
            </w:r>
          </w:p>
        </w:tc>
      </w:tr>
      <w:tr>
        <w:trPr>
          <w:trHeight w:val="358"/>
        </w:trPr>
        <w:tc>
          <w:tcPr>
            <w:tcW w:w="560" w:type="dxa"/>
            <w:vAlign w:val="bottom"/>
          </w:tcPr>
          <w:p>
            <w:pPr>
              <w:spacing w:after="0"/>
              <w:rPr>
                <w:sz w:val="24"/>
                <w:szCs w:val="24"/>
                <w:color w:val="auto"/>
              </w:rPr>
            </w:pPr>
          </w:p>
        </w:tc>
        <w:tc>
          <w:tcPr>
            <w:tcW w:w="2320" w:type="dxa"/>
            <w:vAlign w:val="bottom"/>
          </w:tcPr>
          <w:p>
            <w:pPr>
              <w:ind w:left="80"/>
              <w:spacing w:after="0"/>
              <w:rPr>
                <w:sz w:val="20"/>
                <w:szCs w:val="20"/>
                <w:color w:val="auto"/>
              </w:rPr>
            </w:pPr>
            <w:r>
              <w:rPr>
                <w:rFonts w:ascii="Courier New" w:cs="Courier New" w:eastAsia="Courier New" w:hAnsi="Courier New"/>
                <w:sz w:val="16"/>
                <w:szCs w:val="16"/>
                <w:color w:val="auto"/>
              </w:rPr>
              <w:t>AIM Constellation Fund</w:t>
            </w:r>
          </w:p>
        </w:tc>
        <w:tc>
          <w:tcPr>
            <w:tcW w:w="3200" w:type="dxa"/>
            <w:vAlign w:val="bottom"/>
          </w:tcPr>
          <w:p>
            <w:pPr>
              <w:jc w:val="right"/>
              <w:ind w:right="982"/>
              <w:spacing w:after="0"/>
              <w:rPr>
                <w:sz w:val="20"/>
                <w:szCs w:val="20"/>
                <w:color w:val="auto"/>
              </w:rPr>
            </w:pPr>
            <w:r>
              <w:rPr>
                <w:rFonts w:ascii="Courier New" w:cs="Courier New" w:eastAsia="Courier New" w:hAnsi="Courier New"/>
                <w:sz w:val="16"/>
                <w:szCs w:val="16"/>
                <w:color w:val="auto"/>
              </w:rPr>
              <w:t>77,110 shares</w:t>
            </w:r>
          </w:p>
        </w:tc>
        <w:tc>
          <w:tcPr>
            <w:tcW w:w="520" w:type="dxa"/>
            <w:vAlign w:val="bottom"/>
          </w:tcPr>
          <w:p>
            <w:pPr>
              <w:spacing w:after="0"/>
              <w:rPr>
                <w:sz w:val="24"/>
                <w:szCs w:val="24"/>
                <w:color w:val="auto"/>
              </w:rPr>
            </w:pPr>
          </w:p>
        </w:tc>
        <w:tc>
          <w:tcPr>
            <w:tcW w:w="158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2,472,100</w:t>
            </w:r>
          </w:p>
        </w:tc>
        <w:tc>
          <w:tcPr>
            <w:tcW w:w="21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3,123,706</w:t>
            </w:r>
          </w:p>
        </w:tc>
      </w:tr>
      <w:tr>
        <w:trPr>
          <w:trHeight w:val="179"/>
        </w:trPr>
        <w:tc>
          <w:tcPr>
            <w:tcW w:w="5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10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10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$99,993,850</w:t>
            </w:r>
          </w:p>
        </w:tc>
        <w:tc>
          <w:tcPr>
            <w:tcW w:w="21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$126,144,168</w:t>
            </w:r>
          </w:p>
        </w:tc>
      </w:tr>
      <w:tr>
        <w:trPr>
          <w:trHeight w:val="179"/>
        </w:trPr>
        <w:tc>
          <w:tcPr>
            <w:tcW w:w="5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10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5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00" w:type="dxa"/>
            <w:vAlign w:val="bottom"/>
          </w:tcPr>
          <w:p>
            <w:pPr>
              <w:ind w:left="660"/>
              <w:spacing w:after="0"/>
              <w:rPr>
                <w:sz w:val="20"/>
                <w:szCs w:val="20"/>
                <w:color w:val="auto"/>
              </w:rPr>
            </w:pPr>
            <w:r>
              <w:rPr>
                <w:rFonts w:ascii="Courier New" w:cs="Courier New" w:eastAsia="Courier New" w:hAnsi="Courier New"/>
                <w:sz w:val="16"/>
                <w:szCs w:val="16"/>
                <w:color w:val="auto"/>
              </w:rPr>
              <w:t>-10-</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ectPr>
          <w:pgSz w:w="11900" w:h="16838" w:orient="portrait"/>
          <w:cols w:equalWidth="0" w:num="1">
            <w:col w:w="10320"/>
          </w:cols>
          <w:pgMar w:left="240" w:top="648" w:right="1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60" w:type="dxa"/>
            <w:vAlign w:val="bottom"/>
          </w:tcPr>
          <w:p>
            <w:pPr>
              <w:spacing w:after="0"/>
              <w:rPr>
                <w:sz w:val="15"/>
                <w:szCs w:val="15"/>
                <w:color w:val="auto"/>
              </w:rPr>
            </w:pPr>
          </w:p>
        </w:tc>
        <w:tc>
          <w:tcPr>
            <w:tcW w:w="3120" w:type="dxa"/>
            <w:vAlign w:val="bottom"/>
            <w:gridSpan w:val="3"/>
          </w:tcPr>
          <w:p>
            <w:pPr>
              <w:jc w:val="center"/>
              <w:ind w:right="622"/>
              <w:spacing w:after="0"/>
              <w:rPr>
                <w:sz w:val="20"/>
                <w:szCs w:val="20"/>
                <w:color w:val="auto"/>
              </w:rPr>
            </w:pPr>
            <w:r>
              <w:rPr>
                <w:rFonts w:ascii="Courier New" w:cs="Courier New" w:eastAsia="Courier New" w:hAnsi="Courier New"/>
                <w:sz w:val="16"/>
                <w:szCs w:val="16"/>
                <w:color w:val="auto"/>
                <w:w w:val="97"/>
              </w:rPr>
              <w:t>Schedule H, Line 4j</w:t>
            </w:r>
          </w:p>
        </w:tc>
        <w:tc>
          <w:tcPr>
            <w:tcW w:w="1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9"/>
        </w:trPr>
        <w:tc>
          <w:tcPr>
            <w:tcW w:w="5580" w:type="dxa"/>
            <w:vAlign w:val="bottom"/>
            <w:gridSpan w:val="4"/>
          </w:tcPr>
          <w:p>
            <w:pPr>
              <w:jc w:val="center"/>
              <w:ind w:left="1682"/>
              <w:spacing w:after="0" w:line="179" w:lineRule="exact"/>
              <w:rPr>
                <w:sz w:val="20"/>
                <w:szCs w:val="20"/>
                <w:color w:val="auto"/>
              </w:rPr>
            </w:pPr>
            <w:r>
              <w:rPr>
                <w:rFonts w:ascii="Courier New" w:cs="Courier New" w:eastAsia="Courier New" w:hAnsi="Courier New"/>
                <w:sz w:val="16"/>
                <w:szCs w:val="16"/>
                <w:color w:val="auto"/>
                <w:w w:val="97"/>
              </w:rPr>
              <w:t>Schedule of Reportable Transactions</w:t>
            </w:r>
          </w:p>
        </w:tc>
        <w:tc>
          <w:tcPr>
            <w:tcW w:w="1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9"/>
        </w:trPr>
        <w:tc>
          <w:tcPr>
            <w:tcW w:w="2460" w:type="dxa"/>
            <w:vAlign w:val="bottom"/>
          </w:tcPr>
          <w:p>
            <w:pPr>
              <w:spacing w:after="0"/>
              <w:rPr>
                <w:sz w:val="15"/>
                <w:szCs w:val="15"/>
                <w:color w:val="auto"/>
              </w:rPr>
            </w:pPr>
          </w:p>
        </w:tc>
        <w:tc>
          <w:tcPr>
            <w:tcW w:w="3120" w:type="dxa"/>
            <w:vAlign w:val="bottom"/>
            <w:gridSpan w:val="3"/>
          </w:tcPr>
          <w:p>
            <w:pPr>
              <w:jc w:val="center"/>
              <w:ind w:right="622"/>
              <w:spacing w:after="0" w:line="179" w:lineRule="exact"/>
              <w:rPr>
                <w:sz w:val="20"/>
                <w:szCs w:val="20"/>
                <w:color w:val="auto"/>
              </w:rPr>
            </w:pPr>
            <w:r>
              <w:rPr>
                <w:rFonts w:ascii="Courier New" w:cs="Courier New" w:eastAsia="Courier New" w:hAnsi="Courier New"/>
                <w:sz w:val="16"/>
                <w:szCs w:val="16"/>
                <w:color w:val="auto"/>
                <w:w w:val="96"/>
              </w:rPr>
              <w:t>Camco Thrift Plan</w:t>
            </w:r>
          </w:p>
        </w:tc>
        <w:tc>
          <w:tcPr>
            <w:tcW w:w="1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9"/>
        </w:trPr>
        <w:tc>
          <w:tcPr>
            <w:tcW w:w="2460" w:type="dxa"/>
            <w:vAlign w:val="bottom"/>
          </w:tcPr>
          <w:p>
            <w:pPr>
              <w:spacing w:after="0"/>
              <w:rPr>
                <w:sz w:val="15"/>
                <w:szCs w:val="15"/>
                <w:color w:val="auto"/>
              </w:rPr>
            </w:pPr>
          </w:p>
        </w:tc>
        <w:tc>
          <w:tcPr>
            <w:tcW w:w="5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EIN:</w:t>
            </w:r>
          </w:p>
        </w:tc>
        <w:tc>
          <w:tcPr>
            <w:tcW w:w="25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13-3517570; P/N 001</w:t>
            </w:r>
          </w:p>
        </w:tc>
        <w:tc>
          <w:tcPr>
            <w:tcW w:w="1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9"/>
        </w:trPr>
        <w:tc>
          <w:tcPr>
            <w:tcW w:w="5580" w:type="dxa"/>
            <w:vAlign w:val="bottom"/>
            <w:gridSpan w:val="4"/>
          </w:tcPr>
          <w:p>
            <w:pPr>
              <w:ind w:left="2040"/>
              <w:spacing w:after="0" w:line="179" w:lineRule="exact"/>
              <w:rPr>
                <w:sz w:val="20"/>
                <w:szCs w:val="20"/>
                <w:color w:val="auto"/>
              </w:rPr>
            </w:pPr>
            <w:r>
              <w:rPr>
                <w:rFonts w:ascii="Courier New" w:cs="Courier New" w:eastAsia="Courier New" w:hAnsi="Courier New"/>
                <w:sz w:val="16"/>
                <w:szCs w:val="16"/>
                <w:color w:val="auto"/>
              </w:rPr>
              <w:t>For the Year Ended December 31, 1999</w:t>
            </w:r>
          </w:p>
        </w:tc>
        <w:tc>
          <w:tcPr>
            <w:tcW w:w="1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894"/>
        </w:trPr>
        <w:tc>
          <w:tcPr>
            <w:tcW w:w="2460" w:type="dxa"/>
            <w:vAlign w:val="bottom"/>
          </w:tcPr>
          <w:p>
            <w:pPr>
              <w:ind w:left="560"/>
              <w:spacing w:after="0"/>
              <w:rPr>
                <w:sz w:val="20"/>
                <w:szCs w:val="20"/>
                <w:color w:val="auto"/>
              </w:rPr>
            </w:pPr>
            <w:r>
              <w:rPr>
                <w:rFonts w:ascii="Courier New" w:cs="Courier New" w:eastAsia="Courier New" w:hAnsi="Courier New"/>
                <w:sz w:val="16"/>
                <w:szCs w:val="16"/>
                <w:color w:val="auto"/>
              </w:rPr>
              <w:t>(a)</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20" w:type="dxa"/>
            <w:vAlign w:val="bottom"/>
          </w:tcPr>
          <w:p>
            <w:pPr>
              <w:jc w:val="right"/>
              <w:ind w:right="1002"/>
              <w:spacing w:after="0"/>
              <w:rPr>
                <w:sz w:val="20"/>
                <w:szCs w:val="20"/>
                <w:color w:val="auto"/>
              </w:rPr>
            </w:pPr>
            <w:r>
              <w:rPr>
                <w:rFonts w:ascii="Courier New" w:cs="Courier New" w:eastAsia="Courier New" w:hAnsi="Courier New"/>
                <w:sz w:val="16"/>
                <w:szCs w:val="16"/>
                <w:color w:val="auto"/>
              </w:rPr>
              <w:t>(c)</w:t>
            </w:r>
          </w:p>
        </w:tc>
        <w:tc>
          <w:tcPr>
            <w:tcW w:w="2000" w:type="dxa"/>
            <w:vAlign w:val="bottom"/>
          </w:tcPr>
          <w:p>
            <w:pPr>
              <w:jc w:val="center"/>
              <w:ind w:right="82"/>
              <w:spacing w:after="0"/>
              <w:rPr>
                <w:sz w:val="20"/>
                <w:szCs w:val="20"/>
                <w:color w:val="auto"/>
              </w:rPr>
            </w:pPr>
            <w:r>
              <w:rPr>
                <w:rFonts w:ascii="Courier New" w:cs="Courier New" w:eastAsia="Courier New" w:hAnsi="Courier New"/>
                <w:sz w:val="16"/>
                <w:szCs w:val="16"/>
                <w:color w:val="auto"/>
                <w:w w:val="97"/>
              </w:rPr>
              <w:t>(d)</w:t>
            </w:r>
          </w:p>
        </w:tc>
        <w:tc>
          <w:tcPr>
            <w:tcW w:w="15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(i)</w:t>
            </w:r>
          </w:p>
        </w:tc>
      </w:tr>
      <w:tr>
        <w:trPr>
          <w:trHeight w:val="179"/>
        </w:trPr>
        <w:tc>
          <w:tcPr>
            <w:tcW w:w="2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Identity of</w:t>
            </w:r>
          </w:p>
        </w:tc>
        <w:tc>
          <w:tcPr>
            <w:tcW w:w="560" w:type="dxa"/>
            <w:vAlign w:val="bottom"/>
          </w:tcPr>
          <w:p>
            <w:pPr>
              <w:spacing w:after="0"/>
              <w:rPr>
                <w:sz w:val="15"/>
                <w:szCs w:val="15"/>
                <w:color w:val="auto"/>
              </w:rPr>
            </w:pPr>
          </w:p>
        </w:tc>
        <w:tc>
          <w:tcPr>
            <w:tcW w:w="11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(b)</w:t>
            </w:r>
          </w:p>
        </w:tc>
        <w:tc>
          <w:tcPr>
            <w:tcW w:w="1440" w:type="dxa"/>
            <w:vAlign w:val="bottom"/>
          </w:tcPr>
          <w:p>
            <w:pPr>
              <w:spacing w:after="0"/>
              <w:rPr>
                <w:sz w:val="15"/>
                <w:szCs w:val="15"/>
                <w:color w:val="auto"/>
              </w:rPr>
            </w:pPr>
          </w:p>
        </w:tc>
        <w:tc>
          <w:tcPr>
            <w:tcW w:w="18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Purchase</w:t>
            </w:r>
          </w:p>
        </w:tc>
        <w:tc>
          <w:tcPr>
            <w:tcW w:w="200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5"/>
              </w:rPr>
              <w:t>Selling</w:t>
            </w:r>
          </w:p>
        </w:tc>
        <w:tc>
          <w:tcPr>
            <w:tcW w:w="158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Net gain</w:t>
            </w:r>
          </w:p>
        </w:tc>
      </w:tr>
      <w:tr>
        <w:trPr>
          <w:trHeight w:val="179"/>
        </w:trPr>
        <w:tc>
          <w:tcPr>
            <w:tcW w:w="2460" w:type="dxa"/>
            <w:vAlign w:val="bottom"/>
          </w:tcPr>
          <w:p>
            <w:pPr>
              <w:spacing w:after="0" w:line="179" w:lineRule="exact"/>
              <w:rPr>
                <w:sz w:val="20"/>
                <w:szCs w:val="20"/>
                <w:color w:val="auto"/>
              </w:rPr>
            </w:pPr>
            <w:r>
              <w:rPr>
                <w:rFonts w:ascii="Courier New" w:cs="Courier New" w:eastAsia="Courier New" w:hAnsi="Courier New"/>
                <w:sz w:val="16"/>
                <w:szCs w:val="16"/>
                <w:color w:val="auto"/>
              </w:rPr>
              <w:t>party involved</w:t>
            </w:r>
          </w:p>
        </w:tc>
        <w:tc>
          <w:tcPr>
            <w:tcW w:w="3120" w:type="dxa"/>
            <w:vAlign w:val="bottom"/>
            <w:gridSpan w:val="3"/>
          </w:tcPr>
          <w:p>
            <w:pPr>
              <w:ind w:left="240"/>
              <w:spacing w:after="0" w:line="179" w:lineRule="exact"/>
              <w:rPr>
                <w:sz w:val="20"/>
                <w:szCs w:val="20"/>
                <w:color w:val="auto"/>
              </w:rPr>
            </w:pPr>
            <w:r>
              <w:rPr>
                <w:rFonts w:ascii="Courier New" w:cs="Courier New" w:eastAsia="Courier New" w:hAnsi="Courier New"/>
                <w:sz w:val="16"/>
                <w:szCs w:val="16"/>
                <w:color w:val="auto"/>
              </w:rPr>
              <w:t>Description of asset</w:t>
            </w:r>
          </w:p>
        </w:tc>
        <w:tc>
          <w:tcPr>
            <w:tcW w:w="1820" w:type="dxa"/>
            <w:vAlign w:val="bottom"/>
          </w:tcPr>
          <w:p>
            <w:pPr>
              <w:jc w:val="right"/>
              <w:ind w:right="822"/>
              <w:spacing w:after="0" w:line="179" w:lineRule="exact"/>
              <w:rPr>
                <w:sz w:val="20"/>
                <w:szCs w:val="20"/>
                <w:color w:val="auto"/>
              </w:rPr>
            </w:pPr>
            <w:r>
              <w:rPr>
                <w:rFonts w:ascii="Courier New" w:cs="Courier New" w:eastAsia="Courier New" w:hAnsi="Courier New"/>
                <w:sz w:val="16"/>
                <w:szCs w:val="16"/>
                <w:color w:val="auto"/>
              </w:rPr>
              <w:t>price</w:t>
            </w:r>
          </w:p>
        </w:tc>
        <w:tc>
          <w:tcPr>
            <w:tcW w:w="200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9"/>
              </w:rPr>
              <w:t>price</w:t>
            </w:r>
          </w:p>
        </w:tc>
        <w:tc>
          <w:tcPr>
            <w:tcW w:w="158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or (loss)</w:t>
            </w:r>
          </w:p>
        </w:tc>
      </w:tr>
      <w:tr>
        <w:trPr>
          <w:trHeight w:val="179"/>
        </w:trPr>
        <w:tc>
          <w:tcPr>
            <w:tcW w:w="24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 ------------------------</w:t>
            </w:r>
          </w:p>
        </w:tc>
        <w:tc>
          <w:tcPr>
            <w:tcW w:w="3120" w:type="dxa"/>
            <w:vAlign w:val="bottom"/>
            <w:gridSpan w:val="3"/>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2460" w:type="dxa"/>
            <w:vAlign w:val="bottom"/>
          </w:tcPr>
          <w:p>
            <w:pPr>
              <w:spacing w:after="0"/>
              <w:rPr>
                <w:sz w:val="24"/>
                <w:szCs w:val="24"/>
                <w:color w:val="auto"/>
              </w:rPr>
            </w:pPr>
          </w:p>
        </w:tc>
        <w:tc>
          <w:tcPr>
            <w:tcW w:w="31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Employer common stock</w:t>
            </w:r>
          </w:p>
        </w:tc>
        <w:tc>
          <w:tcPr>
            <w:tcW w:w="1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9"/>
        </w:trPr>
        <w:tc>
          <w:tcPr>
            <w:tcW w:w="2460" w:type="dxa"/>
            <w:vAlign w:val="bottom"/>
          </w:tcPr>
          <w:p>
            <w:pPr>
              <w:spacing w:after="0" w:line="179" w:lineRule="exact"/>
              <w:rPr>
                <w:sz w:val="20"/>
                <w:szCs w:val="20"/>
                <w:color w:val="auto"/>
              </w:rPr>
            </w:pPr>
            <w:r>
              <w:rPr>
                <w:rFonts w:ascii="Courier New" w:cs="Courier New" w:eastAsia="Courier New" w:hAnsi="Courier New"/>
                <w:sz w:val="16"/>
                <w:szCs w:val="16"/>
                <w:color w:val="auto"/>
              </w:rPr>
              <w:t>Schlumberger Stock Fund</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107</w:t>
            </w:r>
          </w:p>
        </w:tc>
        <w:tc>
          <w:tcPr>
            <w:tcW w:w="25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purchases, 113 sales</w:t>
            </w:r>
          </w:p>
        </w:tc>
        <w:tc>
          <w:tcPr>
            <w:tcW w:w="18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$ 2,125,020</w:t>
            </w:r>
          </w:p>
        </w:tc>
        <w:tc>
          <w:tcPr>
            <w:tcW w:w="20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$ 1,610,589</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375,614</w:t>
            </w:r>
          </w:p>
        </w:tc>
      </w:tr>
      <w:tr>
        <w:trPr>
          <w:trHeight w:val="358"/>
        </w:trPr>
        <w:tc>
          <w:tcPr>
            <w:tcW w:w="2460" w:type="dxa"/>
            <w:vAlign w:val="bottom"/>
          </w:tcPr>
          <w:p>
            <w:pPr>
              <w:spacing w:after="0"/>
              <w:rPr>
                <w:sz w:val="24"/>
                <w:szCs w:val="24"/>
                <w:color w:val="auto"/>
              </w:rPr>
            </w:pPr>
          </w:p>
        </w:tc>
        <w:tc>
          <w:tcPr>
            <w:tcW w:w="31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Common/collective trusts:</w:t>
            </w:r>
          </w:p>
        </w:tc>
        <w:tc>
          <w:tcPr>
            <w:tcW w:w="1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9"/>
        </w:trPr>
        <w:tc>
          <w:tcPr>
            <w:tcW w:w="2460" w:type="dxa"/>
            <w:vAlign w:val="bottom"/>
          </w:tcPr>
          <w:p>
            <w:pPr>
              <w:spacing w:after="0" w:line="179" w:lineRule="exact"/>
              <w:rPr>
                <w:sz w:val="20"/>
                <w:szCs w:val="20"/>
                <w:color w:val="auto"/>
              </w:rPr>
            </w:pPr>
            <w:r>
              <w:rPr>
                <w:rFonts w:ascii="Courier New" w:cs="Courier New" w:eastAsia="Courier New" w:hAnsi="Courier New"/>
                <w:sz w:val="16"/>
                <w:szCs w:val="16"/>
                <w:color w:val="auto"/>
              </w:rPr>
              <w:t>AET Equity Index Fund I</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109</w:t>
            </w:r>
          </w:p>
        </w:tc>
        <w:tc>
          <w:tcPr>
            <w:tcW w:w="25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purchases, 124 sales</w:t>
            </w:r>
          </w:p>
        </w:tc>
        <w:tc>
          <w:tcPr>
            <w:tcW w:w="18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2,986,546</w:t>
            </w:r>
          </w:p>
        </w:tc>
        <w:tc>
          <w:tcPr>
            <w:tcW w:w="20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3,637,886</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588,837</w:t>
            </w:r>
          </w:p>
        </w:tc>
      </w:tr>
      <w:tr>
        <w:trPr>
          <w:trHeight w:val="358"/>
        </w:trPr>
        <w:tc>
          <w:tcPr>
            <w:tcW w:w="2460" w:type="dxa"/>
            <w:vAlign w:val="bottom"/>
          </w:tcPr>
          <w:p>
            <w:pPr>
              <w:spacing w:after="0"/>
              <w:rPr>
                <w:sz w:val="20"/>
                <w:szCs w:val="20"/>
                <w:color w:val="auto"/>
              </w:rPr>
            </w:pPr>
            <w:r>
              <w:rPr>
                <w:rFonts w:ascii="Courier New" w:cs="Courier New" w:eastAsia="Courier New" w:hAnsi="Courier New"/>
                <w:sz w:val="16"/>
                <w:szCs w:val="16"/>
                <w:color w:val="auto"/>
              </w:rPr>
              <w:t>AET Income Fund II</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99</w:t>
            </w:r>
          </w:p>
        </w:tc>
        <w:tc>
          <w:tcPr>
            <w:tcW w:w="25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purchases, 149 sales</w:t>
            </w:r>
          </w:p>
        </w:tc>
        <w:tc>
          <w:tcPr>
            <w:tcW w:w="18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9,239,389</w:t>
            </w:r>
          </w:p>
        </w:tc>
        <w:tc>
          <w:tcPr>
            <w:tcW w:w="20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10,187,871</w:t>
            </w:r>
          </w:p>
        </w:tc>
        <w:tc>
          <w:tcPr>
            <w:tcW w:w="15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1,990,774</w:t>
            </w:r>
          </w:p>
        </w:tc>
      </w:tr>
      <w:tr>
        <w:trPr>
          <w:trHeight w:val="358"/>
        </w:trPr>
        <w:tc>
          <w:tcPr>
            <w:tcW w:w="2460" w:type="dxa"/>
            <w:vAlign w:val="bottom"/>
          </w:tcPr>
          <w:p>
            <w:pPr>
              <w:spacing w:after="0"/>
              <w:rPr>
                <w:sz w:val="24"/>
                <w:szCs w:val="24"/>
                <w:color w:val="auto"/>
              </w:rPr>
            </w:pPr>
          </w:p>
        </w:tc>
        <w:tc>
          <w:tcPr>
            <w:tcW w:w="31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Registered investment</w:t>
            </w:r>
          </w:p>
        </w:tc>
        <w:tc>
          <w:tcPr>
            <w:tcW w:w="1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9"/>
        </w:trPr>
        <w:tc>
          <w:tcPr>
            <w:tcW w:w="2460" w:type="dxa"/>
            <w:vAlign w:val="bottom"/>
          </w:tcPr>
          <w:p>
            <w:pPr>
              <w:spacing w:after="0"/>
              <w:rPr>
                <w:sz w:val="15"/>
                <w:szCs w:val="15"/>
                <w:color w:val="auto"/>
              </w:rPr>
            </w:pPr>
          </w:p>
        </w:tc>
        <w:tc>
          <w:tcPr>
            <w:tcW w:w="168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companies:</w:t>
            </w:r>
          </w:p>
        </w:tc>
        <w:tc>
          <w:tcPr>
            <w:tcW w:w="14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9"/>
        </w:trPr>
        <w:tc>
          <w:tcPr>
            <w:tcW w:w="2460" w:type="dxa"/>
            <w:vAlign w:val="bottom"/>
          </w:tcPr>
          <w:p>
            <w:pPr>
              <w:spacing w:after="0" w:line="179" w:lineRule="exact"/>
              <w:rPr>
                <w:sz w:val="20"/>
                <w:szCs w:val="20"/>
                <w:color w:val="auto"/>
              </w:rPr>
            </w:pPr>
            <w:r>
              <w:rPr>
                <w:rFonts w:ascii="Courier New" w:cs="Courier New" w:eastAsia="Courier New" w:hAnsi="Courier New"/>
                <w:sz w:val="16"/>
                <w:szCs w:val="16"/>
                <w:color w:val="auto"/>
              </w:rPr>
              <w:t>AXP International Fund</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102</w:t>
            </w:r>
          </w:p>
        </w:tc>
        <w:tc>
          <w:tcPr>
            <w:tcW w:w="25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purchases, 117 sales</w:t>
            </w:r>
          </w:p>
        </w:tc>
        <w:tc>
          <w:tcPr>
            <w:tcW w:w="18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2,537,380</w:t>
            </w:r>
          </w:p>
        </w:tc>
        <w:tc>
          <w:tcPr>
            <w:tcW w:w="20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2,599,687</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187,126</w:t>
            </w:r>
          </w:p>
        </w:tc>
      </w:tr>
      <w:tr>
        <w:trPr>
          <w:trHeight w:val="358"/>
        </w:trPr>
        <w:tc>
          <w:tcPr>
            <w:tcW w:w="2460" w:type="dxa"/>
            <w:vAlign w:val="bottom"/>
          </w:tcPr>
          <w:p>
            <w:pPr>
              <w:spacing w:after="0"/>
              <w:rPr>
                <w:sz w:val="20"/>
                <w:szCs w:val="20"/>
                <w:color w:val="auto"/>
              </w:rPr>
            </w:pPr>
            <w:r>
              <w:rPr>
                <w:rFonts w:ascii="Courier New" w:cs="Courier New" w:eastAsia="Courier New" w:hAnsi="Courier New"/>
                <w:sz w:val="16"/>
                <w:szCs w:val="16"/>
                <w:color w:val="auto"/>
              </w:rPr>
              <w:t>AXP New Dimensions Fund</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111</w:t>
            </w:r>
          </w:p>
        </w:tc>
        <w:tc>
          <w:tcPr>
            <w:tcW w:w="25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purchases, 144 sales</w:t>
            </w:r>
          </w:p>
        </w:tc>
        <w:tc>
          <w:tcPr>
            <w:tcW w:w="18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9,818,987</w:t>
            </w:r>
          </w:p>
        </w:tc>
        <w:tc>
          <w:tcPr>
            <w:tcW w:w="20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10,889,751</w:t>
            </w:r>
          </w:p>
        </w:tc>
        <w:tc>
          <w:tcPr>
            <w:tcW w:w="15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4,521,476</w:t>
            </w:r>
          </w:p>
        </w:tc>
      </w:tr>
      <w:tr>
        <w:trPr>
          <w:trHeight w:val="358"/>
        </w:trPr>
        <w:tc>
          <w:tcPr>
            <w:tcW w:w="2460" w:type="dxa"/>
            <w:vAlign w:val="bottom"/>
          </w:tcPr>
          <w:p>
            <w:pPr>
              <w:spacing w:after="0"/>
              <w:rPr>
                <w:sz w:val="20"/>
                <w:szCs w:val="20"/>
                <w:color w:val="auto"/>
              </w:rPr>
            </w:pPr>
            <w:r>
              <w:rPr>
                <w:rFonts w:ascii="Courier New" w:cs="Courier New" w:eastAsia="Courier New" w:hAnsi="Courier New"/>
                <w:sz w:val="16"/>
                <w:szCs w:val="16"/>
                <w:color w:val="auto"/>
              </w:rPr>
              <w:t>AXP Mutual Fund</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81</w:t>
            </w:r>
          </w:p>
        </w:tc>
        <w:tc>
          <w:tcPr>
            <w:tcW w:w="25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purchases, 150 sales</w:t>
            </w:r>
          </w:p>
        </w:tc>
        <w:tc>
          <w:tcPr>
            <w:tcW w:w="18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1,999,924</w:t>
            </w:r>
          </w:p>
        </w:tc>
        <w:tc>
          <w:tcPr>
            <w:tcW w:w="20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3,275,922</w:t>
            </w:r>
          </w:p>
        </w:tc>
        <w:tc>
          <w:tcPr>
            <w:tcW w:w="15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56,313</w:t>
            </w:r>
          </w:p>
        </w:tc>
      </w:tr>
      <w:tr>
        <w:trPr>
          <w:trHeight w:val="358"/>
        </w:trPr>
        <w:tc>
          <w:tcPr>
            <w:tcW w:w="2460" w:type="dxa"/>
            <w:vAlign w:val="bottom"/>
          </w:tcPr>
          <w:p>
            <w:pPr>
              <w:spacing w:after="0"/>
              <w:rPr>
                <w:sz w:val="20"/>
                <w:szCs w:val="20"/>
                <w:color w:val="auto"/>
              </w:rPr>
            </w:pPr>
            <w:r>
              <w:rPr>
                <w:rFonts w:ascii="Courier New" w:cs="Courier New" w:eastAsia="Courier New" w:hAnsi="Courier New"/>
                <w:sz w:val="16"/>
                <w:szCs w:val="16"/>
                <w:color w:val="auto"/>
              </w:rPr>
              <w:t>AXP Federal Income Fund</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262</w:t>
            </w:r>
          </w:p>
        </w:tc>
        <w:tc>
          <w:tcPr>
            <w:tcW w:w="25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purchases, 164 sales</w:t>
            </w:r>
          </w:p>
        </w:tc>
        <w:tc>
          <w:tcPr>
            <w:tcW w:w="18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4,634,621</w:t>
            </w:r>
          </w:p>
        </w:tc>
        <w:tc>
          <w:tcPr>
            <w:tcW w:w="20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7,478,910</w:t>
            </w:r>
          </w:p>
        </w:tc>
        <w:tc>
          <w:tcPr>
            <w:tcW w:w="15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(185,309)</w:t>
            </w:r>
          </w:p>
        </w:tc>
      </w:tr>
      <w:tr>
        <w:trPr>
          <w:trHeight w:val="358"/>
        </w:trPr>
        <w:tc>
          <w:tcPr>
            <w:tcW w:w="2460" w:type="dxa"/>
            <w:vAlign w:val="bottom"/>
          </w:tcPr>
          <w:p>
            <w:pPr>
              <w:spacing w:after="0"/>
              <w:rPr>
                <w:sz w:val="20"/>
                <w:szCs w:val="20"/>
                <w:color w:val="auto"/>
              </w:rPr>
            </w:pPr>
            <w:r>
              <w:rPr>
                <w:rFonts w:ascii="Courier New" w:cs="Courier New" w:eastAsia="Courier New" w:hAnsi="Courier New"/>
                <w:sz w:val="16"/>
                <w:szCs w:val="16"/>
                <w:color w:val="auto"/>
              </w:rPr>
              <w:t>AIM Constellation Fund</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111</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purchases,</w:t>
            </w:r>
          </w:p>
        </w:tc>
        <w:tc>
          <w:tcPr>
            <w:tcW w:w="14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68 sales</w:t>
            </w:r>
          </w:p>
        </w:tc>
        <w:tc>
          <w:tcPr>
            <w:tcW w:w="18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2,069,999</w:t>
            </w:r>
          </w:p>
        </w:tc>
        <w:tc>
          <w:tcPr>
            <w:tcW w:w="20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1,624,387</w:t>
            </w:r>
          </w:p>
        </w:tc>
        <w:tc>
          <w:tcPr>
            <w:tcW w:w="15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180,600</w:t>
            </w:r>
          </w:p>
        </w:tc>
      </w:tr>
      <w:tr>
        <w:trPr>
          <w:trHeight w:val="179"/>
        </w:trPr>
        <w:tc>
          <w:tcPr>
            <w:tcW w:w="2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$35,411,866</w:t>
            </w:r>
          </w:p>
        </w:tc>
        <w:tc>
          <w:tcPr>
            <w:tcW w:w="20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$41,305,003</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$7,715,431</w:t>
            </w:r>
          </w:p>
        </w:tc>
      </w:tr>
      <w:tr>
        <w:trPr>
          <w:trHeight w:val="179"/>
        </w:trPr>
        <w:tc>
          <w:tcPr>
            <w:tcW w:w="2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2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ind w:left="520"/>
              <w:spacing w:after="0"/>
              <w:rPr>
                <w:sz w:val="20"/>
                <w:szCs w:val="20"/>
                <w:color w:val="auto"/>
              </w:rPr>
            </w:pPr>
            <w:r>
              <w:rPr>
                <w:rFonts w:ascii="Courier New" w:cs="Courier New" w:eastAsia="Courier New" w:hAnsi="Courier New"/>
                <w:sz w:val="16"/>
                <w:szCs w:val="16"/>
                <w:color w:val="auto"/>
              </w:rPr>
              <w:t>-11-</w:t>
            </w:r>
          </w:p>
        </w:tc>
        <w:tc>
          <w:tcPr>
            <w:tcW w:w="1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0980"/>
          </w:cols>
          <w:pgMar w:left="240" w:top="648" w:right="679" w:bottom="1440" w:gutter="0" w:footer="0" w:header="0"/>
        </w:sectPr>
      </w:pPr>
    </w:p>
    <w:bookmarkStart w:id="13" w:name="page14"/>
    <w:bookmarkEnd w:id="13"/>
    <w:p>
      <w:pPr>
        <w:ind w:left="30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654" w:right="1440" w:bottom="1440" w:gutter="0" w:footer="0" w:header="0"/>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ind w:left="180"/>
        <w:spacing w:after="0" w:line="236" w:lineRule="auto"/>
        <w:rPr>
          <w:sz w:val="20"/>
          <w:szCs w:val="20"/>
          <w:color w:val="auto"/>
        </w:rPr>
      </w:pPr>
      <w:r>
        <w:rPr>
          <w:rFonts w:ascii="Courier New" w:cs="Courier New" w:eastAsia="Courier New" w:hAnsi="Courier New"/>
          <w:sz w:val="16"/>
          <w:szCs w:val="16"/>
          <w:color w:val="auto"/>
        </w:rPr>
        <w:t>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2">
            <w:col w:w="2340" w:space="720"/>
            <w:col w:w="7159"/>
          </w:cols>
          <w:pgMar w:left="240" w:top="654"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Consent of Larkin, Ervin &amp; Shirley, L.L.P.</w:t>
      </w:r>
    </w:p>
    <w:p>
      <w:pPr>
        <w:sectPr>
          <w:pgSz w:w="11900" w:h="16838" w:orient="portrait"/>
          <w:cols w:equalWidth="0" w:num="2">
            <w:col w:w="480" w:space="720"/>
            <w:col w:w="9019"/>
          </w:cols>
          <w:pgMar w:left="240" w:top="654" w:right="1440" w:bottom="1440" w:gutter="0" w:footer="0" w:header="0"/>
          <w:type w:val="continuous"/>
        </w:sectPr>
      </w:pPr>
    </w:p>
    <w:bookmarkStart w:id="14" w:name="page15"/>
    <w:bookmarkEnd w:id="14"/>
    <w:p>
      <w:pPr>
        <w:jc w:val="right"/>
        <w:ind w:right="2779"/>
        <w:spacing w:after="0"/>
        <w:rPr>
          <w:sz w:val="20"/>
          <w:szCs w:val="20"/>
          <w:color w:val="auto"/>
        </w:rPr>
      </w:pPr>
      <w:r>
        <w:rPr>
          <w:rFonts w:ascii="Courier New" w:cs="Courier New" w:eastAsia="Courier New" w:hAnsi="Courier New"/>
          <w:sz w:val="16"/>
          <w:szCs w:val="16"/>
          <w:color w:val="auto"/>
        </w:rPr>
        <w:t>EXHIBIT 23</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We hereby consent to the incorporation by reference in Registration Statement No. 333-81717 of Schlumberger Limited on Form S-8 of our report dated June 20, 2000, appearing in this Annual Report on Form 11-K of the Camco Thrift Plan for the year ended December 31, 1999.</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LARKIN, ERVIN &amp; SHIRLEY,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236" w:lineRule="auto"/>
        <w:rPr>
          <w:sz w:val="20"/>
          <w:szCs w:val="20"/>
          <w:color w:val="auto"/>
        </w:rPr>
      </w:pPr>
      <w:r>
        <w:rPr>
          <w:rFonts w:ascii="Courier New" w:cs="Courier New" w:eastAsia="Courier New" w:hAnsi="Courier New"/>
          <w:sz w:val="16"/>
          <w:szCs w:val="16"/>
          <w:color w:val="auto"/>
        </w:rPr>
        <w:t>June 27, 2000</w:t>
      </w:r>
    </w:p>
    <w:sectPr>
      <w:pgSz w:w="11900" w:h="16838" w:orient="portrait"/>
      <w:cols w:equalWidth="0" w:num="1">
        <w:col w:w="10219"/>
      </w:cols>
      <w:pgMar w:left="240" w:top="4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2019-12-13T06:31:11Z</dcterms:created>
  <dcterms:modified xsi:type="dcterms:W3CDTF">2019-12-13T06:31:11Z</dcterms:modified>
</cp:coreProperties>
</file>