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December 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2.06</w:t>
      </w:r>
      <w:r>
        <w:rPr>
          <w:sz w:val="20"/>
          <w:szCs w:val="20"/>
          <w:color w:val="auto"/>
        </w:rPr>
        <w:tab/>
      </w:r>
      <w:r>
        <w:rPr>
          <w:rFonts w:ascii="Arial" w:cs="Arial" w:eastAsia="Arial" w:hAnsi="Arial"/>
          <w:sz w:val="17"/>
          <w:szCs w:val="17"/>
          <w:b w:val="1"/>
          <w:bCs w:val="1"/>
          <w:color w:val="auto"/>
        </w:rPr>
        <w:t>Material Impairments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required by this Item is incorporated by reference to Item 7.01 below.</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right="520" w:firstLine="456"/>
        <w:spacing w:after="0" w:line="256" w:lineRule="auto"/>
        <w:rPr>
          <w:sz w:val="20"/>
          <w:szCs w:val="20"/>
          <w:color w:val="auto"/>
        </w:rPr>
      </w:pPr>
      <w:r>
        <w:rPr>
          <w:rFonts w:ascii="Arial" w:cs="Arial" w:eastAsia="Arial" w:hAnsi="Arial"/>
          <w:sz w:val="18"/>
          <w:szCs w:val="18"/>
          <w:color w:val="auto"/>
        </w:rPr>
        <w:t>On December 6, 2016, Patrick Schorn, President, Operations of Schlumberger, presented at the Cowen &amp; Company Energy &amp; Natural Resources Conference in New York, New York, to discuss, among other things, Schlumberger’s business outlook. The presentation and slides are available on the Schlumberger Investor Relations website at</w:t>
      </w:r>
    </w:p>
    <w:p>
      <w:pPr>
        <w:spacing w:after="0"/>
        <w:rPr>
          <w:sz w:val="20"/>
          <w:szCs w:val="20"/>
          <w:color w:val="auto"/>
        </w:rPr>
      </w:pPr>
      <w:r>
        <w:rPr>
          <w:rFonts w:ascii="Arial" w:cs="Arial" w:eastAsia="Arial" w:hAnsi="Arial"/>
          <w:sz w:val="18"/>
          <w:szCs w:val="18"/>
          <w:color w:val="auto"/>
        </w:rPr>
        <w:t>http://investorcenter.slb.com/phoenix.zhtml?c=97513&amp;p=irol-presentations and at http://www.slb.com/news/presentations.aspx.</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presentation referred to above contains “forward-looking statements” within the meaning of the U.S. federal securities laws — that is, statements about the future, not about past events. Such statements often contain words such as “expect,” “may,” “believe,” “plan,” “estimate,” “intend,” “predict,” “anticipate,” “should,” “could,” “will,” “see,” “likely,” and other similar words.</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Forward-looking statements address matters that are, to varying degrees, uncertain, such as statements about our financial and performance targets and other forecasts or expectations regarding business outlook; growth for Schlumberger as a whole and for each of its Groups and segments (and for specified products or geographic areas within a segment); oil and natural gas demand and production growth; rig count; oil and natural gas prices; improvements in operating procedures and technology; capital expenditures by Schlumberger and the oil and gas industry; the business strategies of Schlumberger’s customers; the anticipated benefits of the Cameron acquisition; targeted mergers and acquisitions; the success of Schlumberger’s joint ventures and alliances; the anticipated benefits of our transformation efforts;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the inability to reduce the cost-per-barrel of hydrocarbon developments; Schlumberger’s future cash flows; the success of Schlumberger’s transformation efforts; general economic, political, security and business conditions in key regions of the world; country risk; pricing erosion; foreign exchange rates;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challenges in exploration and production; the inability to realize expected value from SPM and other projects; the inability to realize expected synergies from the Cameron acquisition, the inability to retain key employees;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this presentation, and Schlumberger disclaims any intention or obligation to update publicly or revise such statements, whether as a result of new information, future events or otherwise.</w:t>
      </w:r>
    </w:p>
    <w:p>
      <w:pPr>
        <w:sectPr>
          <w:pgSz w:w="11900" w:h="16838" w:orient="portrait"/>
          <w:cols w:equalWidth="0" w:num="1">
            <w:col w:w="11420"/>
          </w:cols>
          <w:pgMar w:left="240" w:top="270"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2016</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2019-12-05T09:48:58Z</dcterms:created>
  <dcterms:modified xsi:type="dcterms:W3CDTF">2019-12-05T09:48:58Z</dcterms:modified>
</cp:coreProperties>
</file>