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SCHEDULE 14A</w:t>
      </w:r>
    </w:p>
    <w:p>
      <w:pPr>
        <w:spacing w:after="0" w:line="30"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(Rule 14a-101)</w:t>
      </w:r>
    </w:p>
    <w:p>
      <w:pPr>
        <w:spacing w:after="0" w:line="2" w:lineRule="exact"/>
        <w:rPr>
          <w:sz w:val="24"/>
          <w:szCs w:val="24"/>
          <w:color w:val="auto"/>
        </w:rPr>
      </w:pPr>
    </w:p>
    <w:p>
      <w:pPr>
        <w:jc w:val="center"/>
        <w:ind w:right="2971"/>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14A INFORMATION</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 1934</w:t>
      </w:r>
    </w:p>
    <w:p>
      <w:pPr>
        <w:spacing w:after="0" w:line="174" w:lineRule="exact"/>
        <w:rPr>
          <w:sz w:val="24"/>
          <w:szCs w:val="24"/>
          <w:color w:val="auto"/>
        </w:rPr>
      </w:pPr>
    </w:p>
    <w:p>
      <w:pPr>
        <w:ind w:left="8"/>
        <w:spacing w:after="0"/>
        <w:tabs>
          <w:tab w:leader="none" w:pos="2208" w:val="left"/>
        </w:tabs>
        <w:rPr>
          <w:sz w:val="20"/>
          <w:szCs w:val="20"/>
          <w:color w:val="auto"/>
        </w:rPr>
      </w:pPr>
      <w:r>
        <w:rPr>
          <w:rFonts w:ascii="Courier New" w:cs="Courier New" w:eastAsia="Courier New" w:hAnsi="Courier New"/>
          <w:sz w:val="15"/>
          <w:szCs w:val="15"/>
          <w:color w:val="auto"/>
        </w:rPr>
        <w:t>Filed by the Registrant</w:t>
        <w:tab/>
        <w:t>[X]</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174" w:lineRule="exact"/>
        <w:rPr>
          <w:sz w:val="24"/>
          <w:szCs w:val="24"/>
          <w:color w:val="auto"/>
        </w:rPr>
      </w:pPr>
    </w:p>
    <w:p>
      <w:pPr>
        <w:ind w:left="708" w:right="6659" w:hanging="708"/>
        <w:spacing w:after="0" w:line="301" w:lineRule="auto"/>
        <w:tabs>
          <w:tab w:leader="none" w:pos="17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49" w:lineRule="exact"/>
        <w:rPr>
          <w:sz w:val="24"/>
          <w:szCs w:val="24"/>
          <w:color w:val="auto"/>
        </w:rPr>
      </w:pPr>
    </w:p>
    <w:p>
      <w:pPr>
        <w:ind w:left="708" w:hanging="708"/>
        <w:spacing w:after="0"/>
        <w:tabs>
          <w:tab w:leader="none" w:pos="7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174" w:lineRule="exact"/>
        <w:rPr>
          <w:sz w:val="24"/>
          <w:szCs w:val="24"/>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174" w:lineRule="exact"/>
        <w:rPr>
          <w:sz w:val="24"/>
          <w:szCs w:val="24"/>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Under Rule 14a-12</w:t>
      </w:r>
    </w:p>
    <w:p>
      <w:pPr>
        <w:spacing w:after="0" w:line="200" w:lineRule="exact"/>
        <w:rPr>
          <w:sz w:val="24"/>
          <w:szCs w:val="24"/>
          <w:color w:val="auto"/>
        </w:rPr>
      </w:pPr>
    </w:p>
    <w:p>
      <w:pPr>
        <w:spacing w:after="0" w:line="318"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SCHLUMBERGER LIMITED</w:t>
      </w:r>
    </w:p>
    <w:p>
      <w:pPr>
        <w:spacing w:after="0" w:line="30"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18"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200" w:lineRule="exact"/>
        <w:rPr>
          <w:sz w:val="24"/>
          <w:szCs w:val="24"/>
          <w:color w:val="auto"/>
        </w:rPr>
      </w:pPr>
    </w:p>
    <w:p>
      <w:pPr>
        <w:spacing w:after="0" w:line="29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4" w:lineRule="exact"/>
        <w:rPr>
          <w:sz w:val="24"/>
          <w:szCs w:val="24"/>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74" w:lineRule="exact"/>
        <w:rPr>
          <w:sz w:val="24"/>
          <w:szCs w:val="24"/>
          <w:color w:val="auto"/>
        </w:rPr>
      </w:pPr>
    </w:p>
    <w:p>
      <w:pPr>
        <w:ind w:left="448" w:right="3879" w:hanging="448"/>
        <w:spacing w:after="0" w:line="262"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 w:lineRule="exact"/>
        <w:rPr>
          <w:rFonts w:ascii="Courier New" w:cs="Courier New" w:eastAsia="Courier New" w:hAnsi="Courier New"/>
          <w:sz w:val="15"/>
          <w:szCs w:val="15"/>
          <w:color w:val="auto"/>
        </w:rPr>
      </w:pPr>
    </w:p>
    <w:p>
      <w:pPr>
        <w:ind w:left="888" w:hanging="441"/>
        <w:spacing w:after="0"/>
        <w:tabs>
          <w:tab w:leader="none" w:pos="88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318"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31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88" w:right="3159" w:hanging="441"/>
        <w:spacing w:after="0" w:line="281" w:lineRule="auto"/>
        <w:tabs>
          <w:tab w:leader="none" w:pos="88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6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88" w:hanging="441"/>
        <w:spacing w:after="0"/>
        <w:tabs>
          <w:tab w:leader="none" w:pos="88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174" w:lineRule="exact"/>
        <w:rPr>
          <w:sz w:val="24"/>
          <w:szCs w:val="24"/>
          <w:color w:val="auto"/>
        </w:rPr>
      </w:pPr>
    </w:p>
    <w:p>
      <w:pPr>
        <w:ind w:left="448" w:right="3339" w:hanging="448"/>
        <w:spacing w:after="0" w:line="281"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4"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4" w:lineRule="exact"/>
        <w:rPr>
          <w:sz w:val="24"/>
          <w:szCs w:val="24"/>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1" w:lineRule="exact"/>
        <w:rPr>
          <w:rFonts w:ascii="Courier New" w:cs="Courier New" w:eastAsia="Courier New" w:hAnsi="Courier New"/>
          <w:sz w:val="14"/>
          <w:szCs w:val="14"/>
          <w:color w:val="auto"/>
        </w:rPr>
      </w:pPr>
    </w:p>
    <w:p>
      <w:pPr>
        <w:ind w:left="808" w:hanging="361"/>
        <w:spacing w:after="0"/>
        <w:tabs>
          <w:tab w:leader="none" w:pos="80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46"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5"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Notes:</w:t>
      </w:r>
    </w:p>
    <w:p>
      <w:pPr>
        <w:spacing w:after="0" w:line="174" w:lineRule="exact"/>
        <w:rPr>
          <w:rFonts w:ascii="Courier New" w:cs="Courier New" w:eastAsia="Courier New" w:hAnsi="Courier New"/>
          <w:sz w:val="14"/>
          <w:szCs w:val="14"/>
          <w:color w:val="auto"/>
        </w:rPr>
      </w:pPr>
    </w:p>
    <w:p>
      <w:pPr>
        <w:ind w:left="8" w:right="8439"/>
        <w:spacing w:after="0" w:line="60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 (S) 240.14a-101 SEC 1913 (3-99)</w:t>
      </w:r>
    </w:p>
    <w:p>
      <w:pPr>
        <w:sectPr>
          <w:pgSz w:w="11900" w:h="16838" w:orient="portrait"/>
          <w:cols w:equalWidth="0" w:num="1">
            <w:col w:w="10227"/>
          </w:cols>
          <w:pgMar w:left="232" w:top="549" w:right="1440" w:bottom="0" w:gutter="0" w:footer="0" w:header="0"/>
        </w:sectPr>
      </w:pPr>
    </w:p>
    <w:bookmarkStart w:id="1" w:name="page2"/>
    <w:bookmarkEnd w:id="1"/>
    <w:p>
      <w:pPr>
        <w:jc w:val="right"/>
        <w:ind w:right="3159"/>
        <w:spacing w:after="0"/>
        <w:rPr>
          <w:sz w:val="20"/>
          <w:szCs w:val="20"/>
          <w:color w:val="auto"/>
        </w:rPr>
      </w:pPr>
      <w:r>
        <w:rPr>
          <w:rFonts w:ascii="Courier New" w:cs="Courier New" w:eastAsia="Courier New" w:hAnsi="Courier New"/>
          <w:sz w:val="15"/>
          <w:szCs w:val="15"/>
          <w:color w:val="auto"/>
        </w:rPr>
        <w:t>[LOGO] Schlumberger</w:t>
      </w:r>
    </w:p>
    <w:p>
      <w:pPr>
        <w:spacing w:after="0" w:line="346"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NOTICE OF</w:t>
      </w:r>
    </w:p>
    <w:p>
      <w:pPr>
        <w:spacing w:after="0" w:line="174"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17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APRIL 11, 2001</w:t>
      </w:r>
    </w:p>
    <w:p>
      <w:pPr>
        <w:spacing w:after="0" w:line="200" w:lineRule="exact"/>
        <w:rPr>
          <w:sz w:val="20"/>
          <w:szCs w:val="20"/>
          <w:color w:val="auto"/>
        </w:rPr>
      </w:pPr>
    </w:p>
    <w:p>
      <w:pPr>
        <w:spacing w:after="0" w:line="318"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Please sign your proxy card and return it in the enclosed</w:t>
      </w:r>
    </w:p>
    <w:p>
      <w:pPr>
        <w:spacing w:after="0" w:line="41"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envelope so that you may be represented at the Meeting.</w:t>
      </w:r>
    </w:p>
    <w:p>
      <w:pPr>
        <w:sectPr>
          <w:pgSz w:w="11900" w:h="16838" w:orient="portrait"/>
          <w:cols w:equalWidth="0" w:num="1">
            <w:col w:w="9239"/>
          </w:cols>
          <w:pgMar w:left="1220" w:top="607" w:right="1440" w:bottom="1440" w:gutter="0" w:footer="0" w:header="0"/>
        </w:sectPr>
      </w:pPr>
    </w:p>
    <w:bookmarkStart w:id="2" w:name="page3"/>
    <w:bookmarkEnd w:id="2"/>
    <w:p>
      <w:pPr>
        <w:jc w:val="right"/>
        <w:ind w:right="3079"/>
        <w:spacing w:after="0"/>
        <w:rPr>
          <w:sz w:val="20"/>
          <w:szCs w:val="20"/>
          <w:color w:val="auto"/>
        </w:rPr>
      </w:pPr>
      <w:r>
        <w:rPr>
          <w:rFonts w:ascii="Courier New" w:cs="Courier New" w:eastAsia="Courier New" w:hAnsi="Courier New"/>
          <w:sz w:val="15"/>
          <w:szCs w:val="15"/>
          <w:color w:val="auto"/>
        </w:rPr>
        <w:t>[LOGO] Schlumberger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Schlumberger Limited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277 Park Avenue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York, New York 10172-0266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42, rue Saint-Dominique</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75007 Paris, France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Parkstraat 83</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2514 JG The Hague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Netherlands</w:t>
      </w:r>
    </w:p>
    <w:p>
      <w:pPr>
        <w:spacing w:after="0" w:line="146"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To Be Held April 11, 2001</w:t>
      </w:r>
    </w:p>
    <w:p>
      <w:pPr>
        <w:spacing w:after="0" w:line="174" w:lineRule="exact"/>
        <w:rPr>
          <w:sz w:val="20"/>
          <w:szCs w:val="20"/>
          <w:color w:val="auto"/>
        </w:rPr>
      </w:pPr>
    </w:p>
    <w:p>
      <w:pPr>
        <w:ind w:left="5988"/>
        <w:spacing w:after="0"/>
        <w:rPr>
          <w:sz w:val="20"/>
          <w:szCs w:val="20"/>
          <w:color w:val="auto"/>
        </w:rPr>
      </w:pPr>
      <w:r>
        <w:rPr>
          <w:rFonts w:ascii="Courier New" w:cs="Courier New" w:eastAsia="Courier New" w:hAnsi="Courier New"/>
          <w:sz w:val="14"/>
          <w:szCs w:val="14"/>
          <w:color w:val="auto"/>
        </w:rPr>
        <w:t>March 7, 2001</w:t>
      </w:r>
    </w:p>
    <w:p>
      <w:pPr>
        <w:spacing w:after="0" w:line="185" w:lineRule="exact"/>
        <w:rPr>
          <w:sz w:val="20"/>
          <w:szCs w:val="20"/>
          <w:color w:val="auto"/>
        </w:rPr>
      </w:pPr>
    </w:p>
    <w:p>
      <w:pPr>
        <w:ind w:left="8" w:right="3599" w:firstLine="268"/>
        <w:spacing w:after="0" w:line="281" w:lineRule="auto"/>
        <w:rPr>
          <w:sz w:val="20"/>
          <w:szCs w:val="20"/>
          <w:color w:val="auto"/>
        </w:rPr>
      </w:pPr>
      <w:r>
        <w:rPr>
          <w:rFonts w:ascii="Courier New" w:cs="Courier New" w:eastAsia="Courier New" w:hAnsi="Courier New"/>
          <w:sz w:val="15"/>
          <w:szCs w:val="15"/>
          <w:color w:val="auto"/>
        </w:rPr>
        <w:t>The Annual General Meeting of Stockholders of Schlumberger Limited (Schlumberger N.V.) will be held at the Avila Beach Hotel, Penstraat 130, Willemstad, Curacao, Netherlands Antilles, on Wednesday, April 11, 2001 at 10:30 in the morning (Curacao time), for the following purposes:</w:t>
      </w:r>
    </w:p>
    <w:p>
      <w:pPr>
        <w:spacing w:after="0" w:line="64" w:lineRule="exact"/>
        <w:rPr>
          <w:sz w:val="20"/>
          <w:szCs w:val="20"/>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12 directors.</w:t>
      </w:r>
    </w:p>
    <w:p>
      <w:pPr>
        <w:spacing w:after="0" w:line="174" w:lineRule="exact"/>
        <w:rPr>
          <w:rFonts w:ascii="Courier New" w:cs="Courier New" w:eastAsia="Courier New" w:hAnsi="Courier New"/>
          <w:sz w:val="15"/>
          <w:szCs w:val="15"/>
          <w:color w:val="auto"/>
        </w:rPr>
      </w:pPr>
    </w:p>
    <w:p>
      <w:pPr>
        <w:ind w:left="268" w:right="3159" w:hanging="268"/>
        <w:spacing w:after="0" w:line="272" w:lineRule="auto"/>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report on the course of business during the year ended December 31, 2000, to adopt and approve the Company's Consolidated Balance Sheet as at December 31, 2000, its Consolidated Statement of Income for the year ended December 31, 2000, and the declaration of dividends by the Board of Directors as reflected in the Company's 2000 Annual Report to Stockholders.</w:t>
      </w:r>
    </w:p>
    <w:p>
      <w:pPr>
        <w:spacing w:after="0" w:line="69"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amendments to the Deed of Incorporation of the Company to:</w:t>
      </w:r>
    </w:p>
    <w:p>
      <w:pPr>
        <w:spacing w:after="0" w:line="174" w:lineRule="exact"/>
        <w:rPr>
          <w:rFonts w:ascii="Courier New" w:cs="Courier New" w:eastAsia="Courier New" w:hAnsi="Courier New"/>
          <w:sz w:val="15"/>
          <w:szCs w:val="15"/>
          <w:color w:val="auto"/>
        </w:rPr>
      </w:pPr>
    </w:p>
    <w:p>
      <w:pPr>
        <w:ind w:left="628" w:right="3159" w:hanging="270"/>
        <w:spacing w:after="0" w:line="359" w:lineRule="auto"/>
        <w:tabs>
          <w:tab w:leader="none" w:pos="62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authorized Common Stock from 1,000,000,000 to 1,500,000,000 shares and</w:t>
      </w:r>
    </w:p>
    <w:p>
      <w:pPr>
        <w:spacing w:after="0" w:line="7" w:lineRule="exact"/>
        <w:rPr>
          <w:rFonts w:ascii="Courier New" w:cs="Courier New" w:eastAsia="Courier New" w:hAnsi="Courier New"/>
          <w:sz w:val="15"/>
          <w:szCs w:val="15"/>
          <w:color w:val="auto"/>
        </w:rPr>
      </w:pPr>
    </w:p>
    <w:p>
      <w:pPr>
        <w:ind w:left="628" w:right="3159" w:hanging="270"/>
        <w:spacing w:after="0" w:line="359" w:lineRule="auto"/>
        <w:tabs>
          <w:tab w:leader="none" w:pos="62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other changes recommended by the Board of Directors as reflected in Exhibit B.</w:t>
      </w:r>
    </w:p>
    <w:p>
      <w:pPr>
        <w:spacing w:after="0" w:line="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adoption of the Schlumberger 2001 Stock Option Plan.</w:t>
      </w:r>
    </w:p>
    <w:p>
      <w:pPr>
        <w:spacing w:after="0" w:line="174" w:lineRule="exact"/>
        <w:rPr>
          <w:rFonts w:ascii="Courier New" w:cs="Courier New" w:eastAsia="Courier New" w:hAnsi="Courier New"/>
          <w:sz w:val="15"/>
          <w:szCs w:val="15"/>
          <w:color w:val="auto"/>
        </w:rPr>
      </w:pPr>
    </w:p>
    <w:p>
      <w:pPr>
        <w:ind w:left="268" w:right="3599" w:hanging="268"/>
        <w:spacing w:after="0" w:line="390" w:lineRule="auto"/>
        <w:tabs>
          <w:tab w:leader="none" w:pos="26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PricewaterhouseCoopers LLP as independent public accountants to audit the accounts of the Company for 2001.</w:t>
      </w:r>
    </w:p>
    <w:p>
      <w:pPr>
        <w:spacing w:after="0" w:line="1" w:lineRule="exact"/>
        <w:rPr>
          <w:sz w:val="20"/>
          <w:szCs w:val="20"/>
          <w:color w:val="auto"/>
        </w:rPr>
      </w:pPr>
    </w:p>
    <w:p>
      <w:pPr>
        <w:ind w:left="8" w:right="3339"/>
        <w:spacing w:after="0" w:line="359"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8" w:lineRule="exact"/>
        <w:rPr>
          <w:sz w:val="20"/>
          <w:szCs w:val="20"/>
          <w:color w:val="auto"/>
        </w:rPr>
      </w:pPr>
    </w:p>
    <w:p>
      <w:pPr>
        <w:jc w:val="both"/>
        <w:ind w:left="8" w:right="3159" w:firstLine="268"/>
        <w:spacing w:after="0" w:line="301" w:lineRule="auto"/>
        <w:rPr>
          <w:sz w:val="20"/>
          <w:szCs w:val="20"/>
          <w:color w:val="auto"/>
        </w:rPr>
      </w:pPr>
      <w:r>
        <w:rPr>
          <w:rFonts w:ascii="Courier New" w:cs="Courier New" w:eastAsia="Courier New" w:hAnsi="Courier New"/>
          <w:sz w:val="15"/>
          <w:szCs w:val="15"/>
          <w:color w:val="auto"/>
        </w:rPr>
        <w:t>The close of business on February 22, 2001 has been fixed as the record date for the meeting. All holders of common stock of record at the close of business on that date are entitled to vote at the meeting.</w:t>
      </w:r>
    </w:p>
    <w:p>
      <w:pPr>
        <w:spacing w:after="0" w:line="49"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JAMES L. GUNDERSON</w:t>
      </w:r>
    </w:p>
    <w:p>
      <w:pPr>
        <w:spacing w:after="0" w:line="30"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27"/>
          </w:cols>
          <w:pgMar w:left="232" w:top="607"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March 7, 2001</w:t>
      </w:r>
    </w:p>
    <w:p>
      <w:pPr>
        <w:spacing w:after="0" w:line="185" w:lineRule="exact"/>
        <w:rPr>
          <w:sz w:val="20"/>
          <w:szCs w:val="20"/>
          <w:color w:val="auto"/>
        </w:rPr>
      </w:pPr>
    </w:p>
    <w:p>
      <w:pPr>
        <w:ind w:right="3259" w:firstLine="447"/>
        <w:spacing w:after="0" w:line="257"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Schlumberger Limited (Schlumberger N.V.) ("the Company") of proxies to be voted at the 2001 Annual General Meeting of Stockholders. The approximate mailing date of this proxy statement is March 7, 2001.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83"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Schlumberger 2000 Annual Report to Stockholders is included in this package as a separate document. The Company's Consolidated Balance Sheet as at December 31, 2000, its Consolidated Statement of Income for the year ended December 31, 2000 and the supplemental financial information with respect to dividends included in the Annual Report are incorporated by reference as part of this proxy soliciting material.</w:t>
      </w:r>
    </w:p>
    <w:p>
      <w:pPr>
        <w:spacing w:after="0" w:line="74" w:lineRule="exact"/>
        <w:rPr>
          <w:sz w:val="20"/>
          <w:szCs w:val="20"/>
          <w:color w:val="auto"/>
        </w:rPr>
      </w:pPr>
    </w:p>
    <w:p>
      <w:pPr>
        <w:ind w:right="3159" w:firstLine="447"/>
        <w:spacing w:after="0" w:line="288" w:lineRule="auto"/>
        <w:rPr>
          <w:sz w:val="20"/>
          <w:szCs w:val="20"/>
          <w:color w:val="auto"/>
        </w:rPr>
      </w:pPr>
      <w:r>
        <w:rPr>
          <w:rFonts w:ascii="Courier New" w:cs="Courier New" w:eastAsia="Courier New" w:hAnsi="Courier New"/>
          <w:sz w:val="14"/>
          <w:szCs w:val="14"/>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7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Each stockholder of record at the close of business on February 22, 2001 is entitled to one vote for each share registered in the stockholder's name. On that date there were 573,125,405 outstanding shares of common stock of Schlumberger, excluding 93,962,036 shares held in treasury.</w:t>
      </w:r>
    </w:p>
    <w:p>
      <w:pPr>
        <w:spacing w:after="0" w:line="64"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 except as set forth in Item 3 (Amendment to Deed of Incorporation) or as otherwise required by law or regulation.</w:t>
      </w:r>
    </w:p>
    <w:p>
      <w:pPr>
        <w:spacing w:after="0" w:line="78"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Shares cannot be voted at the meeting unless the owner of record is present in person or is represented by proxy. Schlumberger is incorporated in the Netherlands Antilles and, as required by the Schlumberger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07" w:right="1440" w:bottom="1440" w:gutter="0" w:footer="0" w:header="0"/>
        </w:sectPr>
      </w:pPr>
    </w:p>
    <w:bookmarkStart w:id="4" w:name="page5"/>
    <w:bookmarkEnd w:id="4"/>
    <w:p>
      <w:pPr>
        <w:ind w:left="2400"/>
        <w:spacing w:after="0"/>
        <w:rPr>
          <w:sz w:val="20"/>
          <w:szCs w:val="20"/>
          <w:color w:val="auto"/>
        </w:rPr>
      </w:pPr>
      <w:r>
        <w:rPr>
          <w:rFonts w:ascii="Courier New" w:cs="Courier New" w:eastAsia="Courier New" w:hAnsi="Courier New"/>
          <w:sz w:val="15"/>
          <w:szCs w:val="15"/>
          <w:color w:val="auto"/>
        </w:rPr>
        <w:t>1. Election of Directors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780" w:type="dxa"/>
            <w:vAlign w:val="bottom"/>
          </w:tcPr>
          <w:p>
            <w:pPr>
              <w:ind w:left="440"/>
              <w:spacing w:after="0"/>
              <w:rPr>
                <w:sz w:val="20"/>
                <w:szCs w:val="20"/>
                <w:color w:val="auto"/>
              </w:rPr>
            </w:pPr>
            <w:r>
              <w:rPr>
                <w:rFonts w:ascii="Courier New" w:cs="Courier New" w:eastAsia="Courier New" w:hAnsi="Courier New"/>
                <w:sz w:val="15"/>
                <w:szCs w:val="15"/>
                <w:color w:val="auto"/>
              </w:rPr>
              <w:t>It is intended to fix the number of directors at 12 and to elect a Board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of Directors of 12 members, each to hold office until the next Annual General</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Meeting of Stockholders and until a director's successor is elected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qualified or until a director's death, resignation or removal. Each of the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nominees, except John Mayo, is now a director and was previously elected by the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stockholders. Sir Denys Henderson, a director since 1995, is not standing for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reelection. Unless instructed otherwise, the proxies will be voted for the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election of the 12 nominees named below. If any nominee is unable or unwilling</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to serve, proxies may be voted for another person designated by the Board of</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Directors. The Board knows of no reason why any nominee will be unable or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unwilling to serve if elected.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0780" w:type="dxa"/>
            <w:vAlign w:val="bottom"/>
          </w:tcPr>
          <w:p>
            <w:pPr>
              <w:ind w:left="440"/>
              <w:spacing w:after="0"/>
              <w:rPr>
                <w:sz w:val="20"/>
                <w:szCs w:val="20"/>
                <w:color w:val="auto"/>
              </w:rPr>
            </w:pPr>
            <w:r>
              <w:rPr>
                <w:rFonts w:ascii="Courier New" w:cs="Courier New" w:eastAsia="Courier New" w:hAnsi="Courier New"/>
                <w:sz w:val="15"/>
                <w:szCs w:val="15"/>
                <w:color w:val="auto"/>
              </w:rPr>
              <w:t>A majority of the votes cast is required to elect each of the nominees for</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10780" w:type="dxa"/>
            <w:vAlign w:val="bottom"/>
          </w:tcPr>
          <w:p>
            <w:pPr>
              <w:ind w:left="440"/>
              <w:spacing w:after="0"/>
              <w:rPr>
                <w:sz w:val="20"/>
                <w:szCs w:val="20"/>
                <w:color w:val="auto"/>
              </w:rPr>
            </w:pPr>
            <w:r>
              <w:rPr>
                <w:rFonts w:ascii="Courier New" w:cs="Courier New" w:eastAsia="Courier New" w:hAnsi="Courier New"/>
                <w:sz w:val="15"/>
                <w:szCs w:val="15"/>
                <w:color w:val="auto"/>
              </w:rPr>
              <w:t>The Board of Directors Recommends a Vote FOR All Nominees.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780" w:type="dxa"/>
            <w:vAlign w:val="bottom"/>
          </w:tcPr>
          <w:p>
            <w:pPr>
              <w:ind w:left="180"/>
              <w:spacing w:after="0"/>
              <w:rPr>
                <w:sz w:val="20"/>
                <w:szCs w:val="20"/>
                <w:color w:val="auto"/>
              </w:rPr>
            </w:pPr>
            <w:r>
              <w:rPr>
                <w:rFonts w:ascii="Courier New" w:cs="Courier New" w:eastAsia="Courier New" w:hAnsi="Courier New"/>
                <w:sz w:val="15"/>
                <w:szCs w:val="15"/>
                <w:color w:val="auto"/>
              </w:rPr>
              <w:t>The Board of Directors' nominees for election to the Board, together with</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information furnished by them with respect to their business experience,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other information regarding them, are set forth below:</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0780" w:type="dxa"/>
            <w:vAlign w:val="bottom"/>
            <w:vMerge w:val="restart"/>
          </w:tcPr>
          <w:p>
            <w:pPr>
              <w:ind w:left="3300"/>
              <w:spacing w:after="0"/>
              <w:rPr>
                <w:sz w:val="20"/>
                <w:szCs w:val="20"/>
                <w:color w:val="auto"/>
              </w:rPr>
            </w:pPr>
            <w:r>
              <w:rPr>
                <w:rFonts w:ascii="Courier New" w:cs="Courier New" w:eastAsia="Courier New" w:hAnsi="Courier New"/>
                <w:sz w:val="15"/>
                <w:szCs w:val="15"/>
                <w:color w:val="auto"/>
              </w:rPr>
              <w:t>Nominee, Age and Five-Year Business Experience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Director</w:t>
            </w:r>
          </w:p>
        </w:tc>
        <w:tc>
          <w:tcPr>
            <w:tcW w:w="0" w:type="dxa"/>
            <w:vAlign w:val="bottom"/>
          </w:tcPr>
          <w:p>
            <w:pPr>
              <w:spacing w:after="0"/>
              <w:rPr>
                <w:sz w:val="1"/>
                <w:szCs w:val="1"/>
                <w:color w:val="auto"/>
              </w:rPr>
            </w:pPr>
          </w:p>
        </w:tc>
      </w:tr>
      <w:tr>
        <w:trPr>
          <w:trHeight w:val="172"/>
        </w:trPr>
        <w:tc>
          <w:tcPr>
            <w:tcW w:w="10780" w:type="dxa"/>
            <w:vAlign w:val="bottom"/>
            <w:vMerge w:val="continue"/>
          </w:tcPr>
          <w:p>
            <w:pPr>
              <w:spacing w:after="0"/>
              <w:rPr>
                <w:sz w:val="14"/>
                <w:szCs w:val="14"/>
                <w:color w:val="auto"/>
              </w:rPr>
            </w:pPr>
          </w:p>
        </w:tc>
        <w:tc>
          <w:tcPr>
            <w:tcW w:w="7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Since</w:t>
            </w:r>
          </w:p>
        </w:tc>
        <w:tc>
          <w:tcPr>
            <w:tcW w:w="0" w:type="dxa"/>
            <w:vAlign w:val="bottom"/>
          </w:tcPr>
          <w:p>
            <w:pPr>
              <w:spacing w:after="0"/>
              <w:rPr>
                <w:sz w:val="1"/>
                <w:szCs w:val="1"/>
                <w:color w:val="auto"/>
              </w:rPr>
            </w:pPr>
          </w:p>
        </w:tc>
      </w:tr>
      <w:tr>
        <w:trPr>
          <w:trHeight w:val="252"/>
        </w:trPr>
        <w:tc>
          <w:tcPr>
            <w:tcW w:w="10780" w:type="dxa"/>
            <w:vAlign w:val="bottom"/>
          </w:tcPr>
          <w:p>
            <w:pPr>
              <w:ind w:left="3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4"/>
        </w:trPr>
        <w:tc>
          <w:tcPr>
            <w:tcW w:w="10780" w:type="dxa"/>
            <w:vAlign w:val="bottom"/>
          </w:tcPr>
          <w:p>
            <w:pPr>
              <w:spacing w:after="0"/>
              <w:rPr>
                <w:sz w:val="20"/>
                <w:szCs w:val="20"/>
                <w:color w:val="auto"/>
              </w:rPr>
            </w:pPr>
            <w:r>
              <w:rPr>
                <w:rFonts w:ascii="Courier New" w:cs="Courier New" w:eastAsia="Courier New" w:hAnsi="Courier New"/>
                <w:sz w:val="15"/>
                <w:szCs w:val="15"/>
                <w:color w:val="auto"/>
                <w:w w:val="99"/>
              </w:rPr>
              <w:t>DON E. ACKERMAN, 67; Private Investor since 1991........................................................................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1982</w:t>
            </w: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w w:val="99"/>
              </w:rPr>
              <w:t>D. EUAN BAIRD, 63; Chairman and Chief Executive Officer since October 1986.(1)..........................................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1986</w:t>
            </w: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JOHN DEUTCH, 62; Institute Professor, Massachusetts Institute of Technology, Cambridge, Massachusetts since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January 1997; Director of U.S. Central Intelligence May 1995 to December 1996; Deputy Secretary of Defense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April 1994 to May 1995; Undersecretary of Defense (Acquisition and Technology) March 1993 to 1994; Director of</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Schlumberger Limited, May 1987 to 1993.(2).............................................................................</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VICTOR E. GRIJALVA, 62; Vice Chairman since April 1998; Executive Vice President, Oilfield Services from 1994</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to April 1998; Executive Vice President for Wireline, Testing &amp; Anadrill from 1992 to 1994. (3)........................</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ANDRE LEVY-LANG, 63; Independent Investor since November 1999; Chairman of the Executive Board of Paribas,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an international banking group, May 1998 to August 1999; Chairman of the Board of Management of Compagnie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Financiere de Paribas from June 1990 until May 1998, Paris. (4)........................................................</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JOHN C. MAYO, 44; Finance Director of the General Electric Company plc, an industrial conglomerate, from</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September 1997 to November 1999 and then Finance Director of the surviving entity Marconi, plc, a global</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communications and IT company, since the restructuring of the General Electric Company plc was completed at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the end of November 1999; Finance Director of Zeneca Group, plc, a pharmaceutical and life sciences concern,</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from May 1993 to September 1997, all in London. (5)....................................................................</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WILLIAM T. McCORMICK, JR., 56; Chairman and Chief Executive Officer, CMS Energy Corp., a diversified energy</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company, Dearborn, Michigan.(6)........................................................................................</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w w:val="99"/>
              </w:rPr>
              <w:t>DIDIER PRIMAT, 56; President, Primwest Holding N.V., an investment management company, Curacao, N.A.(7).................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NICOLAS SEYDOUX, 61; Chairman and Chief Executive Officer, Gaumont, a French film-making enterprise,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1982</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Paris.(7)..............................................................................................................</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LINDA GILLESPIE STUNTZ, 46; Partner, law firm of Stuntz, Davis &amp; Staffier P.C., since February 1995; Partner,</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law firm of Van Ness Feldman, P.C., March 1993 to February 1995, both in Washington, D. C. (8).........................</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SVEN ULLRING, 65; Independent Adviser since June 2000; President and Chief Executive Officer, Det Norske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Veritas, provider of safety, quality and reliability services to maritime, offshore and other industries from July 1985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1990</w:t>
            </w: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through May 2000, Hovik, Norway. (9)...................................................................................</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spacing w:after="0"/>
              <w:rPr>
                <w:sz w:val="20"/>
                <w:szCs w:val="20"/>
                <w:color w:val="auto"/>
              </w:rPr>
            </w:pPr>
            <w:r>
              <w:rPr>
                <w:rFonts w:ascii="Courier New" w:cs="Courier New" w:eastAsia="Courier New" w:hAnsi="Courier New"/>
                <w:sz w:val="15"/>
                <w:szCs w:val="15"/>
                <w:color w:val="auto"/>
              </w:rPr>
              <w:t>YOSHIHIKO WAKUMOTO, 69; Adviser to Toshiba Corporation, a technology company centered on electronics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energy, since July 1996; member of Board of Toshiba from July 1988 to June 1996; Executive Vice President of</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rPr>
              <w:t>Toshiba, July 1992 through June 1996, with responsibility for corporate planning, group companies and</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2"/>
        </w:trPr>
        <w:tc>
          <w:tcPr>
            <w:tcW w:w="10780" w:type="dxa"/>
            <w:vAlign w:val="bottom"/>
          </w:tcPr>
          <w:p>
            <w:pPr>
              <w:ind w:left="80"/>
              <w:spacing w:after="0"/>
              <w:rPr>
                <w:sz w:val="20"/>
                <w:szCs w:val="20"/>
                <w:color w:val="auto"/>
              </w:rPr>
            </w:pPr>
            <w:r>
              <w:rPr>
                <w:rFonts w:ascii="Courier New" w:cs="Courier New" w:eastAsia="Courier New" w:hAnsi="Courier New"/>
                <w:sz w:val="15"/>
                <w:szCs w:val="15"/>
                <w:color w:val="auto"/>
                <w:w w:val="99"/>
              </w:rPr>
              <w:t>information systems (1992 to 1995), and international affairs (1996), all in Tokyo. (10)...............................</w:t>
            </w: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16"/>
        </w:trPr>
        <w:tc>
          <w:tcPr>
            <w:tcW w:w="10780" w:type="dxa"/>
            <w:vAlign w:val="bottom"/>
          </w:tcPr>
          <w:p>
            <w:pPr>
              <w:ind w:left="3480"/>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607" w:right="139" w:bottom="1440" w:gutter="0" w:footer="0" w:header="0"/>
        </w:sectPr>
      </w:pPr>
    </w:p>
    <w:bookmarkStart w:id="5" w:name="page6"/>
    <w:bookmarkEnd w:id="5"/>
    <w:p>
      <w:pPr>
        <w:ind w:left="448" w:right="3339" w:hanging="448"/>
        <w:spacing w:after="0" w:line="256"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 director of Scottish Power, a company which supplies gas, electricity and water services in the United Kingdom and Western United States. He is a trustee of Haven Capital Management Trust.</w:t>
      </w:r>
    </w:p>
    <w:p>
      <w:pPr>
        <w:ind w:left="448" w:right="343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 director of Citigroup, a banking and insurance organization; CMS Energy Corp., a diversified energy company; Cummins Engine Company, Inc., a manufacturer of diesel engines and components; ARIAD Pharmaceuticals which is engaged in the discovery of novel pharmaceuticals; and Raytheon Corporation, an electronics manufacturer. Mr. Deutch's adult son, Paul Deutch, is employed by a unit of Schlumberger. The employment of Mr. Deutch's son was not influenced by John Deutch's position as a director of the company.</w:t>
      </w:r>
    </w:p>
    <w:p>
      <w:pPr>
        <w:spacing w:after="0" w:line="5" w:lineRule="exact"/>
        <w:rPr>
          <w:rFonts w:ascii="Courier New" w:cs="Courier New" w:eastAsia="Courier New" w:hAnsi="Courier New"/>
          <w:sz w:val="15"/>
          <w:szCs w:val="15"/>
          <w:color w:val="auto"/>
        </w:rPr>
      </w:pPr>
    </w:p>
    <w:p>
      <w:pPr>
        <w:ind w:left="448" w:right="351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Grijalva is Chairman of the Board of Directors of Transocean Sedco Forex Inc., an offshore drilling company.</w:t>
      </w:r>
    </w:p>
    <w:p>
      <w:pPr>
        <w:spacing w:after="0" w:line="1" w:lineRule="exact"/>
        <w:rPr>
          <w:rFonts w:ascii="Courier New" w:cs="Courier New" w:eastAsia="Courier New" w:hAnsi="Courier New"/>
          <w:sz w:val="15"/>
          <w:szCs w:val="15"/>
          <w:color w:val="auto"/>
        </w:rPr>
      </w:pPr>
    </w:p>
    <w:p>
      <w:pPr>
        <w:ind w:left="448" w:right="3159" w:hanging="448"/>
        <w:spacing w:after="0" w:line="260" w:lineRule="auto"/>
        <w:tabs>
          <w:tab w:leader="none" w:pos="4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Levy-Lang is a director and member of the Compensation Committee of AGF, a French insurance company and a director of Dexia, a Belgian financial services company. On January 4, 1996, Mr. Levy-Lang was notified by a French judge that he was placed under official investigation ("mise en examen") as part of an ongoing inquiry regarding irregularities uncovered in the 1991 financial statements of Ciments Francais, S. A., which was at that time a subsidiary of Compagnie Financiere de Paribas.</w:t>
      </w:r>
    </w:p>
    <w:p>
      <w:pPr>
        <w:spacing w:after="0" w:line="1" w:lineRule="exact"/>
        <w:rPr>
          <w:rFonts w:ascii="Courier New" w:cs="Courier New" w:eastAsia="Courier New" w:hAnsi="Courier New"/>
          <w:sz w:val="14"/>
          <w:szCs w:val="14"/>
          <w:color w:val="auto"/>
        </w:rPr>
      </w:pPr>
    </w:p>
    <w:p>
      <w:pPr>
        <w:ind w:left="448" w:right="3259" w:hanging="448"/>
        <w:spacing w:after="0" w:line="260" w:lineRule="auto"/>
        <w:tabs>
          <w:tab w:leader="none" w:pos="4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Mayo is a director of Alstom S.A., a French global company engaged in energy and transport infrastructure and a member of its audit committee.</w:t>
      </w:r>
    </w:p>
    <w:p>
      <w:pPr>
        <w:ind w:left="448" w:right="315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 director of Bank One, Inc., a regional bank holding company, and Rockwell International Inc., a diversified producer of, among others, electronic, industrial automation and avionics products.</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2"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Stuntz is a director of American Electric Power Company, Inc., an electric and power holding company. She is Chairman of its Finance Committee and is a member of its Executive, Directors, Nuclear Oversight and Public Policy Committees.</w:t>
      </w:r>
    </w:p>
    <w:p>
      <w:pPr>
        <w:spacing w:after="0" w:line="2"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Ullring is Chairman of the Supervisory Board of Norsk Hydro, an energy, fertilizer and metals company; Chairman of the Supervisory Board of Storebrand, an insurance company; member of the Supervisory Board of ABB Norway; and Chairman of the Board of the Foundation for Business and Sustainable Development, all in Oslo, Norway; and a member of the Board of Keppel Corporation, a real estate development, shipbuilding and telecommunications company in Singapore.</w:t>
      </w:r>
    </w:p>
    <w:p>
      <w:pPr>
        <w:spacing w:after="0" w:line="4" w:lineRule="exact"/>
        <w:rPr>
          <w:rFonts w:ascii="Courier New" w:cs="Courier New" w:eastAsia="Courier New" w:hAnsi="Courier New"/>
          <w:sz w:val="15"/>
          <w:szCs w:val="15"/>
          <w:color w:val="auto"/>
        </w:rPr>
      </w:pPr>
    </w:p>
    <w:p>
      <w:pPr>
        <w:ind w:left="448" w:right="3159" w:hanging="448"/>
        <w:spacing w:after="0" w:line="281"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Wakumoto is Vice President, part-time executive member of the Board of The Japan Foundation, a nonprofit institution funded by the Japanese Government and incorporated under a special enactment.</w:t>
      </w:r>
    </w:p>
    <w:p>
      <w:pPr>
        <w:spacing w:after="0" w:line="6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07" w:right="1440" w:bottom="1440" w:gutter="0" w:footer="0" w:header="0"/>
        </w:sectPr>
      </w:pPr>
    </w:p>
    <w:bookmarkStart w:id="6" w:name="page7"/>
    <w:bookmarkEnd w:id="6"/>
    <w:p>
      <w:pPr>
        <w:ind w:left="8"/>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4" w:lineRule="exact"/>
        <w:rPr>
          <w:sz w:val="20"/>
          <w:szCs w:val="20"/>
          <w:color w:val="auto"/>
        </w:rPr>
      </w:pPr>
    </w:p>
    <w:p>
      <w:pPr>
        <w:ind w:left="8" w:right="3159" w:firstLine="447"/>
        <w:spacing w:after="0" w:line="301" w:lineRule="auto"/>
        <w:rPr>
          <w:sz w:val="20"/>
          <w:szCs w:val="20"/>
          <w:color w:val="auto"/>
        </w:rPr>
      </w:pPr>
      <w:r>
        <w:rPr>
          <w:rFonts w:ascii="Courier New" w:cs="Courier New" w:eastAsia="Courier New" w:hAnsi="Courier New"/>
          <w:sz w:val="15"/>
          <w:szCs w:val="15"/>
          <w:color w:val="auto"/>
        </w:rPr>
        <w:t>The following table sets forth certain information with respect to persons known by the Company to be the beneficial owner of 5% or more of the Common Stock.</w:t>
      </w: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Beneficial Ownership</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20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of Common Stock</w:t>
            </w:r>
          </w:p>
        </w:tc>
        <w:tc>
          <w:tcPr>
            <w:tcW w:w="0" w:type="dxa"/>
            <w:vAlign w:val="bottom"/>
          </w:tcPr>
          <w:p>
            <w:pPr>
              <w:spacing w:after="0"/>
              <w:rPr>
                <w:sz w:val="1"/>
                <w:szCs w:val="1"/>
                <w:color w:val="auto"/>
              </w:rPr>
            </w:pPr>
          </w:p>
        </w:tc>
      </w:tr>
      <w:tr>
        <w:trPr>
          <w:trHeight w:val="172"/>
        </w:trPr>
        <w:tc>
          <w:tcPr>
            <w:tcW w:w="2800" w:type="dxa"/>
            <w:vAlign w:val="bottom"/>
          </w:tcPr>
          <w:p>
            <w:pPr>
              <w:spacing w:after="0"/>
              <w:rPr>
                <w:sz w:val="14"/>
                <w:szCs w:val="14"/>
                <w:color w:val="auto"/>
              </w:rPr>
            </w:pPr>
          </w:p>
        </w:tc>
        <w:tc>
          <w:tcPr>
            <w:tcW w:w="2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Address</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Percentage</w:t>
            </w:r>
          </w:p>
        </w:tc>
        <w:tc>
          <w:tcPr>
            <w:tcW w:w="0" w:type="dxa"/>
            <w:vAlign w:val="bottom"/>
          </w:tcPr>
          <w:p>
            <w:pPr>
              <w:spacing w:after="0"/>
              <w:rPr>
                <w:sz w:val="1"/>
                <w:szCs w:val="1"/>
                <w:color w:val="auto"/>
              </w:rPr>
            </w:pPr>
          </w:p>
        </w:tc>
      </w:tr>
      <w:tr>
        <w:trPr>
          <w:trHeight w:val="172"/>
        </w:trPr>
        <w:tc>
          <w:tcPr>
            <w:tcW w:w="2800" w:type="dxa"/>
            <w:vAlign w:val="bottom"/>
            <w:vMerge w:val="continue"/>
          </w:tcPr>
          <w:p>
            <w:pPr>
              <w:spacing w:after="0"/>
              <w:rPr>
                <w:sz w:val="14"/>
                <w:szCs w:val="14"/>
                <w:color w:val="auto"/>
              </w:rPr>
            </w:pPr>
          </w:p>
        </w:tc>
        <w:tc>
          <w:tcPr>
            <w:tcW w:w="100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Class</w:t>
            </w:r>
          </w:p>
        </w:tc>
        <w:tc>
          <w:tcPr>
            <w:tcW w:w="0" w:type="dxa"/>
            <w:vAlign w:val="bottom"/>
          </w:tcPr>
          <w:p>
            <w:pPr>
              <w:spacing w:after="0"/>
              <w:rPr>
                <w:sz w:val="1"/>
                <w:szCs w:val="1"/>
                <w:color w:val="auto"/>
              </w:rPr>
            </w:pPr>
          </w:p>
        </w:tc>
      </w:tr>
      <w:tr>
        <w:trPr>
          <w:trHeight w:val="252"/>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2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7"/>
              </w:rPr>
              <w:t>---------- ---------</w:t>
            </w: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FMC Corp.(1)...................</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37,380,502</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72"/>
        </w:trPr>
        <w:tc>
          <w:tcPr>
            <w:tcW w:w="2800" w:type="dxa"/>
            <w:vAlign w:val="bottom"/>
          </w:tcPr>
          <w:p>
            <w:pPr>
              <w:ind w:left="260"/>
              <w:spacing w:after="0"/>
              <w:rPr>
                <w:sz w:val="20"/>
                <w:szCs w:val="20"/>
                <w:color w:val="auto"/>
              </w:rPr>
            </w:pPr>
            <w:r>
              <w:rPr>
                <w:rFonts w:ascii="Courier New" w:cs="Courier New" w:eastAsia="Courier New" w:hAnsi="Courier New"/>
                <w:sz w:val="15"/>
                <w:szCs w:val="15"/>
                <w:color w:val="auto"/>
              </w:rPr>
              <w:t>82 Devonshire Street Boston</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260"/>
              <w:spacing w:after="0"/>
              <w:rPr>
                <w:sz w:val="20"/>
                <w:szCs w:val="20"/>
                <w:color w:val="auto"/>
              </w:rPr>
            </w:pPr>
            <w:r>
              <w:rPr>
                <w:rFonts w:ascii="Courier New" w:cs="Courier New" w:eastAsia="Courier New" w:hAnsi="Courier New"/>
                <w:sz w:val="15"/>
                <w:szCs w:val="15"/>
                <w:color w:val="auto"/>
              </w:rPr>
              <w:t>Massachusetts 02109</w:t>
            </w:r>
          </w:p>
        </w:tc>
        <w:tc>
          <w:tcPr>
            <w:tcW w:w="1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448" w:right="3259" w:hanging="448"/>
        <w:spacing w:after="0" w:line="276" w:lineRule="auto"/>
        <w:tabs>
          <w:tab w:leader="none" w:pos="4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Statement on Schedule 13G dated February 14, 2001. Such filing indicates that FMR Corp. has sole voting power with respect to 1,700,421 shares and sole dispositive power with respect to 37,380,502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71" w:lineRule="exact"/>
        <w:rPr>
          <w:sz w:val="20"/>
          <w:szCs w:val="20"/>
          <w:color w:val="auto"/>
        </w:rPr>
      </w:pPr>
    </w:p>
    <w:p>
      <w:pPr>
        <w:ind w:left="8" w:right="3159" w:firstLine="447"/>
        <w:spacing w:after="0" w:line="257" w:lineRule="auto"/>
        <w:rPr>
          <w:sz w:val="20"/>
          <w:szCs w:val="20"/>
          <w:color w:val="auto"/>
        </w:rPr>
      </w:pPr>
      <w:r>
        <w:rPr>
          <w:rFonts w:ascii="Courier New" w:cs="Courier New" w:eastAsia="Courier New" w:hAnsi="Courier New"/>
          <w:sz w:val="15"/>
          <w:szCs w:val="15"/>
          <w:color w:val="auto"/>
        </w:rPr>
        <w:t>The following lists the shares of Schlumberger common stock beneficially owned as of January 31, 2001 by all directors and nominees, by each of the named executive officers, and by the directors and officers as a group. Except as footnoted, each individual has sole voting and investment power over the shares listed by that individual's name. As of January 31, 2001, no nominee for director owned more than 1% of the outstanding shares of the Company's common stock, except Mr. Primat who owned 4.13%. All 24 directors and executive officers as a group owned 5.08% of the outstanding shares of the Company at January 31, 2001.</w:t>
      </w:r>
    </w:p>
    <w:p>
      <w:pPr>
        <w:spacing w:after="0" w:line="200" w:lineRule="exact"/>
        <w:rPr>
          <w:sz w:val="20"/>
          <w:szCs w:val="20"/>
          <w:color w:val="auto"/>
        </w:rPr>
      </w:pPr>
    </w:p>
    <w:p>
      <w:pPr>
        <w:spacing w:after="0" w:line="227" w:lineRule="exact"/>
        <w:rPr>
          <w:sz w:val="20"/>
          <w:szCs w:val="20"/>
          <w:color w:val="auto"/>
        </w:rPr>
      </w:pPr>
    </w:p>
    <w:tbl>
      <w:tblPr>
        <w:tblLayout w:type="fixed"/>
        <w:tblInd w:w="188"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Shares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Don E. Ackerman.............................................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 Euan Baird...............................................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2,293,504</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John Deutch.................................................</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Andrew Gould................................................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256,948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Victor E. Grijalva..........................................</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741,541</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Denys Henderson.............................................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Andre Levy-Lang.............................................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4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Clermont Matton.............................................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581,248</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John C. Mayo................................................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William T. McCormick, Jr....................................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4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Irwin Pfister...............................................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281,906</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Didier Primat...............................................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23,656,136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Nicolas Seydoux.............................................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251,524</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Linda Gillespie Stuntz......................................</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5,300</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Sven Ullring................................................</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3,305</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Yoshihiko Wakumoto..........................................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00" w:type="dxa"/>
            <w:vAlign w:val="bottom"/>
            <w:vMerge w:val="restart"/>
          </w:tcPr>
          <w:p>
            <w:pPr>
              <w:ind w:left="60"/>
              <w:spacing w:after="0"/>
              <w:rPr>
                <w:sz w:val="20"/>
                <w:szCs w:val="20"/>
                <w:color w:val="auto"/>
              </w:rPr>
            </w:pPr>
            <w:r>
              <w:rPr>
                <w:rFonts w:ascii="Courier New" w:cs="Courier New" w:eastAsia="Courier New" w:hAnsi="Courier New"/>
                <w:sz w:val="15"/>
                <w:szCs w:val="15"/>
                <w:color w:val="auto"/>
                <w:w w:val="88"/>
              </w:rPr>
              <w:t>(10)</w:t>
            </w:r>
          </w:p>
        </w:tc>
        <w:tc>
          <w:tcPr>
            <w:tcW w:w="0" w:type="dxa"/>
            <w:vAlign w:val="bottom"/>
          </w:tcPr>
          <w:p>
            <w:pPr>
              <w:spacing w:after="0"/>
              <w:rPr>
                <w:sz w:val="1"/>
                <w:szCs w:val="1"/>
                <w:color w:val="auto"/>
              </w:rPr>
            </w:pPr>
          </w:p>
        </w:tc>
      </w:tr>
      <w:tr>
        <w:trPr>
          <w:trHeight w:val="252"/>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All directors and executive officers as a group (24 persons) 29,139,739</w:t>
            </w:r>
          </w:p>
        </w:tc>
        <w:tc>
          <w:tcPr>
            <w:tcW w:w="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448" w:right="343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699,955 shares held in a revocable grantor trust and 1,593,549 shares which may be acquired by Mr. Baird within 60 days through the exercise of stock options.</w:t>
      </w:r>
    </w:p>
    <w:p>
      <w:pPr>
        <w:spacing w:after="0" w:line="2"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1"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221,948 shares which may be acquired by Mr. Gould within 60 days through the exercise of stock options.</w:t>
      </w:r>
    </w:p>
    <w:p>
      <w:pPr>
        <w:spacing w:after="0" w:line="1" w:lineRule="exact"/>
        <w:rPr>
          <w:rFonts w:ascii="Courier New" w:cs="Courier New" w:eastAsia="Courier New" w:hAnsi="Courier New"/>
          <w:sz w:val="15"/>
          <w:szCs w:val="15"/>
          <w:color w:val="auto"/>
        </w:rPr>
      </w:pPr>
    </w:p>
    <w:p>
      <w:pPr>
        <w:ind w:left="448" w:right="343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626,429 shares which may be acquired by Mr. Grijalva within 60 days through the exercise of stock options.</w:t>
      </w:r>
    </w:p>
    <w:p>
      <w:pPr>
        <w:spacing w:after="0" w:line="1"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571,479 shares which may be acquired by Mr. Matton within 60 days through the exercise of stock options.</w:t>
      </w:r>
    </w:p>
    <w:p>
      <w:pPr>
        <w:spacing w:after="0" w:line="1" w:lineRule="exact"/>
        <w:rPr>
          <w:rFonts w:ascii="Courier New" w:cs="Courier New" w:eastAsia="Courier New" w:hAnsi="Courier New"/>
          <w:sz w:val="15"/>
          <w:szCs w:val="15"/>
          <w:color w:val="auto"/>
        </w:rPr>
      </w:pPr>
    </w:p>
    <w:p>
      <w:pPr>
        <w:ind w:left="448" w:right="351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263,485 shares which may be acquired by Mr. Pfister within 60 days through the exercise of stock options.</w:t>
      </w:r>
    </w:p>
    <w:p>
      <w:pPr>
        <w:spacing w:after="0" w:line="1"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 10,396,036 shares held by Mr. Primat as Executor of the Estate of Francoise Primat as to which he has sole voting and investment power and 5,900,000 shares held for account of the minor children of Mr. Primat as to which he has joint voting and investment power.</w:t>
      </w:r>
    </w:p>
    <w:p>
      <w:pPr>
        <w:spacing w:after="0" w:line="3"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1"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as to which Mrs. Stuntz shares voting power and 300 shares owned by a minor child in a trust for which Mrs. Stuntz serves as trustee.</w:t>
      </w:r>
    </w:p>
    <w:p>
      <w:pPr>
        <w:spacing w:after="0" w:line="2" w:lineRule="exact"/>
        <w:rPr>
          <w:rFonts w:ascii="Courier New" w:cs="Courier New" w:eastAsia="Courier New" w:hAnsi="Courier New"/>
          <w:sz w:val="15"/>
          <w:szCs w:val="15"/>
          <w:color w:val="auto"/>
        </w:rPr>
      </w:pPr>
    </w:p>
    <w:p>
      <w:pPr>
        <w:ind w:left="448" w:right="3159" w:hanging="448"/>
        <w:spacing w:after="0" w:line="281"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4,087,391 shares which may be acquired by executive officers as a group because they have the right to acquire such shares within 60 days through the exercise of stock options.</w:t>
      </w:r>
    </w:p>
    <w:p>
      <w:pPr>
        <w:spacing w:after="0" w:line="6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07" w:right="1440" w:bottom="188"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Board and Committees</w:t>
      </w:r>
    </w:p>
    <w:p>
      <w:pPr>
        <w:spacing w:after="0" w:line="174"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Schlumberger has an Audit, a Compensation, a Finance, a Nominating and a Technology Committee.</w:t>
      </w:r>
    </w:p>
    <w:p>
      <w:pPr>
        <w:spacing w:after="0" w:line="8"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The Audit Committee is comprised of four independent directors. It assists the Board in fulfilling its responsibilities to oversee the Company's financial reporting process and monitors the integrity of the Company's financial statements and the independence and performance of the Company's auditors. The Audit Committee recommends for appointment by the Board of Directors, subject to approval by the stockholders, a firm of independent certified public accountants whose duty is to examine the Schlumberger consolidated financial statements. Mrs. Stuntz is Chair of the Audit Committee, and Messrs. Levy-Lang, Primat and Ullring are the other members.</w:t>
      </w:r>
    </w:p>
    <w:p>
      <w:pPr>
        <w:spacing w:after="0" w:line="83" w:lineRule="exact"/>
        <w:rPr>
          <w:sz w:val="20"/>
          <w:szCs w:val="20"/>
          <w:color w:val="auto"/>
        </w:rPr>
      </w:pPr>
    </w:p>
    <w:p>
      <w:pPr>
        <w:ind w:right="3339" w:firstLine="447"/>
        <w:spacing w:after="0" w:line="272"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McCormick is Chair of the Compensation Committee. Sir Denys Henderson, Messrs. Ackerman and Seydoux are the other members.</w:t>
      </w:r>
    </w:p>
    <w:p>
      <w:pPr>
        <w:spacing w:after="0" w:line="69"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Finance Committee advises on various matters, including dividend and financial policies and the investment and reinvestment of funds. The Finance Committee periodically reviews the administration of the Schlumberger employee benefit plans and those of its subsidiaries. Mr. Levy-Lang is Chair of the Finance Committee and Messrs. Ackerman, Baird, Grijalva and Wakumoto are the other members.</w:t>
      </w:r>
    </w:p>
    <w:p>
      <w:pPr>
        <w:spacing w:after="0" w:line="74"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Mr. Seydoux is Chair of the Nominating Committee, and Mrs. Stuntz, Messrs. Baird, Deutch and McCormick are the other members. The Nominating Committee will consider nominees recommended by stockholders who may submit nominations to Chair, Nominating Committee, care of the Secretary, Schlumberger Limited, 277 Park Avenue, New York, New York 10172-0266.</w:t>
      </w:r>
    </w:p>
    <w:p>
      <w:pPr>
        <w:spacing w:after="0" w:line="87" w:lineRule="exact"/>
        <w:rPr>
          <w:sz w:val="20"/>
          <w:szCs w:val="20"/>
          <w:color w:val="auto"/>
        </w:rPr>
      </w:pPr>
    </w:p>
    <w:p>
      <w:pPr>
        <w:ind w:right="3259" w:firstLine="447"/>
        <w:spacing w:after="0" w:line="295" w:lineRule="auto"/>
        <w:rPr>
          <w:sz w:val="20"/>
          <w:szCs w:val="20"/>
          <w:color w:val="auto"/>
        </w:rPr>
      </w:pPr>
      <w:r>
        <w:rPr>
          <w:rFonts w:ascii="Courier New" w:cs="Courier New" w:eastAsia="Courier New" w:hAnsi="Courier New"/>
          <w:sz w:val="14"/>
          <w:szCs w:val="14"/>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Levy-Lang is also a member.</w:t>
      </w:r>
    </w:p>
    <w:p>
      <w:pPr>
        <w:spacing w:after="0" w:line="57"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During 2000 the Board of Directors held five meetings. The Audit Committee met four times; the Compensation Committee met four times; the Finance Committee met twice; the Nominating Committee met four times; and the Technology Committee met once. All present directors attended 100% of the aggregate of the meetings of the Board and of the committees of the Board on which such directors served, except for Mr. Primat who attended 71% and Mr. Seydoux who attended 92% of all such meetings.</w:t>
      </w:r>
    </w:p>
    <w:p>
      <w:pPr>
        <w:spacing w:after="0" w:line="78"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Directors who are employees of Schlumberger do not receive compensation for serving on the Board or on committees of the Board. Board members who are not employees receive annual fees of $40,000 each and additional annual fees of $10,000 as members of each of the committees on which they serve, except that the Chair of each Committee receives an annual fee of $20,000, rather than the $10,000 annual fee for committee service.</w:t>
      </w:r>
    </w:p>
    <w:p>
      <w:pPr>
        <w:spacing w:after="0" w:line="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Audit Committee Report</w:t>
      </w:r>
    </w:p>
    <w:p>
      <w:pPr>
        <w:spacing w:after="0" w:line="174" w:lineRule="exact"/>
        <w:rPr>
          <w:sz w:val="20"/>
          <w:szCs w:val="20"/>
          <w:color w:val="auto"/>
        </w:rPr>
      </w:pPr>
    </w:p>
    <w:p>
      <w:pPr>
        <w:ind w:right="3159" w:firstLine="447"/>
        <w:spacing w:after="0" w:line="253" w:lineRule="auto"/>
        <w:rPr>
          <w:sz w:val="20"/>
          <w:szCs w:val="20"/>
          <w:color w:val="auto"/>
        </w:rPr>
      </w:pPr>
      <w:r>
        <w:rPr>
          <w:rFonts w:ascii="Courier New" w:cs="Courier New" w:eastAsia="Courier New" w:hAnsi="Courier New"/>
          <w:sz w:val="15"/>
          <w:szCs w:val="15"/>
          <w:color w:val="auto"/>
        </w:rPr>
        <w:t>The Audit Committee is comprised of four independent directors and operates under a written charter adopted annually by the Board of Directors, which is attached as Exhibit A to the Proxy Statement. The Audit Committee assists the Board in fulfilling its responsibilities to oversee the Company's financial reporting process and monitors the integrity of the Company's financial statements and the independence and performance of the Company's auditors. In this context, we have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has reviewed and discussed such other matters as we deemed appropriate.</w:t>
      </w:r>
    </w:p>
    <w:p>
      <w:pPr>
        <w:spacing w:after="0" w:line="87" w:lineRule="exact"/>
        <w:rPr>
          <w:sz w:val="20"/>
          <w:szCs w:val="20"/>
          <w:color w:val="auto"/>
        </w:rPr>
      </w:pPr>
    </w:p>
    <w:p>
      <w:pPr>
        <w:ind w:right="3519" w:firstLine="447"/>
        <w:spacing w:after="0" w:line="281" w:lineRule="auto"/>
        <w:rPr>
          <w:sz w:val="20"/>
          <w:szCs w:val="20"/>
          <w:color w:val="auto"/>
        </w:rPr>
      </w:pPr>
      <w:r>
        <w:rPr>
          <w:rFonts w:ascii="Courier New" w:cs="Courier New" w:eastAsia="Courier New" w:hAnsi="Courier New"/>
          <w:sz w:val="15"/>
          <w:szCs w:val="15"/>
          <w:color w:val="auto"/>
        </w:rPr>
        <w:t>The Company's independent auditors provided the Audit Committee with written disclosures required by Independence Standards Board Standard No. 1 (Independence Discussions with Audit Committees), and we discussed the PricewaterhouseCoopers' independence with them.</w:t>
      </w:r>
    </w:p>
    <w:p>
      <w:pPr>
        <w:spacing w:after="0" w:line="64" w:lineRule="exact"/>
        <w:rPr>
          <w:sz w:val="20"/>
          <w:szCs w:val="20"/>
          <w:color w:val="auto"/>
        </w:rPr>
      </w:pPr>
    </w:p>
    <w:p>
      <w:pPr>
        <w:ind w:right="3259" w:firstLine="447"/>
        <w:spacing w:after="0" w:line="307" w:lineRule="auto"/>
        <w:rPr>
          <w:sz w:val="20"/>
          <w:szCs w:val="20"/>
          <w:color w:val="auto"/>
        </w:rPr>
      </w:pPr>
      <w:r>
        <w:rPr>
          <w:rFonts w:ascii="Courier New" w:cs="Courier New" w:eastAsia="Courier New" w:hAnsi="Courier New"/>
          <w:sz w:val="14"/>
          <w:szCs w:val="14"/>
          <w:color w:val="auto"/>
        </w:rPr>
        <w:t>We have considered whether the provision of services by PricewaterhouseCoopers LLP not related to the audit of the Company's financial statements and to the review of the Company's interim financial statements is compatible with maintaining PricewaterhouseCoopers' independence.</w:t>
      </w:r>
    </w:p>
    <w:p>
      <w:pPr>
        <w:spacing w:after="0" w:line="49" w:lineRule="exact"/>
        <w:rPr>
          <w:sz w:val="20"/>
          <w:szCs w:val="20"/>
          <w:color w:val="auto"/>
        </w:rPr>
      </w:pPr>
    </w:p>
    <w:p>
      <w:pPr>
        <w:ind w:right="3439" w:firstLine="447"/>
        <w:spacing w:after="0" w:line="266" w:lineRule="auto"/>
        <w:rPr>
          <w:sz w:val="20"/>
          <w:szCs w:val="20"/>
          <w:color w:val="auto"/>
        </w:rPr>
      </w:pPr>
      <w:r>
        <w:rPr>
          <w:rFonts w:ascii="Courier New" w:cs="Courier New" w:eastAsia="Courier New" w:hAnsi="Courier New"/>
          <w:sz w:val="15"/>
          <w:szCs w:val="15"/>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2000 filed with the Securities and Exchange Commission.</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AUDIT COMMITTEE OF THE SCHLUMBERGER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Levy-Lang L. Stuntz, Chair</w:t>
      </w:r>
    </w:p>
    <w:p>
      <w:pPr>
        <w:spacing w:after="0" w:line="3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D. Primat</w:t>
      </w:r>
      <w:r>
        <w:rPr>
          <w:sz w:val="20"/>
          <w:szCs w:val="20"/>
          <w:color w:val="auto"/>
        </w:rPr>
        <w:tab/>
      </w:r>
      <w:r>
        <w:rPr>
          <w:rFonts w:ascii="Courier New" w:cs="Courier New" w:eastAsia="Courier New" w:hAnsi="Courier New"/>
          <w:sz w:val="14"/>
          <w:szCs w:val="14"/>
          <w:color w:val="auto"/>
        </w:rPr>
        <w:t>S. Ullring</w:t>
      </w: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7" w:right="1440" w:bottom="1440" w:gutter="0" w:footer="0" w:header="0"/>
        </w:sectPr>
      </w:pPr>
    </w:p>
    <w:bookmarkStart w:id="9" w:name="page10"/>
    <w:bookmarkEnd w:id="9"/>
    <w:p>
      <w:pPr>
        <w:ind w:left="8"/>
        <w:spacing w:after="0"/>
        <w:rPr>
          <w:sz w:val="20"/>
          <w:szCs w:val="20"/>
          <w:color w:val="auto"/>
        </w:rPr>
      </w:pPr>
      <w:r>
        <w:rPr>
          <w:rFonts w:ascii="Courier New" w:cs="Courier New" w:eastAsia="Courier New" w:hAnsi="Courier New"/>
          <w:sz w:val="15"/>
          <w:szCs w:val="15"/>
          <w:color w:val="auto"/>
        </w:rPr>
        <w:t>EXECUTIVE COMPENSATION</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46" w:lineRule="exact"/>
        <w:rPr>
          <w:sz w:val="20"/>
          <w:szCs w:val="20"/>
          <w:color w:val="auto"/>
        </w:rPr>
      </w:pPr>
    </w:p>
    <w:p>
      <w:pPr>
        <w:jc w:val="both"/>
        <w:ind w:left="8" w:right="3339" w:firstLine="447"/>
        <w:spacing w:after="0" w:line="281" w:lineRule="auto"/>
        <w:rPr>
          <w:sz w:val="20"/>
          <w:szCs w:val="20"/>
          <w:color w:val="auto"/>
        </w:rPr>
      </w:pPr>
      <w:r>
        <w:rPr>
          <w:rFonts w:ascii="Courier New" w:cs="Courier New" w:eastAsia="Courier New" w:hAnsi="Courier New"/>
          <w:sz w:val="15"/>
          <w:szCs w:val="15"/>
          <w:color w:val="auto"/>
        </w:rPr>
        <w:t>The following table shows the compensation paid by the Company and its subsidiaries to the Chief Executive Officer and to the next four most highly compensated executive officers for the fiscal years ending December 31, 2000, 1999, and 1998.</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4640" w:type="dxa"/>
            <w:vAlign w:val="bottom"/>
            <w:gridSpan w:val="3"/>
          </w:tcPr>
          <w:p>
            <w:pPr>
              <w:ind w:left="2320"/>
              <w:spacing w:after="0"/>
              <w:rPr>
                <w:sz w:val="20"/>
                <w:szCs w:val="20"/>
                <w:color w:val="auto"/>
              </w:rPr>
            </w:pPr>
            <w:r>
              <w:rPr>
                <w:rFonts w:ascii="Courier New" w:cs="Courier New" w:eastAsia="Courier New" w:hAnsi="Courier New"/>
                <w:sz w:val="15"/>
                <w:szCs w:val="15"/>
                <w:color w:val="auto"/>
                <w:w w:val="98"/>
              </w:rPr>
              <w:t>SUMMARY COMPENSATION TABLE</w:t>
            </w:r>
          </w:p>
        </w:tc>
        <w:tc>
          <w:tcPr>
            <w:tcW w:w="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0"/>
        </w:trPr>
        <w:tc>
          <w:tcPr>
            <w:tcW w:w="2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Long Term</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8"/>
              </w:rPr>
              <w:t>Compensation</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2"/>
            <w:vMerge w:val="restart"/>
          </w:tcPr>
          <w:p>
            <w:pPr>
              <w:jc w:val="right"/>
              <w:ind w:right="325"/>
              <w:spacing w:after="0"/>
              <w:rPr>
                <w:sz w:val="20"/>
                <w:szCs w:val="20"/>
                <w:color w:val="auto"/>
              </w:rPr>
            </w:pPr>
            <w:r>
              <w:rPr>
                <w:rFonts w:ascii="Courier New" w:cs="Courier New" w:eastAsia="Courier New" w:hAnsi="Courier New"/>
                <w:sz w:val="15"/>
                <w:szCs w:val="15"/>
                <w:color w:val="auto"/>
              </w:rPr>
              <w:t>Annual Compensation</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7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Awards</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w w:val="99"/>
              </w:rPr>
              <w:t>-------------------------- ---------------</w:t>
            </w:r>
          </w:p>
        </w:tc>
        <w:tc>
          <w:tcPr>
            <w:tcW w:w="1700" w:type="dxa"/>
            <w:vAlign w:val="bottom"/>
            <w:vMerge w:val="restart"/>
          </w:tcPr>
          <w:p>
            <w:pPr>
              <w:jc w:val="right"/>
              <w:ind w:right="905"/>
              <w:spacing w:after="0"/>
              <w:rPr>
                <w:sz w:val="20"/>
                <w:szCs w:val="20"/>
                <w:color w:val="auto"/>
              </w:rPr>
            </w:pPr>
            <w:r>
              <w:rPr>
                <w:rFonts w:ascii="Courier New" w:cs="Courier New" w:eastAsia="Courier New" w:hAnsi="Courier New"/>
                <w:sz w:val="15"/>
                <w:szCs w:val="15"/>
                <w:color w:val="auto"/>
              </w:rPr>
              <w:t>All</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Securities</w:t>
            </w: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Principal Position</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Underlying</w:t>
            </w:r>
          </w:p>
        </w:tc>
        <w:tc>
          <w:tcPr>
            <w:tcW w:w="17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2"/>
        </w:trPr>
        <w:tc>
          <w:tcPr>
            <w:tcW w:w="2720" w:type="dxa"/>
            <w:vAlign w:val="bottom"/>
            <w:vMerge w:val="continue"/>
          </w:tcPr>
          <w:p>
            <w:pPr>
              <w:spacing w:after="0"/>
              <w:rPr>
                <w:sz w:val="14"/>
                <w:szCs w:val="14"/>
                <w:color w:val="auto"/>
              </w:rPr>
            </w:pPr>
          </w:p>
        </w:tc>
        <w:tc>
          <w:tcPr>
            <w:tcW w:w="63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Year Salary ($)(1) Bonus ($)(1) Options (#) (3) Compensation ($) (4)</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w:t>
            </w:r>
          </w:p>
        </w:tc>
        <w:tc>
          <w:tcPr>
            <w:tcW w:w="43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w:t>
            </w: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D. E. Baird...................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1,500,000</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175,000</w:t>
            </w:r>
          </w:p>
        </w:tc>
        <w:tc>
          <w:tcPr>
            <w:tcW w:w="0" w:type="dxa"/>
            <w:vAlign w:val="bottom"/>
          </w:tcPr>
          <w:p>
            <w:pPr>
              <w:spacing w:after="0"/>
              <w:rPr>
                <w:sz w:val="1"/>
                <w:szCs w:val="1"/>
                <w:color w:val="auto"/>
              </w:rPr>
            </w:pP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Chairman and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105,000</w:t>
            </w:r>
          </w:p>
        </w:tc>
        <w:tc>
          <w:tcPr>
            <w:tcW w:w="0" w:type="dxa"/>
            <w:vAlign w:val="bottom"/>
          </w:tcPr>
          <w:p>
            <w:pPr>
              <w:spacing w:after="0"/>
              <w:rPr>
                <w:sz w:val="1"/>
                <w:szCs w:val="1"/>
                <w:color w:val="auto"/>
              </w:rPr>
            </w:pPr>
          </w:p>
        </w:tc>
      </w:tr>
      <w:tr>
        <w:trPr>
          <w:trHeight w:val="200"/>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270,000</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4"/>
          <w:szCs w:val="14"/>
          <w:color w:val="auto"/>
        </w:rPr>
        <w:t>- ---------------------------------------------------------------------------------------------------</w:t>
      </w:r>
    </w:p>
    <w:tbl>
      <w:tblPr>
        <w:tblLayout w:type="fixed"/>
        <w:tblInd w:w="8" w:type="dxa"/>
        <w:tblCellMar>
          <w:top w:w="0" w:type="dxa"/>
          <w:left w:w="0" w:type="dxa"/>
          <w:bottom w:w="0" w:type="dxa"/>
          <w:right w:w="0" w:type="dxa"/>
        </w:tblCellMar>
      </w:tblPr>
      <w:tr>
        <w:trPr>
          <w:trHeight w:val="157"/>
        </w:trPr>
        <w:tc>
          <w:tcPr>
            <w:tcW w:w="2720" w:type="dxa"/>
            <w:vAlign w:val="bottom"/>
          </w:tcPr>
          <w:p>
            <w:pPr>
              <w:spacing w:after="0" w:line="158" w:lineRule="exact"/>
              <w:rPr>
                <w:sz w:val="20"/>
                <w:szCs w:val="20"/>
                <w:color w:val="auto"/>
              </w:rPr>
            </w:pPr>
            <w:r>
              <w:rPr>
                <w:rFonts w:ascii="Courier New" w:cs="Courier New" w:eastAsia="Courier New" w:hAnsi="Courier New"/>
                <w:sz w:val="15"/>
                <w:szCs w:val="15"/>
                <w:color w:val="auto"/>
                <w:w w:val="99"/>
              </w:rPr>
              <w:t>A. Gould......................</w:t>
            </w:r>
          </w:p>
        </w:tc>
        <w:tc>
          <w:tcPr>
            <w:tcW w:w="580" w:type="dxa"/>
            <w:vAlign w:val="bottom"/>
          </w:tcPr>
          <w:p>
            <w:pPr>
              <w:jc w:val="right"/>
              <w:ind w:right="105"/>
              <w:spacing w:after="0" w:line="158" w:lineRule="exact"/>
              <w:rPr>
                <w:sz w:val="20"/>
                <w:szCs w:val="20"/>
                <w:color w:val="auto"/>
              </w:rPr>
            </w:pPr>
            <w:r>
              <w:rPr>
                <w:rFonts w:ascii="Courier New" w:cs="Courier New" w:eastAsia="Courier New" w:hAnsi="Courier New"/>
                <w:sz w:val="15"/>
                <w:szCs w:val="15"/>
                <w:color w:val="auto"/>
              </w:rPr>
              <w:t>2000</w:t>
            </w:r>
          </w:p>
        </w:tc>
        <w:tc>
          <w:tcPr>
            <w:tcW w:w="1340" w:type="dxa"/>
            <w:vAlign w:val="bottom"/>
          </w:tcPr>
          <w:p>
            <w:pPr>
              <w:ind w:left="180"/>
              <w:spacing w:after="0" w:line="158" w:lineRule="exact"/>
              <w:rPr>
                <w:sz w:val="20"/>
                <w:szCs w:val="20"/>
                <w:color w:val="auto"/>
              </w:rPr>
            </w:pPr>
            <w:r>
              <w:rPr>
                <w:rFonts w:ascii="Courier New" w:cs="Courier New" w:eastAsia="Courier New" w:hAnsi="Courier New"/>
                <w:sz w:val="15"/>
                <w:szCs w:val="15"/>
                <w:color w:val="auto"/>
              </w:rPr>
              <w:t>507,900(2)</w:t>
            </w:r>
          </w:p>
        </w:tc>
        <w:tc>
          <w:tcPr>
            <w:tcW w:w="1300" w:type="dxa"/>
            <w:vAlign w:val="bottom"/>
          </w:tcPr>
          <w:p>
            <w:pPr>
              <w:jc w:val="right"/>
              <w:ind w:right="325"/>
              <w:spacing w:after="0" w:line="158" w:lineRule="exact"/>
              <w:rPr>
                <w:sz w:val="20"/>
                <w:szCs w:val="20"/>
                <w:color w:val="auto"/>
              </w:rPr>
            </w:pPr>
            <w:r>
              <w:rPr>
                <w:rFonts w:ascii="Courier New" w:cs="Courier New" w:eastAsia="Courier New" w:hAnsi="Courier New"/>
                <w:sz w:val="15"/>
                <w:szCs w:val="15"/>
                <w:color w:val="auto"/>
              </w:rPr>
              <w:t>567,200</w:t>
            </w:r>
          </w:p>
        </w:tc>
        <w:tc>
          <w:tcPr>
            <w:tcW w:w="1700" w:type="dxa"/>
            <w:vAlign w:val="bottom"/>
          </w:tcPr>
          <w:p>
            <w:pPr>
              <w:jc w:val="right"/>
              <w:ind w:right="605"/>
              <w:spacing w:after="0" w:line="158" w:lineRule="exact"/>
              <w:rPr>
                <w:sz w:val="20"/>
                <w:szCs w:val="20"/>
                <w:color w:val="auto"/>
              </w:rPr>
            </w:pPr>
            <w:r>
              <w:rPr>
                <w:rFonts w:ascii="Courier New" w:cs="Courier New" w:eastAsia="Courier New" w:hAnsi="Courier New"/>
                <w:sz w:val="15"/>
                <w:szCs w:val="15"/>
                <w:color w:val="auto"/>
              </w:rPr>
              <w:t>200,000</w:t>
            </w:r>
          </w:p>
        </w:tc>
        <w:tc>
          <w:tcPr>
            <w:tcW w:w="1200" w:type="dxa"/>
            <w:vAlign w:val="bottom"/>
          </w:tcPr>
          <w:p>
            <w:pPr>
              <w:jc w:val="right"/>
              <w:spacing w:after="0" w:line="158" w:lineRule="exact"/>
              <w:rPr>
                <w:sz w:val="20"/>
                <w:szCs w:val="20"/>
                <w:color w:val="auto"/>
              </w:rPr>
            </w:pPr>
            <w:r>
              <w:rPr>
                <w:rFonts w:ascii="Courier New" w:cs="Courier New" w:eastAsia="Courier New" w:hAnsi="Courier New"/>
                <w:sz w:val="15"/>
                <w:szCs w:val="15"/>
                <w:color w:val="auto"/>
              </w:rPr>
              <w:t>53,922</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589,102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310,915</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54,950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36,691</w:t>
            </w:r>
          </w:p>
        </w:tc>
      </w:tr>
      <w:tr>
        <w:trPr>
          <w:trHeight w:val="200"/>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Oilfield Services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499,154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152,284</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43,960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63,198</w:t>
            </w:r>
          </w:p>
        </w:tc>
      </w:tr>
    </w:tbl>
    <w:p>
      <w:pPr>
        <w:ind w:left="8"/>
        <w:spacing w:after="0"/>
        <w:rPr>
          <w:sz w:val="20"/>
          <w:szCs w:val="20"/>
          <w:color w:val="auto"/>
        </w:rPr>
      </w:pPr>
      <w:r>
        <w:rPr>
          <w:rFonts w:ascii="Courier New" w:cs="Courier New" w:eastAsia="Courier New" w:hAnsi="Courier New"/>
          <w:sz w:val="14"/>
          <w:szCs w:val="14"/>
          <w:color w:val="auto"/>
        </w:rPr>
        <w:t>- ---------------------------------------------------------------------------------------------------</w:t>
      </w:r>
    </w:p>
    <w:tbl>
      <w:tblPr>
        <w:tblLayout w:type="fixed"/>
        <w:tblInd w:w="8" w:type="dxa"/>
        <w:tblCellMar>
          <w:top w:w="0" w:type="dxa"/>
          <w:left w:w="0" w:type="dxa"/>
          <w:bottom w:w="0" w:type="dxa"/>
          <w:right w:w="0" w:type="dxa"/>
        </w:tblCellMar>
      </w:tblPr>
      <w:tr>
        <w:trPr>
          <w:trHeight w:val="157"/>
        </w:trPr>
        <w:tc>
          <w:tcPr>
            <w:tcW w:w="2720" w:type="dxa"/>
            <w:vAlign w:val="bottom"/>
          </w:tcPr>
          <w:p>
            <w:pPr>
              <w:spacing w:after="0" w:line="158" w:lineRule="exact"/>
              <w:rPr>
                <w:sz w:val="20"/>
                <w:szCs w:val="20"/>
                <w:color w:val="auto"/>
              </w:rPr>
            </w:pPr>
            <w:r>
              <w:rPr>
                <w:rFonts w:ascii="Courier New" w:cs="Courier New" w:eastAsia="Courier New" w:hAnsi="Courier New"/>
                <w:sz w:val="15"/>
                <w:szCs w:val="15"/>
                <w:color w:val="auto"/>
                <w:w w:val="99"/>
              </w:rPr>
              <w:t>C. Matton.....................</w:t>
            </w:r>
          </w:p>
        </w:tc>
        <w:tc>
          <w:tcPr>
            <w:tcW w:w="580" w:type="dxa"/>
            <w:vAlign w:val="bottom"/>
          </w:tcPr>
          <w:p>
            <w:pPr>
              <w:jc w:val="right"/>
              <w:ind w:right="105"/>
              <w:spacing w:after="0" w:line="158" w:lineRule="exact"/>
              <w:rPr>
                <w:sz w:val="20"/>
                <w:szCs w:val="20"/>
                <w:color w:val="auto"/>
              </w:rPr>
            </w:pPr>
            <w:r>
              <w:rPr>
                <w:rFonts w:ascii="Courier New" w:cs="Courier New" w:eastAsia="Courier New" w:hAnsi="Courier New"/>
                <w:sz w:val="15"/>
                <w:szCs w:val="15"/>
                <w:color w:val="auto"/>
              </w:rPr>
              <w:t>2000</w:t>
            </w:r>
          </w:p>
        </w:tc>
        <w:tc>
          <w:tcPr>
            <w:tcW w:w="1340" w:type="dxa"/>
            <w:vAlign w:val="bottom"/>
          </w:tcPr>
          <w:p>
            <w:pPr>
              <w:ind w:left="180"/>
              <w:spacing w:after="0" w:line="158" w:lineRule="exact"/>
              <w:rPr>
                <w:sz w:val="20"/>
                <w:szCs w:val="20"/>
                <w:color w:val="auto"/>
              </w:rPr>
            </w:pPr>
            <w:r>
              <w:rPr>
                <w:rFonts w:ascii="Courier New" w:cs="Courier New" w:eastAsia="Courier New" w:hAnsi="Courier New"/>
                <w:sz w:val="15"/>
                <w:szCs w:val="15"/>
                <w:color w:val="auto"/>
              </w:rPr>
              <w:t>409,142(2)</w:t>
            </w:r>
          </w:p>
        </w:tc>
        <w:tc>
          <w:tcPr>
            <w:tcW w:w="1560" w:type="dxa"/>
            <w:vAlign w:val="bottom"/>
          </w:tcPr>
          <w:p>
            <w:pPr>
              <w:jc w:val="right"/>
              <w:ind w:right="585"/>
              <w:spacing w:after="0" w:line="158" w:lineRule="exact"/>
              <w:rPr>
                <w:sz w:val="20"/>
                <w:szCs w:val="20"/>
                <w:color w:val="auto"/>
              </w:rPr>
            </w:pPr>
            <w:r>
              <w:rPr>
                <w:rFonts w:ascii="Courier New" w:cs="Courier New" w:eastAsia="Courier New" w:hAnsi="Courier New"/>
                <w:sz w:val="15"/>
                <w:szCs w:val="15"/>
                <w:color w:val="auto"/>
              </w:rPr>
              <w:t>507,900</w:t>
            </w:r>
          </w:p>
        </w:tc>
        <w:tc>
          <w:tcPr>
            <w:tcW w:w="1440" w:type="dxa"/>
            <w:vAlign w:val="bottom"/>
          </w:tcPr>
          <w:p>
            <w:pPr>
              <w:jc w:val="right"/>
              <w:ind w:right="605"/>
              <w:spacing w:after="0" w:line="158"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line="158" w:lineRule="exact"/>
              <w:rPr>
                <w:sz w:val="20"/>
                <w:szCs w:val="20"/>
                <w:color w:val="auto"/>
              </w:rPr>
            </w:pPr>
            <w:r>
              <w:rPr>
                <w:rFonts w:ascii="Courier New" w:cs="Courier New" w:eastAsia="Courier New" w:hAnsi="Courier New"/>
                <w:sz w:val="15"/>
                <w:szCs w:val="15"/>
                <w:color w:val="auto"/>
              </w:rPr>
              <w:t>29,141</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474,554</w:t>
            </w: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75,929</w:t>
            </w: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20,712</w:t>
            </w:r>
          </w:p>
        </w:tc>
      </w:tr>
      <w:tr>
        <w:trPr>
          <w:trHeight w:val="200"/>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Resource Management Systems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490,694</w:t>
            </w:r>
          </w:p>
        </w:tc>
        <w:tc>
          <w:tcPr>
            <w:tcW w:w="15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122,673</w:t>
            </w: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62,313</w:t>
            </w:r>
          </w:p>
        </w:tc>
      </w:tr>
    </w:tbl>
    <w:p>
      <w:pPr>
        <w:ind w:left="8"/>
        <w:spacing w:after="0"/>
        <w:rPr>
          <w:sz w:val="20"/>
          <w:szCs w:val="20"/>
          <w:color w:val="auto"/>
        </w:rPr>
      </w:pPr>
      <w:r>
        <w:rPr>
          <w:rFonts w:ascii="Courier New" w:cs="Courier New" w:eastAsia="Courier New" w:hAnsi="Courier New"/>
          <w:sz w:val="14"/>
          <w:szCs w:val="14"/>
          <w:color w:val="auto"/>
        </w:rPr>
        <w:t>- ---------------------------------------------------------------------------------------------------</w:t>
      </w:r>
    </w:p>
    <w:tbl>
      <w:tblPr>
        <w:tblLayout w:type="fixed"/>
        <w:tblInd w:w="8" w:type="dxa"/>
        <w:tblCellMar>
          <w:top w:w="0" w:type="dxa"/>
          <w:left w:w="0" w:type="dxa"/>
          <w:bottom w:w="0" w:type="dxa"/>
          <w:right w:w="0" w:type="dxa"/>
        </w:tblCellMar>
      </w:tblPr>
      <w:tr>
        <w:trPr>
          <w:trHeight w:val="157"/>
        </w:trPr>
        <w:tc>
          <w:tcPr>
            <w:tcW w:w="2720" w:type="dxa"/>
            <w:vAlign w:val="bottom"/>
          </w:tcPr>
          <w:p>
            <w:pPr>
              <w:spacing w:after="0" w:line="158" w:lineRule="exact"/>
              <w:rPr>
                <w:sz w:val="20"/>
                <w:szCs w:val="20"/>
                <w:color w:val="auto"/>
              </w:rPr>
            </w:pPr>
            <w:r>
              <w:rPr>
                <w:rFonts w:ascii="Courier New" w:cs="Courier New" w:eastAsia="Courier New" w:hAnsi="Courier New"/>
                <w:sz w:val="15"/>
                <w:szCs w:val="15"/>
                <w:color w:val="auto"/>
                <w:w w:val="99"/>
              </w:rPr>
              <w:t>V. Grijalva...................</w:t>
            </w:r>
          </w:p>
        </w:tc>
        <w:tc>
          <w:tcPr>
            <w:tcW w:w="580" w:type="dxa"/>
            <w:vAlign w:val="bottom"/>
          </w:tcPr>
          <w:p>
            <w:pPr>
              <w:jc w:val="right"/>
              <w:ind w:right="105"/>
              <w:spacing w:after="0" w:line="158" w:lineRule="exact"/>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25"/>
              <w:spacing w:after="0" w:line="158" w:lineRule="exact"/>
              <w:rPr>
                <w:sz w:val="20"/>
                <w:szCs w:val="20"/>
                <w:color w:val="auto"/>
              </w:rPr>
            </w:pPr>
            <w:r>
              <w:rPr>
                <w:rFonts w:ascii="Courier New" w:cs="Courier New" w:eastAsia="Courier New" w:hAnsi="Courier New"/>
                <w:sz w:val="15"/>
                <w:szCs w:val="15"/>
                <w:color w:val="auto"/>
              </w:rPr>
              <w:t>400,000</w:t>
            </w:r>
          </w:p>
        </w:tc>
        <w:tc>
          <w:tcPr>
            <w:tcW w:w="1700" w:type="dxa"/>
            <w:vAlign w:val="bottom"/>
          </w:tcPr>
          <w:p>
            <w:pPr>
              <w:jc w:val="right"/>
              <w:ind w:right="585"/>
              <w:spacing w:after="0" w:line="158" w:lineRule="exact"/>
              <w:rPr>
                <w:sz w:val="20"/>
                <w:szCs w:val="20"/>
                <w:color w:val="auto"/>
              </w:rPr>
            </w:pPr>
            <w:r>
              <w:rPr>
                <w:rFonts w:ascii="Courier New" w:cs="Courier New" w:eastAsia="Courier New" w:hAnsi="Courier New"/>
                <w:sz w:val="15"/>
                <w:szCs w:val="15"/>
                <w:color w:val="auto"/>
              </w:rPr>
              <w:t>300,000</w:t>
            </w:r>
          </w:p>
        </w:tc>
        <w:tc>
          <w:tcPr>
            <w:tcW w:w="1400" w:type="dxa"/>
            <w:vAlign w:val="bottom"/>
          </w:tcPr>
          <w:p>
            <w:pPr>
              <w:jc w:val="right"/>
              <w:ind w:right="565"/>
              <w:spacing w:after="0" w:line="158" w:lineRule="exact"/>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5"/>
                <w:szCs w:val="15"/>
                <w:color w:val="auto"/>
              </w:rPr>
              <w:t>57,400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Vice Chairman</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420,000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52,000</w:t>
            </w:r>
          </w:p>
        </w:tc>
      </w:tr>
      <w:tr>
        <w:trPr>
          <w:trHeight w:val="200"/>
        </w:trPr>
        <w:tc>
          <w:tcPr>
            <w:tcW w:w="2720" w:type="dxa"/>
            <w:vAlign w:val="bottom"/>
          </w:tcPr>
          <w:p>
            <w:pPr>
              <w:spacing w:after="0"/>
              <w:rPr>
                <w:sz w:val="17"/>
                <w:szCs w:val="17"/>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800,000</w:t>
            </w:r>
          </w:p>
        </w:tc>
        <w:tc>
          <w:tcPr>
            <w:tcW w:w="17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240,000</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112,500</w:t>
            </w:r>
          </w:p>
        </w:tc>
      </w:tr>
    </w:tbl>
    <w:p>
      <w:pPr>
        <w:ind w:left="8"/>
        <w:spacing w:after="0"/>
        <w:rPr>
          <w:sz w:val="20"/>
          <w:szCs w:val="20"/>
          <w:color w:val="auto"/>
        </w:rPr>
      </w:pPr>
      <w:r>
        <w:rPr>
          <w:rFonts w:ascii="Courier New" w:cs="Courier New" w:eastAsia="Courier New" w:hAnsi="Courier New"/>
          <w:sz w:val="14"/>
          <w:szCs w:val="14"/>
          <w:color w:val="auto"/>
        </w:rPr>
        <w:t>- ---------------------------------------------------------------------------------------------------</w:t>
      </w:r>
    </w:p>
    <w:tbl>
      <w:tblPr>
        <w:tblLayout w:type="fixed"/>
        <w:tblInd w:w="8" w:type="dxa"/>
        <w:tblCellMar>
          <w:top w:w="0" w:type="dxa"/>
          <w:left w:w="0" w:type="dxa"/>
          <w:bottom w:w="0" w:type="dxa"/>
          <w:right w:w="0" w:type="dxa"/>
        </w:tblCellMar>
      </w:tblPr>
      <w:tr>
        <w:trPr>
          <w:trHeight w:val="157"/>
        </w:trPr>
        <w:tc>
          <w:tcPr>
            <w:tcW w:w="2720" w:type="dxa"/>
            <w:vAlign w:val="bottom"/>
          </w:tcPr>
          <w:p>
            <w:pPr>
              <w:spacing w:after="0" w:line="158" w:lineRule="exact"/>
              <w:rPr>
                <w:sz w:val="20"/>
                <w:szCs w:val="20"/>
                <w:color w:val="auto"/>
              </w:rPr>
            </w:pPr>
            <w:r>
              <w:rPr>
                <w:rFonts w:ascii="Courier New" w:cs="Courier New" w:eastAsia="Courier New" w:hAnsi="Courier New"/>
                <w:sz w:val="15"/>
                <w:szCs w:val="15"/>
                <w:color w:val="auto"/>
                <w:w w:val="99"/>
              </w:rPr>
              <w:t>I. Pfister....................</w:t>
            </w:r>
          </w:p>
        </w:tc>
        <w:tc>
          <w:tcPr>
            <w:tcW w:w="580" w:type="dxa"/>
            <w:vAlign w:val="bottom"/>
          </w:tcPr>
          <w:p>
            <w:pPr>
              <w:jc w:val="right"/>
              <w:ind w:right="105"/>
              <w:spacing w:after="0" w:line="158" w:lineRule="exact"/>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25"/>
              <w:spacing w:after="0" w:line="158" w:lineRule="exact"/>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5"/>
              <w:spacing w:after="0" w:line="158" w:lineRule="exact"/>
              <w:rPr>
                <w:sz w:val="20"/>
                <w:szCs w:val="20"/>
                <w:color w:val="auto"/>
              </w:rPr>
            </w:pPr>
            <w:r>
              <w:rPr>
                <w:rFonts w:ascii="Courier New" w:cs="Courier New" w:eastAsia="Courier New" w:hAnsi="Courier New"/>
                <w:sz w:val="15"/>
                <w:szCs w:val="15"/>
                <w:color w:val="auto"/>
              </w:rPr>
              <w:t>150,000</w:t>
            </w:r>
          </w:p>
        </w:tc>
        <w:tc>
          <w:tcPr>
            <w:tcW w:w="1700" w:type="dxa"/>
            <w:vAlign w:val="bottom"/>
          </w:tcPr>
          <w:p>
            <w:pPr>
              <w:jc w:val="right"/>
              <w:ind w:right="605"/>
              <w:spacing w:after="0" w:line="158" w:lineRule="exact"/>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line="158" w:lineRule="exact"/>
              <w:rPr>
                <w:sz w:val="20"/>
                <w:szCs w:val="20"/>
                <w:color w:val="auto"/>
              </w:rPr>
            </w:pPr>
            <w:r>
              <w:rPr>
                <w:rFonts w:ascii="Courier New" w:cs="Courier New" w:eastAsia="Courier New" w:hAnsi="Courier New"/>
                <w:sz w:val="15"/>
                <w:szCs w:val="15"/>
                <w:color w:val="auto"/>
              </w:rPr>
              <w:t>44,800</w:t>
            </w:r>
          </w:p>
        </w:tc>
      </w:tr>
      <w:tr>
        <w:trPr>
          <w:trHeight w:val="172"/>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290,000</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54,949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39,719</w:t>
            </w:r>
          </w:p>
        </w:tc>
      </w:tr>
      <w:tr>
        <w:trPr>
          <w:trHeight w:val="200"/>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Test &amp; Transactions</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150,000</w:t>
            </w:r>
          </w:p>
        </w:tc>
        <w:tc>
          <w:tcPr>
            <w:tcW w:w="17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72,000</w:t>
            </w:r>
          </w:p>
        </w:tc>
      </w:tr>
    </w:tbl>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29" w:lineRule="exact"/>
        <w:rPr>
          <w:rFonts w:ascii="Courier New" w:cs="Courier New" w:eastAsia="Courier New" w:hAnsi="Courier New"/>
          <w:sz w:val="14"/>
          <w:szCs w:val="14"/>
          <w:color w:val="auto"/>
        </w:rPr>
      </w:pPr>
    </w:p>
    <w:p>
      <w:pPr>
        <w:ind w:left="448" w:right="3159" w:hanging="359"/>
        <w:spacing w:after="0" w:line="262" w:lineRule="auto"/>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w:t>
      </w:r>
    </w:p>
    <w:p>
      <w:pPr>
        <w:spacing w:after="0" w:line="1" w:lineRule="exact"/>
        <w:rPr>
          <w:rFonts w:ascii="Courier New" w:cs="Courier New" w:eastAsia="Courier New" w:hAnsi="Courier New"/>
          <w:sz w:val="15"/>
          <w:szCs w:val="15"/>
          <w:color w:val="auto"/>
        </w:rPr>
      </w:pPr>
    </w:p>
    <w:p>
      <w:pPr>
        <w:ind w:left="448" w:right="3339" w:hanging="359"/>
        <w:spacing w:after="0" w:line="242" w:lineRule="auto"/>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Gould's salary and Mr. Matton's salary and bonus were paid in French francs.</w:t>
      </w:r>
    </w:p>
    <w:p>
      <w:pPr>
        <w:spacing w:after="0" w:line="1"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spacing w:after="0" w:line="2" w:lineRule="exact"/>
        <w:rPr>
          <w:rFonts w:ascii="Courier New" w:cs="Courier New" w:eastAsia="Courier New" w:hAnsi="Courier New"/>
          <w:sz w:val="15"/>
          <w:szCs w:val="15"/>
          <w:color w:val="auto"/>
        </w:rPr>
      </w:pPr>
    </w:p>
    <w:p>
      <w:pPr>
        <w:ind w:left="448" w:hanging="359"/>
        <w:spacing w:after="0"/>
        <w:tabs>
          <w:tab w:leader="none" w:pos="448"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1999 amounts disclosed in this column include:</w:t>
      </w:r>
    </w:p>
    <w:p>
      <w:pPr>
        <w:spacing w:after="0" w:line="2" w:lineRule="exact"/>
        <w:rPr>
          <w:rFonts w:ascii="Courier New" w:cs="Courier New" w:eastAsia="Courier New" w:hAnsi="Courier New"/>
          <w:sz w:val="15"/>
          <w:szCs w:val="15"/>
          <w:color w:val="auto"/>
        </w:rPr>
      </w:pPr>
    </w:p>
    <w:p>
      <w:pPr>
        <w:ind w:left="988" w:hanging="362"/>
        <w:spacing w:after="0"/>
        <w:tabs>
          <w:tab w:leader="none" w:pos="9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 Profit Sharing Plans</w:t>
      </w:r>
    </w:p>
    <w:p>
      <w:pPr>
        <w:spacing w:after="0" w:line="2" w:lineRule="exact"/>
        <w:rPr>
          <w:rFonts w:ascii="Courier New" w:cs="Courier New" w:eastAsia="Courier New" w:hAnsi="Courier New"/>
          <w:sz w:val="15"/>
          <w:szCs w:val="15"/>
          <w:color w:val="auto"/>
        </w:rPr>
      </w:pPr>
    </w:p>
    <w:p>
      <w:pPr>
        <w:ind w:left="988" w:right="3339" w:hanging="362"/>
        <w:spacing w:after="0" w:line="242" w:lineRule="auto"/>
        <w:tabs>
          <w:tab w:leader="none" w:pos="9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spacing w:after="0" w:line="1" w:lineRule="exact"/>
        <w:rPr>
          <w:rFonts w:ascii="Courier New" w:cs="Courier New" w:eastAsia="Courier New" w:hAnsi="Courier New"/>
          <w:sz w:val="15"/>
          <w:szCs w:val="15"/>
          <w:color w:val="auto"/>
        </w:rPr>
      </w:pPr>
    </w:p>
    <w:p>
      <w:pPr>
        <w:ind w:left="988" w:right="3439" w:hanging="362"/>
        <w:spacing w:after="0" w:line="319" w:lineRule="auto"/>
        <w:tabs>
          <w:tab w:leader="none" w:pos="988"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Schlumberger Restoration Savings Plan</w:t>
      </w:r>
    </w:p>
    <w:p>
      <w:pPr>
        <w:spacing w:after="0" w:line="380"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 (b)($) (c)($)</w:t>
      </w:r>
    </w:p>
    <w:p>
      <w:pPr>
        <w:spacing w:after="0" w:line="30"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 ------ ------</w:t>
      </w:r>
    </w:p>
    <w:p>
      <w:pPr>
        <w:spacing w:after="0" w:line="146"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Mr. Baird... 11,900 93,200 69,900</w:t>
      </w:r>
    </w:p>
    <w:p>
      <w:pPr>
        <w:spacing w:after="0" w:line="30" w:lineRule="exact"/>
        <w:rPr>
          <w:sz w:val="20"/>
          <w:szCs w:val="20"/>
          <w:color w:val="auto"/>
        </w:rPr>
      </w:pPr>
    </w:p>
    <w:p>
      <w:pPr>
        <w:ind w:left="2048"/>
        <w:spacing w:after="0"/>
        <w:tabs>
          <w:tab w:leader="none" w:pos="4088" w:val="left"/>
          <w:tab w:leader="none" w:pos="4728" w:val="left"/>
        </w:tabs>
        <w:rPr>
          <w:sz w:val="20"/>
          <w:szCs w:val="20"/>
          <w:color w:val="auto"/>
        </w:rPr>
      </w:pPr>
      <w:r>
        <w:rPr>
          <w:rFonts w:ascii="Courier New" w:cs="Courier New" w:eastAsia="Courier New" w:hAnsi="Courier New"/>
          <w:sz w:val="15"/>
          <w:szCs w:val="15"/>
          <w:color w:val="auto"/>
        </w:rPr>
        <w:t>Mr. Gould... 53,922</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2" w:lineRule="exact"/>
        <w:rPr>
          <w:sz w:val="20"/>
          <w:szCs w:val="20"/>
          <w:color w:val="auto"/>
        </w:rPr>
      </w:pPr>
    </w:p>
    <w:p>
      <w:pPr>
        <w:ind w:left="2048"/>
        <w:spacing w:after="0"/>
        <w:tabs>
          <w:tab w:leader="none" w:pos="4088" w:val="left"/>
          <w:tab w:leader="none" w:pos="4728" w:val="left"/>
        </w:tabs>
        <w:rPr>
          <w:sz w:val="20"/>
          <w:szCs w:val="20"/>
          <w:color w:val="auto"/>
        </w:rPr>
      </w:pPr>
      <w:r>
        <w:rPr>
          <w:rFonts w:ascii="Courier New" w:cs="Courier New" w:eastAsia="Courier New" w:hAnsi="Courier New"/>
          <w:sz w:val="15"/>
          <w:szCs w:val="15"/>
          <w:color w:val="auto"/>
        </w:rPr>
        <w:t>Mr. Matton.. 29,141</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Mr. Grijalva 11,900 26,000 19,500</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Mr. Pfister. 11,900 18,800 14,100</w:t>
      </w:r>
    </w:p>
    <w:p>
      <w:pPr>
        <w:spacing w:after="0" w:line="318" w:lineRule="exact"/>
        <w:rPr>
          <w:sz w:val="20"/>
          <w:szCs w:val="20"/>
          <w:color w:val="auto"/>
        </w:rPr>
      </w:pPr>
    </w:p>
    <w:p>
      <w:pPr>
        <w:ind w:left="448" w:right="3259"/>
        <w:spacing w:after="0" w:line="266" w:lineRule="auto"/>
        <w:rPr>
          <w:sz w:val="20"/>
          <w:szCs w:val="20"/>
          <w:color w:val="auto"/>
        </w:rPr>
      </w:pPr>
      <w:r>
        <w:rPr>
          <w:rFonts w:ascii="Courier New" w:cs="Courier New" w:eastAsia="Courier New" w:hAnsi="Courier New"/>
          <w:sz w:val="15"/>
          <w:szCs w:val="15"/>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Grants Table</w:t>
      </w:r>
    </w:p>
    <w:p>
      <w:pPr>
        <w:spacing w:after="0" w:line="174" w:lineRule="exact"/>
        <w:rPr>
          <w:sz w:val="20"/>
          <w:szCs w:val="20"/>
          <w:color w:val="auto"/>
        </w:rPr>
      </w:pPr>
    </w:p>
    <w:p>
      <w:pPr>
        <w:ind w:left="8" w:right="3159" w:firstLine="447"/>
        <w:spacing w:after="0" w:line="255" w:lineRule="auto"/>
        <w:rPr>
          <w:sz w:val="20"/>
          <w:szCs w:val="20"/>
          <w:color w:val="auto"/>
        </w:rPr>
      </w:pPr>
      <w:r>
        <w:rPr>
          <w:rFonts w:ascii="Courier New" w:cs="Courier New" w:eastAsia="Courier New" w:hAnsi="Courier New"/>
          <w:sz w:val="15"/>
          <w:szCs w:val="15"/>
          <w:color w:val="auto"/>
        </w:rPr>
        <w:t>The following table sets forth certain information concerning options granted during 2000 to the Chief Executive Officer and the next four most highly compensated executive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8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07" w:right="1440" w:bottom="188"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252"/>
        </w:trPr>
        <w:tc>
          <w:tcPr>
            <w:tcW w:w="1020" w:type="dxa"/>
            <w:vAlign w:val="bottom"/>
          </w:tcPr>
          <w:p>
            <w:pPr>
              <w:spacing w:after="0"/>
              <w:rPr>
                <w:sz w:val="21"/>
                <w:szCs w:val="21"/>
                <w:color w:val="auto"/>
              </w:rPr>
            </w:pPr>
          </w:p>
        </w:tc>
        <w:tc>
          <w:tcPr>
            <w:tcW w:w="4840" w:type="dxa"/>
            <w:vAlign w:val="bottom"/>
            <w:gridSpan w:val="4"/>
          </w:tcPr>
          <w:p>
            <w:pPr>
              <w:jc w:val="right"/>
              <w:ind w:right="785"/>
              <w:spacing w:after="0"/>
              <w:rPr>
                <w:sz w:val="20"/>
                <w:szCs w:val="20"/>
                <w:color w:val="auto"/>
              </w:rPr>
            </w:pPr>
            <w:r>
              <w:rPr>
                <w:rFonts w:ascii="Courier New" w:cs="Courier New" w:eastAsia="Courier New" w:hAnsi="Courier New"/>
                <w:sz w:val="15"/>
                <w:szCs w:val="15"/>
                <w:color w:val="auto"/>
              </w:rPr>
              <w:t>Option Grants in Last Fiscal Year</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w w:val="98"/>
              </w:rPr>
              <w:t>Individual Grants</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2180" w:type="dxa"/>
            <w:vAlign w:val="bottom"/>
            <w:gridSpan w:val="2"/>
            <w:vMerge w:val="restart"/>
          </w:tcPr>
          <w:p>
            <w:pPr>
              <w:jc w:val="right"/>
              <w:ind w:right="185"/>
              <w:spacing w:after="0"/>
              <w:rPr>
                <w:sz w:val="20"/>
                <w:szCs w:val="20"/>
                <w:color w:val="auto"/>
              </w:rPr>
            </w:pPr>
            <w:r>
              <w:rPr>
                <w:rFonts w:ascii="Courier New" w:cs="Courier New" w:eastAsia="Courier New" w:hAnsi="Courier New"/>
                <w:sz w:val="15"/>
                <w:szCs w:val="15"/>
                <w:color w:val="auto"/>
              </w:rPr>
              <w:t>Potential Realizable</w:t>
            </w:r>
          </w:p>
        </w:tc>
        <w:tc>
          <w:tcPr>
            <w:tcW w:w="0" w:type="dxa"/>
            <w:vAlign w:val="bottom"/>
          </w:tcPr>
          <w:p>
            <w:pPr>
              <w:spacing w:after="0"/>
              <w:rPr>
                <w:sz w:val="1"/>
                <w:szCs w:val="1"/>
                <w:color w:val="auto"/>
              </w:rPr>
            </w:pPr>
          </w:p>
        </w:tc>
      </w:tr>
      <w:tr>
        <w:trPr>
          <w:trHeight w:val="92"/>
        </w:trPr>
        <w:tc>
          <w:tcPr>
            <w:tcW w:w="10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 of Total</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Value at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Assumed</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6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Annual Rates of Stock</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9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Price Appreciation for</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Granted to</w:t>
            </w:r>
          </w:p>
        </w:tc>
        <w:tc>
          <w:tcPr>
            <w:tcW w:w="980" w:type="dxa"/>
            <w:vAlign w:val="bottom"/>
            <w:vMerge w:val="continue"/>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Expiration</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Option</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Underlying Options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Employees in</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Price</w:t>
            </w:r>
          </w:p>
        </w:tc>
        <w:tc>
          <w:tcPr>
            <w:tcW w:w="1000" w:type="dxa"/>
            <w:vAlign w:val="bottom"/>
            <w:vMerge w:val="continue"/>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w:t>
            </w:r>
            <w:r>
              <w:rPr>
                <w:rFonts w:ascii="Courier New" w:cs="Courier New" w:eastAsia="Courier New" w:hAnsi="Courier New"/>
                <w:sz w:val="13"/>
                <w:szCs w:val="13"/>
                <w:color w:val="auto"/>
                <w:w w:val="74"/>
                <w:vertAlign w:val="subscript"/>
              </w:rPr>
              <w:t>5%($)</w:t>
            </w:r>
          </w:p>
        </w:tc>
        <w:tc>
          <w:tcPr>
            <w:tcW w:w="10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2"/>
        </w:trPr>
        <w:tc>
          <w:tcPr>
            <w:tcW w:w="1020" w:type="dxa"/>
            <w:vAlign w:val="bottom"/>
            <w:vMerge w:val="continue"/>
          </w:tcPr>
          <w:p>
            <w:pPr>
              <w:spacing w:after="0"/>
              <w:rPr>
                <w:sz w:val="14"/>
                <w:szCs w:val="14"/>
                <w:color w:val="auto"/>
              </w:rPr>
            </w:pP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Granted (#) (1)</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Fiscal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($/SH) (2)</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Date</w:t>
            </w:r>
          </w:p>
        </w:tc>
        <w:tc>
          <w:tcPr>
            <w:tcW w:w="11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A. Gould...</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82.282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10/19/10</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10,349,342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26,227,263</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C. Matton..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20"/>
                <w:szCs w:val="20"/>
                <w:color w:val="auto"/>
              </w:rPr>
            </w:pPr>
            <w:r>
              <w:rPr>
                <w:rFonts w:ascii="Courier New" w:cs="Courier New" w:eastAsia="Courier New" w:hAnsi="Courier New"/>
                <w:sz w:val="15"/>
                <w:szCs w:val="15"/>
                <w:color w:val="auto"/>
              </w:rPr>
              <w:t>V. Grijalva</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0"/>
                <w:szCs w:val="20"/>
                <w:color w:val="auto"/>
              </w:rPr>
            </w:pPr>
            <w:r>
              <w:rPr>
                <w:rFonts w:ascii="Courier New" w:cs="Courier New" w:eastAsia="Courier New" w:hAnsi="Courier New"/>
                <w:sz w:val="15"/>
                <w:szCs w:val="15"/>
                <w:color w:val="auto"/>
              </w:rPr>
              <w:t>I. Pfister.</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82.282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10/19/10</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5,174,671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13,113,632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right="3159"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any stock appreciation rights. Options become exercisable in installments of 20% each year following the date of grant.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4" w:lineRule="exact"/>
        <w:rPr>
          <w:rFonts w:ascii="Courier New" w:cs="Courier New" w:eastAsia="Courier New" w:hAnsi="Courier New"/>
          <w:sz w:val="15"/>
          <w:szCs w:val="15"/>
          <w:color w:val="auto"/>
        </w:rPr>
      </w:pPr>
    </w:p>
    <w:p>
      <w:pPr>
        <w:ind w:left="348" w:right="3159" w:hanging="348"/>
        <w:spacing w:after="0" w:line="26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Exercises and</w:t>
      </w:r>
    </w:p>
    <w:p>
      <w:pPr>
        <w:spacing w:after="0" w:line="3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2000 Stock Option Value Table</w:t>
      </w:r>
    </w:p>
    <w:p>
      <w:pPr>
        <w:spacing w:after="0" w:line="146" w:lineRule="exact"/>
        <w:rPr>
          <w:sz w:val="20"/>
          <w:szCs w:val="20"/>
          <w:color w:val="auto"/>
        </w:rPr>
      </w:pPr>
    </w:p>
    <w:p>
      <w:pPr>
        <w:ind w:left="8" w:right="3159" w:firstLine="447"/>
        <w:spacing w:after="0" w:line="255" w:lineRule="auto"/>
        <w:rPr>
          <w:sz w:val="20"/>
          <w:szCs w:val="20"/>
          <w:color w:val="auto"/>
        </w:rPr>
      </w:pPr>
      <w:r>
        <w:rPr>
          <w:rFonts w:ascii="Courier New" w:cs="Courier New" w:eastAsia="Courier New" w:hAnsi="Courier New"/>
          <w:sz w:val="15"/>
          <w:szCs w:val="15"/>
          <w:color w:val="auto"/>
        </w:rPr>
        <w:t>The following table shows certain information concerning options exercised during 2000 by the Chief Executive Officer and by the next four most highly compensated executive officers and the number and value of unexercised options at December 31, 2000. Schlumberger has not granted stock appreciation rights. The values of unexercised in-the-money stock options at December 31, 2000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87"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30"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Securities</w:t>
            </w:r>
          </w:p>
        </w:tc>
        <w:tc>
          <w:tcPr>
            <w:tcW w:w="20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Value of Unexercised</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26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8"/>
              </w:rPr>
              <w:t>Underlying Unexercised</w:t>
            </w:r>
          </w:p>
        </w:tc>
        <w:tc>
          <w:tcPr>
            <w:tcW w:w="20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In-The-Money Options</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Value Realized</w:t>
            </w:r>
          </w:p>
        </w:tc>
        <w:tc>
          <w:tcPr>
            <w:tcW w:w="2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 at FY-End (#)</w:t>
            </w:r>
          </w:p>
        </w:tc>
        <w:tc>
          <w:tcPr>
            <w:tcW w:w="2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at FY-End ($) (2)</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Acquired on</w:t>
            </w:r>
          </w:p>
        </w:tc>
        <w:tc>
          <w:tcPr>
            <w:tcW w:w="1340" w:type="dxa"/>
            <w:vAlign w:val="bottom"/>
            <w:vMerge w:val="continue"/>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Exercisable/</w:t>
            </w:r>
          </w:p>
        </w:tc>
        <w:tc>
          <w:tcPr>
            <w:tcW w:w="20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Exercisable/</w:t>
            </w:r>
          </w:p>
        </w:tc>
        <w:tc>
          <w:tcPr>
            <w:tcW w:w="0" w:type="dxa"/>
            <w:vAlign w:val="bottom"/>
          </w:tcPr>
          <w:p>
            <w:pPr>
              <w:spacing w:after="0"/>
              <w:rPr>
                <w:sz w:val="1"/>
                <w:szCs w:val="1"/>
                <w:color w:val="auto"/>
              </w:rPr>
            </w:pPr>
          </w:p>
        </w:tc>
      </w:tr>
      <w:tr>
        <w:trPr>
          <w:trHeight w:val="172"/>
        </w:trPr>
        <w:tc>
          <w:tcPr>
            <w:tcW w:w="102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Exercises (#)</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w:t>
            </w:r>
          </w:p>
        </w:tc>
        <w:tc>
          <w:tcPr>
            <w:tcW w:w="20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Unexercisable</w:t>
            </w:r>
          </w:p>
        </w:tc>
        <w:tc>
          <w:tcPr>
            <w:tcW w:w="2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1,527,609/</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62,816,916/</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A. Gould...</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55,000</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2,558,734</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285,740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3,246,226</w:t>
            </w:r>
          </w:p>
        </w:tc>
        <w:tc>
          <w:tcPr>
            <w:tcW w:w="0" w:type="dxa"/>
            <w:vAlign w:val="bottom"/>
          </w:tcPr>
          <w:p>
            <w:pPr>
              <w:spacing w:after="0"/>
              <w:rPr>
                <w:sz w:val="1"/>
                <w:szCs w:val="1"/>
                <w:color w:val="auto"/>
              </w:rPr>
            </w:pPr>
          </w:p>
        </w:tc>
      </w:tr>
      <w:tr>
        <w:trPr>
          <w:trHeight w:val="172"/>
        </w:trPr>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197,770/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7,211,896/</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C. Matton..</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309,900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2,419,602</w:t>
            </w:r>
          </w:p>
        </w:tc>
        <w:tc>
          <w:tcPr>
            <w:tcW w:w="0" w:type="dxa"/>
            <w:vAlign w:val="bottom"/>
          </w:tcPr>
          <w:p>
            <w:pPr>
              <w:spacing w:after="0"/>
              <w:rPr>
                <w:sz w:val="1"/>
                <w:szCs w:val="1"/>
                <w:color w:val="auto"/>
              </w:rPr>
            </w:pPr>
          </w:p>
        </w:tc>
      </w:tr>
      <w:tr>
        <w:trPr>
          <w:trHeight w:val="172"/>
        </w:trPr>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527,519/</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25,499,471/</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V. Grijalva</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131,880</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5,216,909</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65,940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2,164,151</w:t>
            </w:r>
          </w:p>
        </w:tc>
        <w:tc>
          <w:tcPr>
            <w:tcW w:w="0" w:type="dxa"/>
            <w:vAlign w:val="bottom"/>
          </w:tcPr>
          <w:p>
            <w:pPr>
              <w:spacing w:after="0"/>
              <w:rPr>
                <w:sz w:val="1"/>
                <w:szCs w:val="1"/>
                <w:color w:val="auto"/>
              </w:rPr>
            </w:pPr>
          </w:p>
        </w:tc>
      </w:tr>
      <w:tr>
        <w:trPr>
          <w:trHeight w:val="172"/>
        </w:trPr>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582,469/</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23,209,577/</w:t>
            </w:r>
          </w:p>
        </w:tc>
        <w:tc>
          <w:tcPr>
            <w:tcW w:w="0" w:type="dxa"/>
            <w:vAlign w:val="bottom"/>
          </w:tcPr>
          <w:p>
            <w:pPr>
              <w:spacing w:after="0"/>
              <w:rPr>
                <w:sz w:val="1"/>
                <w:szCs w:val="1"/>
                <w:color w:val="auto"/>
              </w:rPr>
            </w:pPr>
          </w:p>
        </w:tc>
      </w:tr>
      <w:tr>
        <w:trPr>
          <w:trHeight w:val="172"/>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I. Pfister.</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39,837</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1,986,289</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131,880</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2,164,151</w:t>
            </w:r>
          </w:p>
        </w:tc>
        <w:tc>
          <w:tcPr>
            <w:tcW w:w="0" w:type="dxa"/>
            <w:vAlign w:val="bottom"/>
          </w:tcPr>
          <w:p>
            <w:pPr>
              <w:spacing w:after="0"/>
              <w:rPr>
                <w:sz w:val="1"/>
                <w:szCs w:val="1"/>
                <w:color w:val="auto"/>
              </w:rPr>
            </w:pPr>
          </w:p>
        </w:tc>
      </w:tr>
      <w:tr>
        <w:trPr>
          <w:trHeight w:val="172"/>
        </w:trPr>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230,516/</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7,344,372/</w:t>
            </w:r>
          </w:p>
        </w:tc>
        <w:tc>
          <w:tcPr>
            <w:tcW w:w="0" w:type="dxa"/>
            <w:vAlign w:val="bottom"/>
          </w:tcPr>
          <w:p>
            <w:pPr>
              <w:spacing w:after="0"/>
              <w:rPr>
                <w:sz w:val="1"/>
                <w:szCs w:val="1"/>
                <w:color w:val="auto"/>
              </w:rPr>
            </w:pPr>
          </w:p>
        </w:tc>
      </w:tr>
      <w:tr>
        <w:trPr>
          <w:trHeight w:val="252"/>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220,887</w:t>
            </w:r>
          </w:p>
        </w:tc>
        <w:tc>
          <w:tcPr>
            <w:tcW w:w="2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2,624,820</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0" w:lineRule="exact"/>
        <w:rPr>
          <w:sz w:val="20"/>
          <w:szCs w:val="20"/>
          <w:color w:val="auto"/>
        </w:rPr>
      </w:pPr>
    </w:p>
    <w:p>
      <w:pPr>
        <w:ind w:left="348"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2000 ($79.94) less exercise price.</w:t>
      </w:r>
    </w:p>
    <w:p>
      <w:pPr>
        <w:spacing w:after="0" w:line="1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0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Pension Plans</w:t>
      </w:r>
    </w:p>
    <w:p>
      <w:pPr>
        <w:spacing w:after="0" w:line="174" w:lineRule="exact"/>
        <w:rPr>
          <w:sz w:val="20"/>
          <w:szCs w:val="20"/>
          <w:color w:val="auto"/>
        </w:rPr>
      </w:pPr>
    </w:p>
    <w:p>
      <w:pPr>
        <w:ind w:right="3259" w:firstLine="447"/>
        <w:spacing w:after="0" w:line="257" w:lineRule="auto"/>
        <w:rPr>
          <w:sz w:val="20"/>
          <w:szCs w:val="20"/>
          <w:color w:val="auto"/>
        </w:rPr>
      </w:pPr>
      <w:r>
        <w:rPr>
          <w:rFonts w:ascii="Courier New" w:cs="Courier New" w:eastAsia="Courier New" w:hAnsi="Courier New"/>
          <w:sz w:val="15"/>
          <w:szCs w:val="15"/>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83"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$37,052 for Mr. Baird; $360,593 for Mr. Gould, $155,191 for Mr. Matton and $62,796 for Mr. Grijalva, assuming pensionable salary continues at the December 31, 2000 level for Mr. Gould and Mr. Matton.</w:t>
      </w:r>
    </w:p>
    <w:p>
      <w:pPr>
        <w:spacing w:after="0" w:line="86" w:lineRule="exact"/>
        <w:rPr>
          <w:sz w:val="20"/>
          <w:szCs w:val="20"/>
          <w:color w:val="auto"/>
        </w:rPr>
      </w:pPr>
    </w:p>
    <w:p>
      <w:pPr>
        <w:ind w:right="3259" w:firstLine="447"/>
        <w:spacing w:after="0" w:line="268"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w:t>
      </w:r>
    </w:p>
    <w:p>
      <w:pPr>
        <w:spacing w:after="0" w:line="3" w:lineRule="exact"/>
        <w:rPr>
          <w:sz w:val="20"/>
          <w:szCs w:val="20"/>
          <w:color w:val="auto"/>
        </w:rPr>
      </w:pPr>
    </w:p>
    <w:p>
      <w:pPr>
        <w:ind w:right="3259"/>
        <w:spacing w:after="0" w:line="248" w:lineRule="auto"/>
        <w:rPr>
          <w:sz w:val="20"/>
          <w:szCs w:val="20"/>
          <w:color w:val="auto"/>
        </w:rPr>
      </w:pPr>
      <w:r>
        <w:rPr>
          <w:rFonts w:ascii="Courier New" w:cs="Courier New" w:eastAsia="Courier New" w:hAnsi="Courier New"/>
          <w:sz w:val="15"/>
          <w:szCs w:val="15"/>
          <w:color w:val="auto"/>
        </w:rPr>
        <w:t>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are: $17,657 for Mr. Gould and $97,891 for Mr. Matton, and, assuming admissible compensation continues at the December 31, 2000 levels, estimated annual benefits payable from the U.S. plans and the supplementary benefit plan are: $698,295 for Mr. Baird; $293,520 for Mr. Grijalva, and $172,765 for Mr. Pfister.</w:t>
      </w:r>
    </w:p>
    <w:p>
      <w:pPr>
        <w:spacing w:after="0" w:line="9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74" w:lineRule="exact"/>
        <w:rPr>
          <w:sz w:val="20"/>
          <w:szCs w:val="20"/>
          <w:color w:val="auto"/>
        </w:rPr>
      </w:pPr>
    </w:p>
    <w:p>
      <w:pPr>
        <w:ind w:right="3159" w:firstLine="447"/>
        <w:spacing w:after="0" w:line="252" w:lineRule="auto"/>
        <w:rPr>
          <w:sz w:val="20"/>
          <w:szCs w:val="20"/>
          <w:color w:val="auto"/>
        </w:rPr>
      </w:pPr>
      <w:r>
        <w:rPr>
          <w:rFonts w:ascii="Courier New" w:cs="Courier New" w:eastAsia="Courier New" w:hAnsi="Courier New"/>
          <w:sz w:val="15"/>
          <w:szCs w:val="15"/>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11.</w:t>
      </w:r>
    </w:p>
    <w:p>
      <w:pPr>
        <w:spacing w:after="0" w:line="89"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COMPARISON OF FIVE-YEAR CUMULATIVE TOTAL RETURN</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AMONG SCHLUMBERGER LIMITED, S&amp;P 500 INDEX AND VALUE LINE'S OILFIELD</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SERVICES INDUSTRY INDEX</w:t>
      </w:r>
    </w:p>
    <w:p>
      <w:pPr>
        <w:spacing w:after="0" w:line="200" w:lineRule="exact"/>
        <w:rPr>
          <w:sz w:val="20"/>
          <w:szCs w:val="20"/>
          <w:color w:val="auto"/>
        </w:rPr>
      </w:pPr>
    </w:p>
    <w:p>
      <w:pPr>
        <w:spacing w:after="0" w:line="318" w:lineRule="exact"/>
        <w:rPr>
          <w:sz w:val="20"/>
          <w:szCs w:val="20"/>
          <w:color w:val="auto"/>
        </w:rPr>
      </w:pPr>
    </w:p>
    <w:tbl>
      <w:tblPr>
        <w:tblLayout w:type="fixed"/>
        <w:tblInd w:w="1060" w:type="dxa"/>
        <w:tblCellMar>
          <w:top w:w="0" w:type="dxa"/>
          <w:left w:w="0" w:type="dxa"/>
          <w:bottom w:w="0" w:type="dxa"/>
          <w:right w:w="0" w:type="dxa"/>
        </w:tblCellMar>
      </w:tblPr>
      <w:tr>
        <w:trPr>
          <w:trHeight w:val="252"/>
        </w:trPr>
        <w:tc>
          <w:tcPr>
            <w:tcW w:w="820" w:type="dxa"/>
            <w:vAlign w:val="bottom"/>
          </w:tcPr>
          <w:p>
            <w:pPr>
              <w:spacing w:after="0"/>
              <w:rPr>
                <w:sz w:val="21"/>
                <w:szCs w:val="21"/>
                <w:color w:val="auto"/>
              </w:rPr>
            </w:pPr>
          </w:p>
        </w:tc>
        <w:tc>
          <w:tcPr>
            <w:tcW w:w="26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[CHART]</w:t>
            </w:r>
          </w:p>
        </w:tc>
        <w:tc>
          <w:tcPr>
            <w:tcW w:w="1700" w:type="dxa"/>
            <w:vAlign w:val="bottom"/>
          </w:tcPr>
          <w:p>
            <w:pPr>
              <w:spacing w:after="0"/>
              <w:rPr>
                <w:sz w:val="21"/>
                <w:szCs w:val="21"/>
                <w:color w:val="auto"/>
              </w:rPr>
            </w:pPr>
          </w:p>
        </w:tc>
      </w:tr>
      <w:tr>
        <w:trPr>
          <w:trHeight w:val="688"/>
        </w:trPr>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Value Line</w:t>
            </w:r>
          </w:p>
        </w:tc>
      </w:tr>
      <w:tr>
        <w:trPr>
          <w:trHeight w:val="344"/>
        </w:trPr>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Oilfield Services</w:t>
            </w:r>
          </w:p>
        </w:tc>
      </w:tr>
      <w:tr>
        <w:trPr>
          <w:trHeight w:val="344"/>
        </w:trPr>
        <w:tc>
          <w:tcPr>
            <w:tcW w:w="820" w:type="dxa"/>
            <w:vAlign w:val="bottom"/>
          </w:tcPr>
          <w:p>
            <w:pPr>
              <w:spacing w:after="0"/>
              <w:rPr>
                <w:sz w:val="24"/>
                <w:szCs w:val="24"/>
                <w:color w:val="auto"/>
              </w:rPr>
            </w:pPr>
          </w:p>
        </w:tc>
        <w:tc>
          <w:tcPr>
            <w:tcW w:w="17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Schlumberger Ltd.</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S&amp;P 500</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Industry Index</w:t>
            </w:r>
          </w:p>
        </w:tc>
      </w:tr>
      <w:tr>
        <w:trPr>
          <w:trHeight w:val="344"/>
        </w:trPr>
        <w:tc>
          <w:tcPr>
            <w:tcW w:w="820" w:type="dxa"/>
            <w:vAlign w:val="bottom"/>
          </w:tcPr>
          <w:p>
            <w:pPr>
              <w:spacing w:after="0"/>
              <w:rPr>
                <w:sz w:val="24"/>
                <w:szCs w:val="24"/>
                <w:color w:val="auto"/>
              </w:rPr>
            </w:pPr>
          </w:p>
        </w:tc>
        <w:tc>
          <w:tcPr>
            <w:tcW w:w="17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12/31/95</w:t>
            </w: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$100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w:t>
            </w:r>
          </w:p>
        </w:tc>
      </w:tr>
      <w:tr>
        <w:trPr>
          <w:trHeight w:val="344"/>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12/31/96</w:t>
            </w: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147</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123</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155</w:t>
            </w:r>
          </w:p>
        </w:tc>
      </w:tr>
      <w:tr>
        <w:trPr>
          <w:trHeight w:val="344"/>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12/31/97</w:t>
            </w: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239</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240</w:t>
            </w:r>
          </w:p>
        </w:tc>
      </w:tr>
      <w:tr>
        <w:trPr>
          <w:trHeight w:val="344"/>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12/31/98</w:t>
            </w: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140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116</w:t>
            </w:r>
          </w:p>
        </w:tc>
      </w:tr>
      <w:tr>
        <w:trPr>
          <w:trHeight w:val="344"/>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12/31/99</w:t>
            </w: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191</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255</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171</w:t>
            </w:r>
          </w:p>
        </w:tc>
      </w:tr>
      <w:tr>
        <w:trPr>
          <w:trHeight w:val="344"/>
        </w:trPr>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12/31/00</w:t>
            </w: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274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232</w:t>
            </w:r>
          </w:p>
        </w:tc>
        <w:tc>
          <w:tcPr>
            <w:tcW w:w="17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239</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3159" w:firstLine="447"/>
        <w:spacing w:after="0" w:line="281" w:lineRule="auto"/>
        <w:rPr>
          <w:sz w:val="20"/>
          <w:szCs w:val="20"/>
          <w:color w:val="auto"/>
        </w:rPr>
      </w:pPr>
      <w:r>
        <w:rPr>
          <w:rFonts w:ascii="Courier New" w:cs="Courier New" w:eastAsia="Courier New" w:hAnsi="Courier New"/>
          <w:sz w:val="15"/>
          <w:szCs w:val="15"/>
          <w:color w:val="auto"/>
        </w:rPr>
        <w:t>Assumes $100 invested on December 31, 1995 in Schlumberger Limited stock, in the S&amp;P 500 Index and in Value Line's 2000 Oilfield Services Industry Index. Reflects reinvestment of dividends on the last day of the month of payment and annual reweighting of the Industry Peer Index portfolio.</w:t>
      </w:r>
    </w:p>
    <w:p>
      <w:pPr>
        <w:spacing w:after="0" w:line="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4" w:lineRule="exact"/>
        <w:rPr>
          <w:sz w:val="20"/>
          <w:szCs w:val="20"/>
          <w:color w:val="auto"/>
        </w:rPr>
      </w:pPr>
    </w:p>
    <w:p>
      <w:pPr>
        <w:ind w:right="3259" w:firstLine="447"/>
        <w:spacing w:after="0" w:line="331" w:lineRule="auto"/>
        <w:rPr>
          <w:sz w:val="20"/>
          <w:szCs w:val="20"/>
          <w:color w:val="auto"/>
        </w:rPr>
      </w:pPr>
      <w:r>
        <w:rPr>
          <w:rFonts w:ascii="Courier New" w:cs="Courier New" w:eastAsia="Courier New" w:hAnsi="Courier New"/>
          <w:sz w:val="14"/>
          <w:szCs w:val="14"/>
          <w:color w:val="auto"/>
        </w:rPr>
        <w:t>The Compensation Committee of the Board is composed entirely of outside Directors who review and approve compensation programs applicable to executive officers. Specific awards for these officers are approved by the Committee.</w:t>
      </w:r>
    </w:p>
    <w:p>
      <w:pPr>
        <w:spacing w:after="0" w:line="32" w:lineRule="exact"/>
        <w:rPr>
          <w:sz w:val="20"/>
          <w:szCs w:val="20"/>
          <w:color w:val="auto"/>
        </w:rPr>
      </w:pPr>
    </w:p>
    <w:p>
      <w:pPr>
        <w:ind w:right="3599" w:firstLine="447"/>
        <w:spacing w:after="0" w:line="359" w:lineRule="auto"/>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8" w:lineRule="exact"/>
        <w:rPr>
          <w:sz w:val="20"/>
          <w:szCs w:val="20"/>
          <w:color w:val="auto"/>
        </w:rPr>
      </w:pPr>
    </w:p>
    <w:p>
      <w:pPr>
        <w:ind w:left="1420" w:hanging="265"/>
        <w:spacing w:after="0"/>
        <w:tabs>
          <w:tab w:leader="none" w:pos="14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Salaries</w:t>
      </w:r>
    </w:p>
    <w:p>
      <w:pPr>
        <w:spacing w:after="0" w:line="30" w:lineRule="exact"/>
        <w:rPr>
          <w:rFonts w:ascii="Courier New" w:cs="Courier New" w:eastAsia="Courier New" w:hAnsi="Courier New"/>
          <w:sz w:val="15"/>
          <w:szCs w:val="15"/>
          <w:color w:val="auto"/>
        </w:rPr>
      </w:pPr>
    </w:p>
    <w:p>
      <w:pPr>
        <w:ind w:left="1420" w:hanging="265"/>
        <w:spacing w:after="0"/>
        <w:tabs>
          <w:tab w:leader="none" w:pos="14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Cash Incentive Awards</w:t>
      </w:r>
    </w:p>
    <w:p>
      <w:pPr>
        <w:spacing w:after="0" w:line="2" w:lineRule="exact"/>
        <w:rPr>
          <w:rFonts w:ascii="Courier New" w:cs="Courier New" w:eastAsia="Courier New" w:hAnsi="Courier New"/>
          <w:sz w:val="15"/>
          <w:szCs w:val="15"/>
          <w:color w:val="auto"/>
        </w:rPr>
      </w:pPr>
    </w:p>
    <w:p>
      <w:pPr>
        <w:ind w:left="1420" w:hanging="265"/>
        <w:spacing w:after="0"/>
        <w:tabs>
          <w:tab w:leader="none" w:pos="14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Grants</w:t>
      </w:r>
    </w:p>
    <w:p>
      <w:pPr>
        <w:spacing w:after="0" w:line="146" w:lineRule="exact"/>
        <w:rPr>
          <w:sz w:val="20"/>
          <w:szCs w:val="20"/>
          <w:color w:val="auto"/>
        </w:rPr>
      </w:pPr>
    </w:p>
    <w:p>
      <w:pPr>
        <w:ind w:right="3439" w:firstLine="447"/>
        <w:spacing w:after="0" w:line="255" w:lineRule="auto"/>
        <w:rPr>
          <w:sz w:val="20"/>
          <w:szCs w:val="20"/>
          <w:color w:val="auto"/>
        </w:rPr>
      </w:pPr>
      <w:r>
        <w:rPr>
          <w:rFonts w:ascii="Courier New" w:cs="Courier New" w:eastAsia="Courier New" w:hAnsi="Courier New"/>
          <w:sz w:val="15"/>
          <w:szCs w:val="15"/>
          <w:color w:val="auto"/>
        </w:rPr>
        <w:t>Base salaries are reviewed annually for competitiveness against a data base of comparator company information provided by outside compensation consultants. The approximately 50 companies in the data base are from broad industry segments in which Schlumberger competes to provide integrated solutions for oilfield, high tech, manufacturing, utility and energy service businesses. The companies in the data base change slightly from year to year due to mergers and acquisitions as well as the normal movement of companies into and out of the data base at their own volition. The same companies used for executive officer base salary ranges are used for professional and managerial employees of Schlumberger throughout the world.</w:t>
      </w:r>
    </w:p>
    <w:p>
      <w:pPr>
        <w:spacing w:after="0" w:line="87"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 Industry Index). The Value Line companies do not constitute a source of recruits nor do they reflect all the industry segments in which Schlumberger operates.</w:t>
      </w:r>
    </w:p>
    <w:p>
      <w:pPr>
        <w:spacing w:after="0" w:line="69"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While executive officer base salaries are reviewed annually to analyze their position versus the competitive market, they are adjusted less frequently. Except for significant changes in responsibility, an executive officer's base salary may be increased every three to five years and then by a significant amount. This has allowed the Company to focus primarily on variable compensation during periods of low inflation.</w:t>
      </w:r>
    </w:p>
    <w:p>
      <w:pPr>
        <w:spacing w:after="0" w:line="74" w:lineRule="exact"/>
        <w:rPr>
          <w:sz w:val="20"/>
          <w:szCs w:val="20"/>
          <w:color w:val="auto"/>
        </w:rPr>
      </w:pPr>
    </w:p>
    <w:p>
      <w:pPr>
        <w:ind w:right="3339" w:firstLine="447"/>
        <w:spacing w:after="0" w:line="359" w:lineRule="auto"/>
        <w:rPr>
          <w:sz w:val="20"/>
          <w:szCs w:val="20"/>
          <w:color w:val="auto"/>
        </w:rPr>
      </w:pPr>
      <w:r>
        <w:rPr>
          <w:rFonts w:ascii="Courier New" w:cs="Courier New" w:eastAsia="Courier New" w:hAnsi="Courier New"/>
          <w:sz w:val="15"/>
          <w:szCs w:val="15"/>
          <w:color w:val="auto"/>
        </w:rPr>
        <w:t>Consistent with this policy, there were no base salary increases in 2000 for the named executive officers.</w:t>
      </w:r>
    </w:p>
    <w:p>
      <w:pPr>
        <w:spacing w:after="0" w:line="8" w:lineRule="exact"/>
        <w:rPr>
          <w:sz w:val="20"/>
          <w:szCs w:val="20"/>
          <w:color w:val="auto"/>
        </w:rPr>
      </w:pPr>
    </w:p>
    <w:p>
      <w:pPr>
        <w:ind w:right="3259" w:firstLine="447"/>
        <w:spacing w:after="0" w:line="301"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early in the preceding year.</w:t>
      </w:r>
    </w:p>
    <w:p>
      <w:pPr>
        <w:spacing w:after="0" w:line="49" w:lineRule="exact"/>
        <w:rPr>
          <w:sz w:val="20"/>
          <w:szCs w:val="20"/>
          <w:color w:val="auto"/>
        </w:rPr>
      </w:pPr>
    </w:p>
    <w:p>
      <w:pPr>
        <w:ind w:right="3259" w:firstLine="447"/>
        <w:spacing w:after="0" w:line="307" w:lineRule="auto"/>
        <w:rPr>
          <w:sz w:val="20"/>
          <w:szCs w:val="20"/>
          <w:color w:val="auto"/>
        </w:rPr>
      </w:pPr>
      <w:r>
        <w:rPr>
          <w:rFonts w:ascii="Courier New" w:cs="Courier New" w:eastAsia="Courier New" w:hAnsi="Courier New"/>
          <w:sz w:val="14"/>
          <w:szCs w:val="14"/>
          <w:color w:val="auto"/>
        </w:rPr>
        <w:t>For executive officers incentive awards are calculated as a percentage of the base salary paid for the completed calendar year. The percentage varies among executive officer positions to reflect the differing levels of potential impact on Company results. For 2000, the incentive award ranges were:</w:t>
      </w:r>
    </w:p>
    <w:p>
      <w:pPr>
        <w:spacing w:after="0" w:line="49" w:lineRule="exact"/>
        <w:rPr>
          <w:sz w:val="20"/>
          <w:szCs w:val="20"/>
          <w:color w:val="auto"/>
        </w:rPr>
      </w:pPr>
    </w:p>
    <w:p>
      <w:pPr>
        <w:ind w:left="1420" w:hanging="265"/>
        <w:spacing w:after="0"/>
        <w:tabs>
          <w:tab w:leader="none" w:pos="14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to 100% for Mr. Baird</w:t>
      </w:r>
    </w:p>
    <w:p>
      <w:pPr>
        <w:spacing w:after="0" w:line="30" w:lineRule="exact"/>
        <w:rPr>
          <w:rFonts w:ascii="Courier New" w:cs="Courier New" w:eastAsia="Courier New" w:hAnsi="Courier New"/>
          <w:sz w:val="15"/>
          <w:szCs w:val="15"/>
          <w:color w:val="auto"/>
        </w:rPr>
      </w:pPr>
    </w:p>
    <w:p>
      <w:pPr>
        <w:ind w:left="1420" w:hanging="265"/>
        <w:spacing w:after="0"/>
        <w:tabs>
          <w:tab w:leader="none" w:pos="14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to 100% for Messrs. Gould, Matton and Pfister</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exceptional results, the incentive ranges can be exceeded.</w:t>
      </w:r>
    </w:p>
    <w:p>
      <w:pPr>
        <w:spacing w:after="0" w:line="174" w:lineRule="exact"/>
        <w:rPr>
          <w:sz w:val="20"/>
          <w:szCs w:val="20"/>
          <w:color w:val="auto"/>
        </w:rPr>
      </w:pPr>
    </w:p>
    <w:p>
      <w:pPr>
        <w:ind w:right="3159" w:firstLine="447"/>
        <w:spacing w:after="0" w:line="272" w:lineRule="auto"/>
        <w:rPr>
          <w:sz w:val="20"/>
          <w:szCs w:val="20"/>
          <w:color w:val="auto"/>
        </w:rPr>
      </w:pPr>
      <w:r>
        <w:rPr>
          <w:rFonts w:ascii="Courier New" w:cs="Courier New" w:eastAsia="Courier New" w:hAnsi="Courier New"/>
          <w:sz w:val="15"/>
          <w:szCs w:val="15"/>
          <w:color w:val="auto"/>
        </w:rPr>
        <w:t>One half of the incentive for each executive officer is a function of performance against financial targets for the Company or the business sector for which the executive officer is responsible. In 2000, the Company objectives were based on earnings goals; the business sector target was net income for that sector.</w:t>
      </w:r>
    </w:p>
    <w:p>
      <w:pPr>
        <w:spacing w:after="0" w:line="6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7" w:right="1440" w:bottom="1440" w:gutter="0" w:footer="0" w:header="0"/>
        </w:sectPr>
      </w:pPr>
    </w:p>
    <w:bookmarkStart w:id="14" w:name="page15"/>
    <w:bookmarkEnd w:id="14"/>
    <w:p>
      <w:pPr>
        <w:ind w:right="3339" w:firstLine="447"/>
        <w:spacing w:after="0" w:line="272" w:lineRule="auto"/>
        <w:rPr>
          <w:sz w:val="20"/>
          <w:szCs w:val="20"/>
          <w:color w:val="auto"/>
        </w:rPr>
      </w:pPr>
      <w:r>
        <w:rPr>
          <w:rFonts w:ascii="Courier New" w:cs="Courier New" w:eastAsia="Courier New" w:hAnsi="Courier New"/>
          <w:sz w:val="15"/>
          <w:szCs w:val="15"/>
          <w:color w:val="auto"/>
        </w:rPr>
        <w:t>The second half of the incentive relates to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69" w:lineRule="exact"/>
        <w:rPr>
          <w:sz w:val="20"/>
          <w:szCs w:val="20"/>
          <w:color w:val="auto"/>
        </w:rPr>
      </w:pPr>
    </w:p>
    <w:p>
      <w:pPr>
        <w:ind w:right="3159" w:firstLine="447"/>
        <w:spacing w:after="0" w:line="251" w:lineRule="auto"/>
        <w:rPr>
          <w:sz w:val="20"/>
          <w:szCs w:val="20"/>
          <w:color w:val="auto"/>
        </w:rPr>
      </w:pPr>
      <w:r>
        <w:rPr>
          <w:rFonts w:ascii="Courier New" w:cs="Courier New" w:eastAsia="Courier New" w:hAnsi="Courier New"/>
          <w:sz w:val="15"/>
          <w:szCs w:val="15"/>
          <w:color w:val="auto"/>
        </w:rPr>
        <w:t>The strong overall performance of the Company in 2000 and of the oilfield services sector in particular, resulted in an incentive award that places Mr. Gould at an appropriately high level of total cash compensation in the comparator market. The scope of Mr. Grijalva's responsibilities and compensation structure were changed in 2000 to align his reward to his contributions. Mr. Grijalva's results were based in particular on his role in analyzing strategic acquisitions, management of Communications and Investor Relations and the coordination of Quality, Health, Safety and Environment functions for Schlumberger. Mr. Matton's results were based on Resource Management Services, including the integration of two recent acquisitions, CellNet and Convergent. Mr. Matton's total cash compensation is in the third quartile of the comparator market. Mr. Pfister's results were based on the reorganized Test &amp; Transactions Group, which includes Smart Cards, Network Solutions, e-Transactions and Semiconductor Solutions. Mr. Pfister's total cash compensation is in the second quartile of the comparator market.</w:t>
      </w:r>
    </w:p>
    <w:p>
      <w:pPr>
        <w:spacing w:after="0" w:line="87" w:lineRule="exact"/>
        <w:rPr>
          <w:sz w:val="20"/>
          <w:szCs w:val="20"/>
          <w:color w:val="auto"/>
        </w:rPr>
      </w:pPr>
    </w:p>
    <w:p>
      <w:pPr>
        <w:ind w:right="3159" w:firstLine="447"/>
        <w:spacing w:after="0" w:line="255" w:lineRule="auto"/>
        <w:rPr>
          <w:sz w:val="20"/>
          <w:szCs w:val="20"/>
          <w:color w:val="auto"/>
        </w:rPr>
      </w:pPr>
      <w:r>
        <w:rPr>
          <w:rFonts w:ascii="Courier New" w:cs="Courier New" w:eastAsia="Courier New" w:hAnsi="Courier New"/>
          <w:sz w:val="15"/>
          <w:szCs w:val="15"/>
          <w:color w:val="auto"/>
        </w:rPr>
        <w:t>Stock option grants were awarded in 2000 on a general basis throughout Schlumberger to professional, managerial and technical employees deemed eligible for consideration. Such reviews are conducted every 18 months to two years. Grants are awarded on an entirely discretionary basis to individuals demonstrating exceptional performance in their current positions as well as the likelihood of continuing high quality performance in the future. In addition, grants typically are awarded between general reviews to recognize promotions, substantial changes in responsibility and significant individual or team achievements. The 2000 grants emphasized high potential employees early in their careers with Schlumberger.</w:t>
      </w:r>
    </w:p>
    <w:p>
      <w:pPr>
        <w:spacing w:after="0" w:line="87" w:lineRule="exact"/>
        <w:rPr>
          <w:sz w:val="20"/>
          <w:szCs w:val="20"/>
          <w:color w:val="auto"/>
        </w:rPr>
      </w:pPr>
    </w:p>
    <w:p>
      <w:pPr>
        <w:ind w:right="3439" w:firstLine="447"/>
        <w:spacing w:after="0" w:line="359" w:lineRule="auto"/>
        <w:rPr>
          <w:sz w:val="20"/>
          <w:szCs w:val="20"/>
          <w:color w:val="auto"/>
        </w:rPr>
      </w:pPr>
      <w:r>
        <w:rPr>
          <w:rFonts w:ascii="Courier New" w:cs="Courier New" w:eastAsia="Courier New" w:hAnsi="Courier New"/>
          <w:sz w:val="15"/>
          <w:szCs w:val="15"/>
          <w:color w:val="auto"/>
        </w:rPr>
        <w:t>Of the named executive officers, Messrs. Gould and Pfister were awarded stock option grants in 2000.</w:t>
      </w:r>
    </w:p>
    <w:p>
      <w:pPr>
        <w:spacing w:after="0" w:line="8"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stock option grants awarded by the Company are uniform in their terms for executive officers as well as all other optionees - 10-year term, vesting in 20% steps at the first through fifth anniversary of grant date, and option price equal to fair market value on date of grant.</w:t>
      </w:r>
    </w:p>
    <w:p>
      <w:pPr>
        <w:spacing w:after="0" w:line="64"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The Company does not utilize below-market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2000 will result in any material loss of tax deduction. Therefore, the Committee has elected not to follow the provisions of Section 162(m) with regard to cash compensation. The Company's stock option plans are believed to be in compliance with the provisions of Section 162(m).</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74" w:lineRule="exact"/>
        <w:rPr>
          <w:sz w:val="20"/>
          <w:szCs w:val="20"/>
          <w:color w:val="auto"/>
        </w:rPr>
      </w:pPr>
    </w:p>
    <w:p>
      <w:pPr>
        <w:ind w:right="3439" w:firstLine="447"/>
        <w:spacing w:after="0" w:line="262" w:lineRule="auto"/>
        <w:rPr>
          <w:sz w:val="20"/>
          <w:szCs w:val="20"/>
          <w:color w:val="auto"/>
        </w:rPr>
      </w:pPr>
      <w:r>
        <w:rPr>
          <w:rFonts w:ascii="Courier New" w:cs="Courier New" w:eastAsia="Courier New" w:hAnsi="Courier New"/>
          <w:sz w:val="15"/>
          <w:szCs w:val="15"/>
          <w:color w:val="auto"/>
        </w:rPr>
        <w:t>As in past years, the same companies used for comparison purposes to review base salaries of other executive officers (and managerial employees throughout Schlumberger) are analyzed to review the base salary of the Chief Executive Officer. The approximately 50 companies in the data base are from broad industry segments in which Schlumberger competes to provide integrated solutions for oilfield, high tech, manufacturing, utility and energy service businesses.</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Chief Executive Officer's salary remained at $1,500,000 during 2000.</w:t>
      </w:r>
    </w:p>
    <w:p>
      <w:pPr>
        <w:spacing w:after="0" w:line="17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The cash incentive range for Mr. Baird was 100% of base salary in 2000. One-half of this award was measured against targeted earnings per share for the Company. These targets were fully achieved, so payment on this half of the incentive award is in proportion to the results.</w:t>
      </w:r>
    </w:p>
    <w:p>
      <w:pPr>
        <w:spacing w:after="0" w:line="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7" w:right="1440" w:bottom="1440" w:gutter="0" w:footer="0" w:header="0"/>
        </w:sectPr>
      </w:pPr>
    </w:p>
    <w:bookmarkStart w:id="15" w:name="page16"/>
    <w:bookmarkEnd w:id="15"/>
    <w:p>
      <w:pPr>
        <w:ind w:right="3259" w:firstLine="447"/>
        <w:spacing w:after="0" w:line="266" w:lineRule="auto"/>
        <w:rPr>
          <w:sz w:val="20"/>
          <w:szCs w:val="20"/>
          <w:color w:val="auto"/>
        </w:rPr>
      </w:pPr>
      <w:r>
        <w:rPr>
          <w:rFonts w:ascii="Courier New" w:cs="Courier New" w:eastAsia="Courier New" w:hAnsi="Courier New"/>
          <w:sz w:val="15"/>
          <w:szCs w:val="15"/>
          <w:color w:val="auto"/>
        </w:rPr>
        <w:t>The second half of the award reflects the Committee's positive evaluation of Mr. Baird's performance against strategic objectives established early in 2000 for the calendar year. These objectives were a combination of market growth, acquisitions and organizational changes. Disclosure of specific measures applied to evaluate achievement of Mr. Baird's objectives could adversely affect the Company's competitive position.</w:t>
      </w:r>
    </w:p>
    <w:p>
      <w:pPr>
        <w:spacing w:after="0" w:line="74" w:lineRule="exact"/>
        <w:rPr>
          <w:sz w:val="20"/>
          <w:szCs w:val="20"/>
          <w:color w:val="auto"/>
        </w:rPr>
      </w:pPr>
    </w:p>
    <w:p>
      <w:pPr>
        <w:jc w:val="both"/>
        <w:ind w:right="3779" w:firstLine="447"/>
        <w:spacing w:after="0" w:line="301" w:lineRule="auto"/>
        <w:rPr>
          <w:sz w:val="20"/>
          <w:szCs w:val="20"/>
          <w:color w:val="auto"/>
        </w:rPr>
      </w:pPr>
      <w:r>
        <w:rPr>
          <w:rFonts w:ascii="Courier New" w:cs="Courier New" w:eastAsia="Courier New" w:hAnsi="Courier New"/>
          <w:sz w:val="15"/>
          <w:szCs w:val="15"/>
          <w:color w:val="auto"/>
        </w:rPr>
        <w:t>The total cash incentive awarded Mr. Baird for 2000 performance was $1,500,000. In combination with base salary, this places him in the top quartile of comparator market data.</w:t>
      </w:r>
    </w:p>
    <w:p>
      <w:pPr>
        <w:spacing w:after="0" w:line="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Baird has no employment agreement with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SCHLUMBERGER BOARD OF DIRECTORS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 William T. McCormick, Jr., Chair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Denys Henderson Nicolas Seydoux</w:t>
      </w: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7" w:right="1440" w:bottom="1440" w:gutter="0" w:footer="0" w:header="0"/>
        </w:sectPr>
      </w:pPr>
    </w:p>
    <w:bookmarkStart w:id="16" w:name="page17"/>
    <w:bookmarkEnd w:id="16"/>
    <w:p>
      <w:pPr>
        <w:jc w:val="center"/>
        <w:ind w:right="3159"/>
        <w:spacing w:after="0"/>
        <w:rPr>
          <w:sz w:val="20"/>
          <w:szCs w:val="20"/>
          <w:color w:val="auto"/>
        </w:rPr>
      </w:pPr>
      <w:r>
        <w:rPr>
          <w:rFonts w:ascii="Courier New" w:cs="Courier New" w:eastAsia="Courier New" w:hAnsi="Courier New"/>
          <w:sz w:val="15"/>
          <w:szCs w:val="15"/>
          <w:color w:val="auto"/>
        </w:rPr>
        <w:t>2. Financial Statements</w:t>
      </w:r>
    </w:p>
    <w:p>
      <w:pPr>
        <w:spacing w:after="0" w:line="174"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The Company's Consolidated Balance Sheet as at December 31, 2000, its Consolidated Statement of Income for the year ended December 31, 2000, as audited by PricewaterhouseCoopers LLP, and the amount of dividends declared by the Board of Directors during 2000 are submitted to the stockholders pursuant to the Schlumberger Deed of Incorporation.</w:t>
      </w:r>
    </w:p>
    <w:p>
      <w:pPr>
        <w:spacing w:after="0" w:line="69"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A majority of the votes cast is required for the adoption and approval of the financial results as set forth in the financial statements and of the declaration of dividends by the Board of Directors as reflected in the 2000 Annual Report to Stockholders.</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3. Amendment to Deed of Incorporation</w:t>
      </w:r>
    </w:p>
    <w:p>
      <w:pPr>
        <w:spacing w:after="0" w:line="174"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Board of Directors has approved and recommended for submission to the stockholders an amendment in full of the Company's Deed of Incorporation. A copy of the Deed of Incorporation, as proposed to be amended, is set forth as Exhibit B to this Proxy Statement, and reference is made to that exhibit for the complete text of its provisions. The following summarizes the principal changes to be effected by the proposed amendment in full:</w:t>
      </w:r>
    </w:p>
    <w:p>
      <w:pPr>
        <w:spacing w:after="0" w:line="74" w:lineRule="exact"/>
        <w:rPr>
          <w:sz w:val="20"/>
          <w:szCs w:val="20"/>
          <w:color w:val="auto"/>
        </w:rPr>
      </w:pPr>
    </w:p>
    <w:p>
      <w:pPr>
        <w:ind w:right="3519" w:firstLine="447"/>
        <w:spacing w:after="0" w:line="268" w:lineRule="auto"/>
        <w:rPr>
          <w:sz w:val="20"/>
          <w:szCs w:val="20"/>
          <w:color w:val="auto"/>
        </w:rPr>
      </w:pPr>
      <w:r>
        <w:rPr>
          <w:rFonts w:ascii="Courier New" w:cs="Courier New" w:eastAsia="Courier New" w:hAnsi="Courier New"/>
          <w:sz w:val="14"/>
          <w:szCs w:val="14"/>
          <w:color w:val="auto"/>
        </w:rPr>
        <w:t>The authorized Common Stock of the Company would be increased from its present 1,000,000,000 shares to 1,500,000,000 shares of U.S.$0.01 each. The authorized Common Stock of the Company was last increased in 1997, when the shareholders voted to increase the authorized shares of Common Stock to 1,000,000,000 from 500,000,000. After that increase, the Company effected a</w:t>
      </w:r>
    </w:p>
    <w:p>
      <w:pPr>
        <w:spacing w:after="0" w:line="3"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2-for-1 split of the Common Stock. The Board of Directors believes that there should be a sufficient number of authorized but unissued shares of Common Stock available for issue from time to time to enable the Board of Directors to authorize the issuance of additional shares without necessarily requiring an amendment to the Deed of Incorporation at the time of such action. As of January 31, 2001, there were 573,045,851 shares of Common Stock issued and outstanding, and another 41,442,028 shares were reserved for issuance pursuant to the Company's stock option and stock purchase plans. If the amendment to the Deed of Incorporation is adopted and the authorized Common Stock is accordingly increased to 1,500,000,000 shares, the Board of Directors would not anticipate obtaining further shareholder approval prior to issuing any of the newly authorized shares, unless required by the Deed of Incorporation, Netherlands Antilles law or rules of the New York Stock Exchange.</w:t>
      </w:r>
    </w:p>
    <w:p>
      <w:pPr>
        <w:spacing w:after="0" w:line="88" w:lineRule="exact"/>
        <w:rPr>
          <w:sz w:val="20"/>
          <w:szCs w:val="20"/>
          <w:color w:val="auto"/>
        </w:rPr>
      </w:pPr>
    </w:p>
    <w:p>
      <w:pPr>
        <w:jc w:val="both"/>
        <w:ind w:right="3159" w:firstLine="447"/>
        <w:spacing w:after="0" w:line="301" w:lineRule="auto"/>
        <w:rPr>
          <w:sz w:val="20"/>
          <w:szCs w:val="20"/>
          <w:color w:val="auto"/>
        </w:rPr>
      </w:pPr>
      <w:r>
        <w:rPr>
          <w:rFonts w:ascii="Courier New" w:cs="Courier New" w:eastAsia="Courier New" w:hAnsi="Courier New"/>
          <w:sz w:val="15"/>
          <w:szCs w:val="15"/>
          <w:color w:val="auto"/>
        </w:rPr>
        <w:t>The amendment to increase the authorized Common Stock will be voted on as a separate Item 3(a) on the proxy card, while the amendment in full to make all other changes to the Deed of Incorporation will be voted on as Item 3(b).</w:t>
      </w:r>
    </w:p>
    <w:p>
      <w:pPr>
        <w:spacing w:after="0" w:line="49"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In accordance with Netherlands Antilles law, the Company's formal legal name is "Schlumberger N.V.", and the current Deed of Incorporation allows the use of the name "Schlumberger Limited" in "transactions with foreign countries." For clarity and to avoid any issue with respect to the scope of this provision, the permitted uses of the name "Schlumberger Limited" would be expanded to allow for its use for any purpose outside the Netherlands Antilles. This change is designed to enable the use of the "Schlumberger Limited" in the widest circumstances.</w:t>
      </w:r>
    </w:p>
    <w:p>
      <w:pPr>
        <w:spacing w:after="0" w:line="81" w:lineRule="exact"/>
        <w:rPr>
          <w:sz w:val="20"/>
          <w:szCs w:val="20"/>
          <w:color w:val="auto"/>
        </w:rPr>
      </w:pPr>
    </w:p>
    <w:p>
      <w:pPr>
        <w:ind w:right="3159" w:firstLine="447"/>
        <w:spacing w:after="0" w:line="307" w:lineRule="auto"/>
        <w:rPr>
          <w:sz w:val="20"/>
          <w:szCs w:val="20"/>
          <w:color w:val="auto"/>
        </w:rPr>
      </w:pPr>
      <w:r>
        <w:rPr>
          <w:rFonts w:ascii="Courier New" w:cs="Courier New" w:eastAsia="Courier New" w:hAnsi="Courier New"/>
          <w:sz w:val="14"/>
          <w:szCs w:val="14"/>
          <w:color w:val="auto"/>
        </w:rPr>
        <w:t>The objects (or purposes) article of the Deed of Incorporation would be amended to clarify the scope of activities that can be conducted by the Company, which would specifically include the power to design, develop, produce and supply technology, services, products and systems and to, throughout</w:t>
      </w:r>
    </w:p>
    <w:p>
      <w:pPr>
        <w:spacing w:after="0" w:line="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7" w:right="1440" w:bottom="1440" w:gutter="0" w:footer="0" w:header="0"/>
        </w:sectPr>
      </w:pPr>
    </w:p>
    <w:bookmarkStart w:id="17" w:name="page18"/>
    <w:bookmarkEnd w:id="17"/>
    <w:p>
      <w:pPr>
        <w:ind w:right="3159"/>
        <w:spacing w:after="0" w:line="266" w:lineRule="auto"/>
        <w:rPr>
          <w:sz w:val="20"/>
          <w:szCs w:val="20"/>
          <w:color w:val="auto"/>
        </w:rPr>
      </w:pPr>
      <w:r>
        <w:rPr>
          <w:rFonts w:ascii="Courier New" w:cs="Courier New" w:eastAsia="Courier New" w:hAnsi="Courier New"/>
          <w:sz w:val="15"/>
          <w:szCs w:val="15"/>
          <w:color w:val="auto"/>
        </w:rPr>
        <w:t>the world, engage in any business or activity related thereto, together with broad powers to invest, manage, trade, borrow, lend and undertake research and development. Although the objects article in the current Deed of Incorporation is very broad, the Board of Directors believes that the more explicit statement will clarify the Company's authority to act and will facilitate meeting various legal requirements in connection with future transactions.</w:t>
      </w:r>
    </w:p>
    <w:p>
      <w:pPr>
        <w:spacing w:after="0" w:line="74" w:lineRule="exact"/>
        <w:rPr>
          <w:sz w:val="20"/>
          <w:szCs w:val="20"/>
          <w:color w:val="auto"/>
        </w:rPr>
      </w:pPr>
    </w:p>
    <w:p>
      <w:pPr>
        <w:ind w:right="3159" w:firstLine="447"/>
        <w:spacing w:after="0" w:line="254" w:lineRule="auto"/>
        <w:rPr>
          <w:sz w:val="20"/>
          <w:szCs w:val="20"/>
          <w:color w:val="auto"/>
        </w:rPr>
      </w:pPr>
      <w:r>
        <w:rPr>
          <w:rFonts w:ascii="Courier New" w:cs="Courier New" w:eastAsia="Courier New" w:hAnsi="Courier New"/>
          <w:sz w:val="15"/>
          <w:szCs w:val="15"/>
          <w:color w:val="auto"/>
        </w:rPr>
        <w:t>A number of changes contained in the proposed amended Deed of Incorporation would clarify or modify the authority of the Board of Directors with respect to a variety of matters relating to the management of the Company. For example, the Board of Directors would be given the express authority to declare and make distributions out of retained earnings reserves or out of the contributed surplus capital reserves either in cash, property (including securities) or in shares of the Company without the prior approval of the general meeting of shareholders. This clarification will remove any existing legal uncertainty as to the Board's power by confirming that the Board of Directors has the ability to effect this type of transaction on a basis similar to that governing a U.S. corporation.</w:t>
      </w:r>
    </w:p>
    <w:p>
      <w:pPr>
        <w:spacing w:after="0" w:line="86"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The Deed of Incorporation currently allows the Board of Directors to act without the holding of a meeting if all directors sign a consent to the action to be acted on by the Board of Directors. The proposed amendments would expand this power to allow action by a written consent signed by three-fourths of the directors if all commercially reasonable efforts to reach all the remaining directors have been taken.</w:t>
      </w:r>
    </w:p>
    <w:p>
      <w:pPr>
        <w:spacing w:after="0" w:line="74" w:lineRule="exact"/>
        <w:rPr>
          <w:sz w:val="20"/>
          <w:szCs w:val="20"/>
          <w:color w:val="auto"/>
        </w:rPr>
      </w:pPr>
    </w:p>
    <w:p>
      <w:pPr>
        <w:ind w:right="3259" w:firstLine="447"/>
        <w:spacing w:after="0" w:line="272" w:lineRule="auto"/>
        <w:rPr>
          <w:sz w:val="20"/>
          <w:szCs w:val="20"/>
          <w:color w:val="auto"/>
        </w:rPr>
      </w:pPr>
      <w:r>
        <w:rPr>
          <w:rFonts w:ascii="Courier New" w:cs="Courier New" w:eastAsia="Courier New" w:hAnsi="Courier New"/>
          <w:sz w:val="15"/>
          <w:szCs w:val="15"/>
          <w:color w:val="auto"/>
        </w:rPr>
        <w:t>The Deed of Incorporation as amended would provide that the Chairman and the Vice Chairman, if any, would be chosen from among the Board of Directors, but the other officers of the Company would not be required to be members of the Board of Directors. In particular, the requirement that the President be a director of the Company would be deleted.</w:t>
      </w:r>
    </w:p>
    <w:p>
      <w:pPr>
        <w:spacing w:after="0" w:line="69"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proposed amended Deed of Incorporation would also confirm and clarify the authority allowed under Netherlands Antilles law to the Board of Directors to issue shares, options, warrants or rights to purchase or subscribe for shares.</w:t>
      </w:r>
    </w:p>
    <w:p>
      <w:pPr>
        <w:spacing w:after="0" w:line="64" w:lineRule="exact"/>
        <w:rPr>
          <w:sz w:val="20"/>
          <w:szCs w:val="20"/>
          <w:color w:val="auto"/>
        </w:rPr>
      </w:pPr>
    </w:p>
    <w:p>
      <w:pPr>
        <w:ind w:right="3159" w:firstLine="447"/>
        <w:spacing w:after="0" w:line="252" w:lineRule="auto"/>
        <w:rPr>
          <w:sz w:val="20"/>
          <w:szCs w:val="20"/>
          <w:color w:val="auto"/>
        </w:rPr>
      </w:pPr>
      <w:r>
        <w:rPr>
          <w:rFonts w:ascii="Courier New" w:cs="Courier New" w:eastAsia="Courier New" w:hAnsi="Courier New"/>
          <w:sz w:val="15"/>
          <w:szCs w:val="15"/>
          <w:color w:val="auto"/>
        </w:rPr>
        <w:t>The Deed of Incorporation currently gives the Company broad power to indemnify directors, officers, employees and agents from various liabilities. The indemnification provisions of the current Deed of Incorporation are based on the relevant provisions of Delaware corporate law (as they existed when these provisions were added to the current Deed of Incorporation). The proposed amendments would make this permissive indemnification mandatory in certain cases. In particular, the Company would be required to indemnify former and present directors and officers upon a change in control of the Company. The Company believes that this change will assist the Company in its efforts to attract and retain key personnel by eliminating the concern that they could lose their rights to indemnification in the event of a change in control. In addition, various technical drafting changes would be made, many of which reflect recent changes to Delaware corporate law.</w:t>
      </w:r>
    </w:p>
    <w:p>
      <w:pPr>
        <w:spacing w:after="0" w:line="89"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In addition, a number of technical or procedural changes would be made to the Deed of Incorporation to clarify current authority, to conform the Deed of Incorporation to the Company's current practices or to provisions that have become more common in U.S. and other significant commercial jurisdictions, and to cure omissions or ambiguities that may exist in existing provisions. For example:</w:t>
      </w:r>
    </w:p>
    <w:p>
      <w:pPr>
        <w:spacing w:after="0" w:line="74" w:lineRule="exact"/>
        <w:rPr>
          <w:sz w:val="20"/>
          <w:szCs w:val="20"/>
          <w:color w:val="auto"/>
        </w:rPr>
      </w:pPr>
    </w:p>
    <w:p>
      <w:pPr>
        <w:ind w:left="620" w:right="3259" w:hanging="270"/>
        <w:spacing w:after="0" w:line="250"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would be required to prepare a balance sheet and profit and loss account for submission to and adoption by the shareholders within eight months of the fiscal year end and would be authorized to allocate a portion of profits to retained earnings reserve.</w:t>
      </w:r>
    </w:p>
    <w:p>
      <w:pPr>
        <w:spacing w:after="0" w:line="3" w:lineRule="exact"/>
        <w:rPr>
          <w:sz w:val="20"/>
          <w:szCs w:val="20"/>
          <w:color w:val="auto"/>
        </w:rPr>
      </w:pPr>
    </w:p>
    <w:p>
      <w:pPr>
        <w:ind w:left="620" w:right="3439" w:hanging="270"/>
        <w:spacing w:after="0" w:line="268"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conflict of interest between the Company and one or more directors, the Company would be represented or would act as determined from time to time by the Board of Directors in order to eliminate any appearance of apparent conflicts.</w:t>
      </w:r>
    </w:p>
    <w:p>
      <w:pPr>
        <w:spacing w:after="0" w:line="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7" w:right="1440" w:bottom="1440" w:gutter="0" w:footer="0" w:header="0"/>
        </w:sectPr>
      </w:pPr>
    </w:p>
    <w:bookmarkStart w:id="18" w:name="page19"/>
    <w:bookmarkEnd w:id="18"/>
    <w:p>
      <w:pPr>
        <w:ind w:left="620" w:right="3259" w:hanging="270"/>
        <w:spacing w:after="0" w:line="25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permissible locations for shareholder meetings would be expanded to include islands of the Netherlands Antilles other than Curacao. (Netherlands Antilles law requires shareholders meetings to be held within the Netherlands Antilles.)</w:t>
      </w:r>
    </w:p>
    <w:p>
      <w:pPr>
        <w:spacing w:after="0" w:line="2" w:lineRule="exact"/>
        <w:rPr>
          <w:sz w:val="20"/>
          <w:szCs w:val="20"/>
          <w:color w:val="auto"/>
        </w:rPr>
      </w:pPr>
    </w:p>
    <w:p>
      <w:pPr>
        <w:ind w:left="620" w:right="3159" w:hanging="270"/>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for a transfer register for the Common Stock and the appointment of a registrar to record any transfers of Common Stock would be made express in the Deed of Incorporation.</w:t>
      </w:r>
    </w:p>
    <w:p>
      <w:pPr>
        <w:spacing w:after="0" w:line="2" w:lineRule="exact"/>
        <w:rPr>
          <w:sz w:val="20"/>
          <w:szCs w:val="20"/>
          <w:color w:val="auto"/>
        </w:rPr>
      </w:pPr>
    </w:p>
    <w:p>
      <w:pPr>
        <w:ind w:left="620" w:right="3159" w:hanging="270"/>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advance notice period for shareholder meetings and record dates for shareholder voting and action by consent and for dividends would be extended from 50 to 60 days. The method of giving notice would be expanded to allow email and other forms of electronic transmission if consented to by the person receiving notice.</w:t>
      </w:r>
    </w:p>
    <w:p>
      <w:pPr>
        <w:spacing w:after="0" w:line="3" w:lineRule="exact"/>
        <w:rPr>
          <w:sz w:val="20"/>
          <w:szCs w:val="20"/>
          <w:color w:val="auto"/>
        </w:rPr>
      </w:pPr>
    </w:p>
    <w:p>
      <w:pPr>
        <w:ind w:left="620" w:right="3159" w:hanging="270"/>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restriction that directors, officers and other employees are not eligible to act as a proxy at shareholder meetings would be deleted to avoid the need to use third parties as proxies at shareholder meetings.</w:t>
      </w:r>
    </w:p>
    <w:p>
      <w:pPr>
        <w:spacing w:after="0" w:line="3" w:lineRule="exact"/>
        <w:rPr>
          <w:sz w:val="20"/>
          <w:szCs w:val="20"/>
          <w:color w:val="auto"/>
        </w:rPr>
      </w:pPr>
    </w:p>
    <w:p>
      <w:pPr>
        <w:ind w:left="620" w:right="3519" w:hanging="270"/>
        <w:spacing w:after="0" w:line="26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voting to abstain would be counted as present in determining the existence of a quorum, but would not be counted as a vote for or against in determining passage of any shareholder resolution.</w:t>
      </w:r>
    </w:p>
    <w:p>
      <w:pPr>
        <w:spacing w:after="0" w:line="73"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The following resolutions, which will be presented to the Annual General Meeting of Stockholders, will adopt the proposed amendments to the Deed of Incorporation of the Company:</w:t>
      </w:r>
    </w:p>
    <w:p>
      <w:pPr>
        <w:spacing w:after="0" w:line="49" w:lineRule="exact"/>
        <w:rPr>
          <w:sz w:val="20"/>
          <w:szCs w:val="20"/>
          <w:color w:val="auto"/>
        </w:rPr>
      </w:pPr>
    </w:p>
    <w:p>
      <w:pPr>
        <w:ind w:left="440" w:right="3159" w:firstLine="268"/>
        <w:spacing w:after="0" w:line="295" w:lineRule="auto"/>
        <w:rPr>
          <w:sz w:val="20"/>
          <w:szCs w:val="20"/>
          <w:color w:val="auto"/>
        </w:rPr>
      </w:pPr>
      <w:r>
        <w:rPr>
          <w:rFonts w:ascii="Courier New" w:cs="Courier New" w:eastAsia="Courier New" w:hAnsi="Courier New"/>
          <w:sz w:val="14"/>
          <w:szCs w:val="14"/>
          <w:color w:val="auto"/>
        </w:rPr>
        <w:t>RESOLVED, that the amendment to Section 1 of Article 4 of the Deed of Incorporation of the Company be, and it hereby is, adopted to increase the authorized Common Stock from one billion (1,000,000,000) to one billion five hundred million (1,500,000,000) shares as set forth in Exhibit B to the Company's Proxy Statement dated March 7, 2001; and further</w:t>
      </w:r>
    </w:p>
    <w:p>
      <w:pPr>
        <w:spacing w:after="0" w:line="57" w:lineRule="exact"/>
        <w:rPr>
          <w:sz w:val="20"/>
          <w:szCs w:val="20"/>
          <w:color w:val="auto"/>
        </w:rPr>
      </w:pPr>
    </w:p>
    <w:p>
      <w:pPr>
        <w:ind w:left="440" w:right="3159" w:firstLine="268"/>
        <w:spacing w:after="0" w:line="301" w:lineRule="auto"/>
        <w:rPr>
          <w:sz w:val="20"/>
          <w:szCs w:val="20"/>
          <w:color w:val="auto"/>
        </w:rPr>
      </w:pPr>
      <w:r>
        <w:rPr>
          <w:rFonts w:ascii="Courier New" w:cs="Courier New" w:eastAsia="Courier New" w:hAnsi="Courier New"/>
          <w:sz w:val="15"/>
          <w:szCs w:val="15"/>
          <w:color w:val="auto"/>
        </w:rPr>
        <w:t>RESOLVED, that the remainder of the Deed of Incorporation of the Company be, and it hereby is, adopted to read in its entirety as set forth in Exhibit B to the Company's Proxy Statement dated March 7, 2001.</w:t>
      </w:r>
    </w:p>
    <w:p>
      <w:pPr>
        <w:spacing w:after="0" w:line="49" w:lineRule="exact"/>
        <w:rPr>
          <w:sz w:val="20"/>
          <w:szCs w:val="20"/>
          <w:color w:val="auto"/>
        </w:rPr>
      </w:pPr>
    </w:p>
    <w:p>
      <w:pPr>
        <w:ind w:right="3259" w:firstLine="447"/>
        <w:spacing w:after="0" w:line="266" w:lineRule="auto"/>
        <w:rPr>
          <w:sz w:val="20"/>
          <w:szCs w:val="20"/>
          <w:color w:val="auto"/>
        </w:rPr>
      </w:pPr>
      <w:r>
        <w:rPr>
          <w:rFonts w:ascii="Courier New" w:cs="Courier New" w:eastAsia="Courier New" w:hAnsi="Courier New"/>
          <w:sz w:val="15"/>
          <w:szCs w:val="15"/>
          <w:color w:val="auto"/>
        </w:rPr>
        <w:t>In connection with the foregoing resolutions a vote in favor will include a power of attorney to each lawyer of Smeets, Thesseling, Van Bokhorst, Netherlands Antilles counsel to the Company, to file the amendment with the Netherlands Antilles Minister of Justice, to make such changes as may be required by such Minister and to execute the notarial deed of amendment effectuating the foregoing amendments.</w:t>
      </w:r>
    </w:p>
    <w:p>
      <w:pPr>
        <w:spacing w:after="0" w:line="74" w:lineRule="exact"/>
        <w:rPr>
          <w:sz w:val="20"/>
          <w:szCs w:val="20"/>
          <w:color w:val="auto"/>
        </w:rPr>
      </w:pPr>
    </w:p>
    <w:p>
      <w:pPr>
        <w:ind w:right="3159" w:firstLine="447"/>
        <w:spacing w:after="0" w:line="281" w:lineRule="auto"/>
        <w:rPr>
          <w:sz w:val="20"/>
          <w:szCs w:val="20"/>
          <w:color w:val="auto"/>
        </w:rPr>
      </w:pPr>
      <w:r>
        <w:rPr>
          <w:rFonts w:ascii="Courier New" w:cs="Courier New" w:eastAsia="Courier New" w:hAnsi="Courier New"/>
          <w:sz w:val="15"/>
          <w:szCs w:val="15"/>
          <w:color w:val="auto"/>
        </w:rPr>
        <w:t>The affirmative vote of a majority of the Company's shares outstanding and entitled to vote is required for the adoption of the foregoing resolutions. Accordingly, abstentions and broker non-votes will have the same effect as no votes.</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Items 3(a) and 3(b).</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4. Adoption of Schlumberger 2001 Stock Option Plan</w:t>
      </w:r>
    </w:p>
    <w:p>
      <w:pPr>
        <w:spacing w:after="0" w:line="174" w:lineRule="exact"/>
        <w:rPr>
          <w:sz w:val="20"/>
          <w:szCs w:val="20"/>
          <w:color w:val="auto"/>
        </w:rPr>
      </w:pPr>
    </w:p>
    <w:p>
      <w:pPr>
        <w:jc w:val="both"/>
        <w:ind w:right="3159" w:firstLine="447"/>
        <w:spacing w:after="0" w:line="281" w:lineRule="auto"/>
        <w:rPr>
          <w:sz w:val="20"/>
          <w:szCs w:val="20"/>
          <w:color w:val="auto"/>
        </w:rPr>
      </w:pPr>
      <w:r>
        <w:rPr>
          <w:rFonts w:ascii="Courier New" w:cs="Courier New" w:eastAsia="Courier New" w:hAnsi="Courier New"/>
          <w:sz w:val="15"/>
          <w:szCs w:val="15"/>
          <w:color w:val="auto"/>
        </w:rPr>
        <w:t>On February 16, 2001, the Board adopted, subject to stockholder approval, the Schlumberger 2001 Stock Option Plan (the "2001 Plan"). The Board's approval of the Plan followed a review and evaluation of the Company's existing plans by the Compensation Committee of the Board (the "Committee").</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Existing Plans as of January 31, 2001</w:t>
      </w:r>
    </w:p>
    <w:p>
      <w:pPr>
        <w:spacing w:after="0" w:line="174" w:lineRule="exact"/>
        <w:rPr>
          <w:sz w:val="20"/>
          <w:szCs w:val="20"/>
          <w:color w:val="auto"/>
        </w:rPr>
      </w:pPr>
    </w:p>
    <w:p>
      <w:pPr>
        <w:ind w:right="3339" w:firstLine="447"/>
        <w:spacing w:after="0" w:line="281" w:lineRule="auto"/>
        <w:rPr>
          <w:sz w:val="20"/>
          <w:szCs w:val="20"/>
          <w:color w:val="auto"/>
        </w:rPr>
      </w:pPr>
      <w:r>
        <w:rPr>
          <w:rFonts w:ascii="Courier New" w:cs="Courier New" w:eastAsia="Courier New" w:hAnsi="Courier New"/>
          <w:sz w:val="15"/>
          <w:szCs w:val="15"/>
          <w:color w:val="auto"/>
        </w:rPr>
        <w:t>Under the Schlumberger 1989 Stock Incentive Plan (under which no further options can be granted), 6,038,065 shares of Common Stock are reserved for issuance in respect of outstanding options. Under the Schlumberger 1994 Stock Option Plan (the "1994 Plan"), 19,078,321 shares are</w:t>
      </w:r>
    </w:p>
    <w:p>
      <w:pPr>
        <w:spacing w:after="0" w:line="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7" w:right="1440" w:bottom="1440" w:gutter="0" w:footer="0" w:header="0"/>
        </w:sectPr>
      </w:pPr>
    </w:p>
    <w:bookmarkStart w:id="19" w:name="page20"/>
    <w:bookmarkEnd w:id="19"/>
    <w:p>
      <w:pPr>
        <w:ind w:right="3259"/>
        <w:spacing w:after="0" w:line="272" w:lineRule="auto"/>
        <w:rPr>
          <w:sz w:val="20"/>
          <w:szCs w:val="20"/>
          <w:color w:val="auto"/>
        </w:rPr>
      </w:pPr>
      <w:r>
        <w:rPr>
          <w:rFonts w:ascii="Courier New" w:cs="Courier New" w:eastAsia="Courier New" w:hAnsi="Courier New"/>
          <w:sz w:val="15"/>
          <w:szCs w:val="15"/>
          <w:color w:val="auto"/>
        </w:rPr>
        <w:t>reserved for issuance in respect of outstanding options and 4,804 shares are reserved for future grants. Under the Schlumberger 1998 Stock Option Plan (the "1998 Plan"), 5,333,250 shares are reserved for issuance in respect of outstanding options and 6,666,750 shares are reserved for future grants. All these existing option plans were approved by Schlumberger stockholders.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2001 Plan</w:t>
      </w:r>
    </w:p>
    <w:p>
      <w:pPr>
        <w:spacing w:after="0" w:line="174"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5"/>
          <w:szCs w:val="15"/>
          <w:color w:val="auto"/>
        </w:rPr>
        <w:t>In structuring the 2001 Plan, the Committee sought to provide incentives which link the interests of key employees with the long term growth of the Company and the interests of the Company's stockholders through the ownership and performance of the Company's Common Stock and to respond to applicable tax laws, accounting rules and securities regulations. The 2001 Plan is set forth in Exhibit C to this Proxy Statement and reference is made to such Exhibit for a complete statement of its terms and provisions.</w:t>
      </w:r>
    </w:p>
    <w:p>
      <w:pPr>
        <w:spacing w:after="0" w:line="78" w:lineRule="exact"/>
        <w:rPr>
          <w:sz w:val="20"/>
          <w:szCs w:val="20"/>
          <w:color w:val="auto"/>
        </w:rPr>
      </w:pPr>
    </w:p>
    <w:p>
      <w:pPr>
        <w:ind w:right="3259" w:firstLine="447"/>
        <w:spacing w:after="0" w:line="283" w:lineRule="auto"/>
        <w:rPr>
          <w:sz w:val="20"/>
          <w:szCs w:val="20"/>
          <w:color w:val="auto"/>
        </w:rPr>
      </w:pPr>
      <w:r>
        <w:rPr>
          <w:rFonts w:ascii="Courier New" w:cs="Courier New" w:eastAsia="Courier New" w:hAnsi="Courier New"/>
          <w:sz w:val="14"/>
          <w:szCs w:val="14"/>
          <w:color w:val="auto"/>
        </w:rPr>
        <w:t>The 2001 Plan is administered by the Committee, which may from time to time grant stock options (either "incentive" or "non-qualified" stock options) (hereinafter collectively referred to as "Stock Options") to employees of the Company or its subsidiaries who are executive, administrative, professional or technical personnel with responsibilities affecting the management, direction, development and financial success of the Company or its subsidiaries (approximately 6,250 of whom are optionees as of January 31, 2001).</w:t>
      </w:r>
    </w:p>
    <w:p>
      <w:pPr>
        <w:spacing w:after="0" w:line="67" w:lineRule="exact"/>
        <w:rPr>
          <w:sz w:val="20"/>
          <w:szCs w:val="20"/>
          <w:color w:val="auto"/>
        </w:rPr>
      </w:pPr>
    </w:p>
    <w:p>
      <w:pPr>
        <w:ind w:right="3159" w:firstLine="447"/>
        <w:spacing w:after="0" w:line="251" w:lineRule="auto"/>
        <w:rPr>
          <w:sz w:val="20"/>
          <w:szCs w:val="20"/>
          <w:color w:val="auto"/>
        </w:rPr>
      </w:pPr>
      <w:r>
        <w:rPr>
          <w:rFonts w:ascii="Courier New" w:cs="Courier New" w:eastAsia="Courier New" w:hAnsi="Courier New"/>
          <w:sz w:val="15"/>
          <w:szCs w:val="15"/>
          <w:color w:val="auto"/>
        </w:rPr>
        <w:t>Subject to certain limitations specified in the 2001 Plan, the Committee has discretion to determine the terms and conditions upon which such Stock Options may be exercisable. No member of the Committee, no director of the Company who is not also an employee nor any person who owns directly or indirectly stock possessing more than 5% of the total combined voting power or value of all classes of stock of the Company or any subsidiary is eligible to receive Stock Options under the 2001 Plan. Members of the Committee shall be subject to the requirements for Non-Employee Directors as defined in Rule 16b-3 under the United States Securities Exchange Act of 1934 (the "Exchange Act"), as it may be amended from time to time. No Stock Options may be granted under the 2001 Plan after February 16, 2011.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87" w:lineRule="exact"/>
        <w:rPr>
          <w:sz w:val="20"/>
          <w:szCs w:val="20"/>
          <w:color w:val="auto"/>
        </w:rPr>
      </w:pPr>
    </w:p>
    <w:p>
      <w:pPr>
        <w:ind w:right="3159" w:firstLine="447"/>
        <w:spacing w:after="0" w:line="257" w:lineRule="auto"/>
        <w:rPr>
          <w:sz w:val="20"/>
          <w:szCs w:val="20"/>
          <w:color w:val="auto"/>
        </w:rPr>
      </w:pPr>
      <w:r>
        <w:rPr>
          <w:rFonts w:ascii="Courier New" w:cs="Courier New" w:eastAsia="Courier New" w:hAnsi="Courier New"/>
          <w:sz w:val="15"/>
          <w:szCs w:val="15"/>
          <w:color w:val="auto"/>
        </w:rPr>
        <w:t>The 2001 Plan provides that an aggregate of 9,000,000 shares of Common Stock, par value $0.01 per share, of the Company shall be subject to the 2001 Plan. The shares subject to the 2001 Plan consist of authorized and unissued shares or previously issued shares reacquired and held by the Company and any subsidiary. Should any Stock Option under the 2001 Plan expire or be terminated prior to its exercise in full and prior to the termination of the 2001 Plan, the shares subject to such Stock Option shall be available for further grants under the 2001 Plan. To date, no stock options have been granted under the 2001 Plan.</w:t>
      </w:r>
    </w:p>
    <w:p>
      <w:pPr>
        <w:spacing w:after="0" w:line="83" w:lineRule="exact"/>
        <w:rPr>
          <w:sz w:val="20"/>
          <w:szCs w:val="20"/>
          <w:color w:val="auto"/>
        </w:rPr>
      </w:pPr>
    </w:p>
    <w:p>
      <w:pPr>
        <w:ind w:right="3159" w:firstLine="447"/>
        <w:spacing w:after="0" w:line="252" w:lineRule="auto"/>
        <w:rPr>
          <w:sz w:val="20"/>
          <w:szCs w:val="20"/>
          <w:color w:val="auto"/>
        </w:rPr>
      </w:pPr>
      <w:r>
        <w:rPr>
          <w:rFonts w:ascii="Courier New" w:cs="Courier New" w:eastAsia="Courier New" w:hAnsi="Courier New"/>
          <w:sz w:val="15"/>
          <w:szCs w:val="15"/>
          <w:color w:val="auto"/>
        </w:rPr>
        <w:t>Stock Options under the 2001 Plan give the optionee the right to purchase a number of shares of the Company's Common Stock at future dates within 10 years of the date of grant. In order to satisfy the requirements of Section 162(m) of the Code, no optionee may be granted options to purchase more than 500,000 shares during the life of the 2001 Plan. The exercise price may be the fair market value of the stock (as defined in the 2001 Plan) on the date of grant, or such other price as the Committee may determine, but not less than 100% of such fair market value. After it is granted, no Stock Option may be amended to decrease the purchase price and no Stock Option may be granted with a purchase price lower than the purchase price of an outstanding Stock Option if the Stock Option is granted in substitution for an outstanding Stock Option. The purchase price to be paid upon exercise of the option may be paid, subject to such rules, procedures and restrictions as the Committee may</w:t>
      </w:r>
    </w:p>
    <w:p>
      <w:pPr>
        <w:spacing w:after="0" w:line="8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7" w:right="1440" w:bottom="1440" w:gutter="0" w:footer="0" w:header="0"/>
        </w:sectPr>
      </w:pPr>
    </w:p>
    <w:bookmarkStart w:id="20" w:name="page21"/>
    <w:bookmarkEnd w:id="20"/>
    <w:p>
      <w:pPr>
        <w:ind w:left="8" w:right="3159"/>
        <w:spacing w:after="0" w:line="270" w:lineRule="auto"/>
        <w:rPr>
          <w:sz w:val="20"/>
          <w:szCs w:val="20"/>
          <w:color w:val="auto"/>
        </w:rPr>
      </w:pPr>
      <w:r>
        <w:rPr>
          <w:rFonts w:ascii="Courier New" w:cs="Courier New" w:eastAsia="Courier New" w:hAnsi="Courier New"/>
          <w:sz w:val="14"/>
          <w:szCs w:val="14"/>
          <w:color w:val="auto"/>
        </w:rPr>
        <w:t>prescribe from time to time (i) in cash or by certified check; (ii) by the delivery of shares of the Company's Common Stock with a fair market value at the time of exercise equal to the total option price; or (iii) by a combination of the preceding methods. At the election of the optionee and subject to such rules, procedures and restrictions as the Committee may prescribe, withholding obligations may be satisfied through the surrender of shares of Common Stock to which the optionee is otherwise entitled. The fair market value of a share of Common Stock on a particular date is defined as the mean between the highest and lowest sales price per share of the Common Stock in the New York Stock Exchange Composite Transactions Quotations as reported for that date or, if there have been no such reported prices for that date, the mean of the reported prices on the last preceding date on which a composite sale or sales were effected on one or more of the exchanges on which the Common Stock traded. On January 31, 2001, the closing sale price of the Company's Common Stock on the New York Stock Exchange Composite Tape was $75.975.</w:t>
      </w:r>
    </w:p>
    <w:p>
      <w:pPr>
        <w:spacing w:after="0" w:line="254" w:lineRule="exact"/>
        <w:rPr>
          <w:sz w:val="20"/>
          <w:szCs w:val="20"/>
          <w:color w:val="auto"/>
        </w:rPr>
      </w:pPr>
    </w:p>
    <w:p>
      <w:pPr>
        <w:ind w:left="8" w:right="3159" w:firstLine="447"/>
        <w:spacing w:after="0" w:line="249" w:lineRule="auto"/>
        <w:rPr>
          <w:sz w:val="20"/>
          <w:szCs w:val="20"/>
          <w:color w:val="auto"/>
        </w:rPr>
      </w:pPr>
      <w:r>
        <w:rPr>
          <w:rFonts w:ascii="Courier New" w:cs="Courier New" w:eastAsia="Courier New" w:hAnsi="Courier New"/>
          <w:sz w:val="15"/>
          <w:szCs w:val="15"/>
          <w:color w:val="auto"/>
        </w:rPr>
        <w:t>The 2001 Plan permits an optionee to exercise an outstanding option after termination of employment during the three months after such termination, unless the optionee's employment is terminated for cause (as determined by the Committee), without the consent of the Company or due to retirement. If the optionee terminates employment due to retirement (within the meaning of any prevailing pension plan in which the optionee participates), the exercise period of an outstanding option shall continue for 60 months. If an optionee dies with outstanding options that were exercisable on the date of his death, the optionee's legal representatives have five years from the date of his death (or, if earlier, from the date of his termination of employment other than for retirement) to exercise the outstanding options. In any instance, however, such option may be exercised only to the extent that the option was exercisable on the date of termination and in no event beyond the original term of the option. The Committee may in its discretion cause an option to be forfeited if, at any time within the five years after termination of employment due to retirement or within one year after any other termination of employment, the holder of such option engages in "detrimental activity" as defined in Section 5(c)(iv)(D) of the 2001 Plan.</w:t>
      </w:r>
    </w:p>
    <w:p>
      <w:pPr>
        <w:spacing w:after="0" w:line="95"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The Board is authorized to amend or terminate the 2001 Plan. Stockholder approval will be required for a plan amendment only if and to the extent (i) such approval is required to meet the requirements of Code Section 422 or (ii) the amendment would permit the decrease of the exercise price of a Stock Option after the grant of the Stock Option or grant to the holder of an outstanding Stock Option, a new Stock Option with a lower exercise price in exchange for such Stock Option. Section 422 of the Code currently requires stockholder approval of a plan amendment with respect to incentive stock options that would</w:t>
      </w:r>
    </w:p>
    <w:p>
      <w:pPr>
        <w:spacing w:after="0" w:line="3" w:lineRule="exact"/>
        <w:rPr>
          <w:sz w:val="20"/>
          <w:szCs w:val="20"/>
          <w:color w:val="auto"/>
        </w:rPr>
      </w:pPr>
    </w:p>
    <w:p>
      <w:pPr>
        <w:ind w:left="8" w:right="3259" w:hanging="8"/>
        <w:spacing w:after="0" w:line="319" w:lineRule="auto"/>
        <w:tabs>
          <w:tab w:leader="none" w:pos="3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number of shares subject to the plan or (b) change the class of employees eligible to participate in the plan.</w:t>
      </w:r>
    </w:p>
    <w:p>
      <w:pPr>
        <w:spacing w:after="0" w:line="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 Federal Income Tax Consequences</w:t>
      </w:r>
    </w:p>
    <w:p>
      <w:pPr>
        <w:spacing w:after="0" w:line="174" w:lineRule="exact"/>
        <w:rPr>
          <w:sz w:val="20"/>
          <w:szCs w:val="20"/>
          <w:color w:val="auto"/>
        </w:rPr>
      </w:pPr>
    </w:p>
    <w:p>
      <w:pPr>
        <w:ind w:left="8" w:right="3159" w:firstLine="447"/>
        <w:spacing w:after="0" w:line="266" w:lineRule="auto"/>
        <w:rPr>
          <w:sz w:val="20"/>
          <w:szCs w:val="20"/>
          <w:color w:val="auto"/>
        </w:rPr>
      </w:pPr>
      <w:r>
        <w:rPr>
          <w:rFonts w:ascii="Courier New" w:cs="Courier New" w:eastAsia="Courier New" w:hAnsi="Courier New"/>
          <w:sz w:val="15"/>
          <w:szCs w:val="15"/>
          <w:color w:val="auto"/>
        </w:rPr>
        <w:t>The following discussion of tax considerations relates only to U.S. federal income tax matters. The discussion assumes that optionees are fully subject to U.S. federal income tax on the basis of U.S. citizenship or residency. Moreover, the discussion is general in nature and does not take into account a number of considerations which may apply in light of the particular circumstances of an optionee.</w:t>
      </w:r>
    </w:p>
    <w:p>
      <w:pPr>
        <w:spacing w:after="0" w:line="74" w:lineRule="exact"/>
        <w:rPr>
          <w:sz w:val="20"/>
          <w:szCs w:val="20"/>
          <w:color w:val="auto"/>
        </w:rPr>
      </w:pPr>
    </w:p>
    <w:p>
      <w:pPr>
        <w:ind w:left="8" w:right="3159" w:firstLine="447"/>
        <w:spacing w:after="0" w:line="254" w:lineRule="auto"/>
        <w:rPr>
          <w:sz w:val="20"/>
          <w:szCs w:val="20"/>
          <w:color w:val="auto"/>
        </w:rPr>
      </w:pPr>
      <w:r>
        <w:rPr>
          <w:rFonts w:ascii="Courier New" w:cs="Courier New" w:eastAsia="Courier New" w:hAnsi="Courier New"/>
          <w:sz w:val="15"/>
          <w:szCs w:val="15"/>
          <w:color w:val="auto"/>
        </w:rPr>
        <w:t>Some of the options issued under the 2001 Plan are intended to constitute "incentive stock options" within the meaning of Section 422 of the Code, while other options granted under the 2001 Plan are non-qualified stock options. The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The difference between the exercise price of the incentive stock option and the fair market value of the stock at the time of purchase is an item of tax preference which may require payment of an alternative minimum tax. On the sale of shares</w:t>
      </w:r>
    </w:p>
    <w:p>
      <w:pPr>
        <w:spacing w:after="0" w:line="8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07" w:right="1440" w:bottom="1440" w:gutter="0" w:footer="0" w:header="0"/>
        </w:sectPr>
      </w:pPr>
    </w:p>
    <w:bookmarkStart w:id="21" w:name="page22"/>
    <w:bookmarkEnd w:id="21"/>
    <w:p>
      <w:pPr>
        <w:ind w:right="3159"/>
        <w:spacing w:after="0" w:line="248" w:lineRule="auto"/>
        <w:rPr>
          <w:sz w:val="20"/>
          <w:szCs w:val="20"/>
          <w:color w:val="auto"/>
        </w:rPr>
      </w:pPr>
      <w:r>
        <w:rPr>
          <w:rFonts w:ascii="Courier New" w:cs="Courier New" w:eastAsia="Courier New" w:hAnsi="Courier New"/>
          <w:sz w:val="15"/>
          <w:szCs w:val="15"/>
          <w:color w:val="auto"/>
        </w:rPr>
        <w:t>acquired by exercise of an incentive stock option (assuming that the sale does not occur within two years of the date of grant of the option or within one year from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2001 Plan, the Company expects that the 2001 Plan will comply with the requirements of Section 162(m) of the Code, provided that the Committee is comprised solely of "Outside Directors" as defined in Section 162(m) of the Code.</w:t>
      </w:r>
    </w:p>
    <w:p>
      <w:pPr>
        <w:spacing w:after="0" w:line="93"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Except with respect to death, an optionee has three months after termination of employment in which to exercise an incentive stock option and retain favorable tax treatment at exercise. An option exercised more than three months after an optionee's termination of employment, including termination due to retirement, cannot qualify for the tax treatment accorded incentive stock options.</w:t>
      </w:r>
    </w:p>
    <w:p>
      <w:pPr>
        <w:spacing w:after="0" w:line="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majority of the votes cast is required for the approval of the 2001</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4.</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 Appointment of Auditors</w:t>
      </w:r>
    </w:p>
    <w:p>
      <w:pPr>
        <w:spacing w:after="0" w:line="174"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5"/>
          <w:szCs w:val="15"/>
          <w:color w:val="auto"/>
        </w:rPr>
        <w:t>PricewaterhouseCoopers LLP have been selected by the Board of Directors as independent public accountants to audit the accounts of the Company for the year 2001. The Schlumberger by-laws provide that the selection of auditors is subject to approval by the stockholders, and a majority of the votes cast is required for such approval. A representative of PricewaterhouseCoopers LLP will attend the 2001 Annual General Meeting and will have the opportunity to make a statement and respond to questions.</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Fees Paid to PricewaterhouseCoopers LLP</w:t>
      </w:r>
    </w:p>
    <w:p>
      <w:pPr>
        <w:spacing w:after="0" w:line="174" w:lineRule="exact"/>
        <w:rPr>
          <w:sz w:val="20"/>
          <w:szCs w:val="20"/>
          <w:color w:val="auto"/>
        </w:rPr>
      </w:pPr>
    </w:p>
    <w:p>
      <w:pPr>
        <w:ind w:right="3339" w:firstLine="447"/>
        <w:spacing w:after="0" w:line="266" w:lineRule="auto"/>
        <w:rPr>
          <w:sz w:val="20"/>
          <w:szCs w:val="20"/>
          <w:color w:val="auto"/>
        </w:rPr>
      </w:pPr>
      <w:r>
        <w:rPr>
          <w:rFonts w:ascii="Courier New" w:cs="Courier New" w:eastAsia="Courier New" w:hAnsi="Courier New"/>
          <w:sz w:val="15"/>
          <w:szCs w:val="15"/>
          <w:color w:val="auto"/>
        </w:rPr>
        <w:t>PricewaterhouseCoopers LLP has billed the Company and its subsidiaries fees and out-of-pocket expenses as set forth in the table below for (i) the audit of the Company's 2000 annual financial statements and reviews of quarterly financial statements, (ii) financial information systems design and implementation work rendered in 2000 and (iii) all other services rendered in 2000.</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Financial Information</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6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Audit Fees</w:t>
            </w:r>
          </w:p>
        </w:tc>
        <w:tc>
          <w:tcPr>
            <w:tcW w:w="19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Systems Design and</w:t>
            </w:r>
          </w:p>
        </w:tc>
        <w:tc>
          <w:tcPr>
            <w:tcW w:w="1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All Other Fees</w:t>
            </w:r>
          </w:p>
        </w:tc>
        <w:tc>
          <w:tcPr>
            <w:tcW w:w="0" w:type="dxa"/>
            <w:vAlign w:val="bottom"/>
          </w:tcPr>
          <w:p>
            <w:pPr>
              <w:spacing w:after="0"/>
              <w:rPr>
                <w:sz w:val="1"/>
                <w:szCs w:val="1"/>
                <w:color w:val="auto"/>
              </w:rPr>
            </w:pPr>
          </w:p>
        </w:tc>
      </w:tr>
      <w:tr>
        <w:trPr>
          <w:trHeight w:val="172"/>
        </w:trPr>
        <w:tc>
          <w:tcPr>
            <w:tcW w:w="14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Implementation</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460" w:type="dxa"/>
            <w:vAlign w:val="bottom"/>
          </w:tcPr>
          <w:p>
            <w:pPr>
              <w:spacing w:after="0"/>
              <w:rPr>
                <w:sz w:val="21"/>
                <w:szCs w:val="21"/>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Fiscal year 2000</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$4,707,000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$2,010,000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$6,144,000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Software in the amount of $231,000 was acquired by PricewaterhouseCoopers LLP from third party software vendors and resold to Schlumberger. This amount is included in the caption, "Financial Information Systems Design and Implementation" shown above.</w:t>
      </w:r>
    </w:p>
    <w:p>
      <w:pPr>
        <w:spacing w:after="0" w:line="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5.</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Stockholder Proposals for 2002 Annual General Meeting</w:t>
      </w:r>
    </w:p>
    <w:p>
      <w:pPr>
        <w:spacing w:after="0" w:line="174" w:lineRule="exact"/>
        <w:rPr>
          <w:sz w:val="20"/>
          <w:szCs w:val="20"/>
          <w:color w:val="auto"/>
        </w:rPr>
      </w:pPr>
    </w:p>
    <w:p>
      <w:pPr>
        <w:ind w:right="3159" w:firstLine="447"/>
        <w:spacing w:after="0" w:line="259" w:lineRule="auto"/>
        <w:rPr>
          <w:sz w:val="20"/>
          <w:szCs w:val="20"/>
          <w:color w:val="auto"/>
        </w:rPr>
      </w:pPr>
      <w:r>
        <w:rPr>
          <w:rFonts w:ascii="Courier New" w:cs="Courier New" w:eastAsia="Courier New" w:hAnsi="Courier New"/>
          <w:sz w:val="15"/>
          <w:szCs w:val="15"/>
          <w:color w:val="auto"/>
        </w:rPr>
        <w:t>In order for a stockholder proposal to be considered for inclusion in the proxy statement for the 2002 Annual General Meeting of Stockholders, written proposals must be received by the Secretary of the Company, 277 Park Avenue, New York, New York 10172-0266, no later than November 7, 2001. Pursuant to the rules under the Securities Exchange Act of 1934, the Company may use discretionary authority to vote with respect to stockholder proposals presented in person at the 2002 Annual General Meeting if the stockholder making the proposal has not given notice to the Company by January 23, 2002.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jc w:val="both"/>
        <w:ind w:right="3339" w:firstLine="447"/>
        <w:spacing w:after="0" w:line="301" w:lineRule="auto"/>
        <w:rPr>
          <w:sz w:val="20"/>
          <w:szCs w:val="20"/>
          <w:color w:val="auto"/>
        </w:rPr>
      </w:pPr>
      <w:r>
        <w:rPr>
          <w:rFonts w:ascii="Courier New" w:cs="Courier New" w:eastAsia="Courier New" w:hAnsi="Courier New"/>
          <w:sz w:val="15"/>
          <w:szCs w:val="15"/>
          <w:color w:val="auto"/>
        </w:rPr>
        <w:t>Stockholders may obtain a copy of Form 10-K filed with the United States Securities and Exchange Commission without charge by writing to the Secretary of the Company at 277 Park Avenue, New York, New York 10172-0266.</w:t>
      </w:r>
    </w:p>
    <w:p>
      <w:pPr>
        <w:spacing w:after="0" w:line="49"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64" w:lineRule="exact"/>
        <w:rPr>
          <w:sz w:val="20"/>
          <w:szCs w:val="20"/>
          <w:color w:val="auto"/>
        </w:rPr>
      </w:pPr>
    </w:p>
    <w:p>
      <w:pPr>
        <w:ind w:right="3699" w:firstLine="447"/>
        <w:spacing w:after="0" w:line="359"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James L. Gunderson</w:t>
      </w:r>
    </w:p>
    <w:p>
      <w:pPr>
        <w:spacing w:after="0" w:line="30"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Secretary</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7, 2001</w:t>
      </w:r>
    </w:p>
    <w:p>
      <w:pPr>
        <w:spacing w:after="0" w:line="1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7" w:right="1440" w:bottom="1440" w:gutter="0" w:footer="0" w:header="0"/>
        </w:sectPr>
      </w:pPr>
    </w:p>
    <w:bookmarkStart w:id="23" w:name="page24"/>
    <w:bookmarkEnd w:id="23"/>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AUDIT COMMITTEE CHARTER</w:t>
      </w:r>
    </w:p>
    <w:p>
      <w:pPr>
        <w:spacing w:after="0" w:line="174"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5"/>
          <w:szCs w:val="15"/>
          <w:color w:val="auto"/>
        </w:rPr>
        <w:t>The Board of Directors shall annually appoint an Audit Committee consisting of at least three directors who have no relationship with the Company that might interfere with their independence from the Company and its management. The members of the Audit Committee shall meet the applicable independence requirements of the New York Stock Exchange and shall be directors who the Board has determined to be financially literate at the time of appointment or within a reasonable period after appointment to the Audit Committee. At least one member of the Audit Committee shall be a director who the Board has determined has appropriate accounting or related financial management expertise.</w:t>
      </w:r>
    </w:p>
    <w:p>
      <w:pPr>
        <w:spacing w:after="0" w:line="87" w:lineRule="exact"/>
        <w:rPr>
          <w:sz w:val="20"/>
          <w:szCs w:val="20"/>
          <w:color w:val="auto"/>
        </w:rPr>
      </w:pPr>
    </w:p>
    <w:p>
      <w:pPr>
        <w:ind w:right="3259"/>
        <w:spacing w:after="0" w:line="280" w:lineRule="auto"/>
        <w:rPr>
          <w:sz w:val="20"/>
          <w:szCs w:val="20"/>
          <w:color w:val="auto"/>
        </w:rPr>
      </w:pPr>
      <w:r>
        <w:rPr>
          <w:rFonts w:ascii="Courier New" w:cs="Courier New" w:eastAsia="Courier New" w:hAnsi="Courier New"/>
          <w:sz w:val="14"/>
          <w:szCs w:val="14"/>
          <w:color w:val="auto"/>
        </w:rPr>
        <w:t>The purpose of the Audit Committee is to assist the Board of Directors in fulfilling its responsibilities to oversee the Company's financial reporting process, including review of the Company's accounting practices, internal accounting controls, the scope of the annual audit, and the auditors' findings and recommendations, as well as monitoring the integrity of the Company's financial statements and the independence and performance of the Company's auditors. In carrying out its responsibility, the Audit Committee is not providing any special assurance as to the Company's financial statements.</w:t>
      </w:r>
    </w:p>
    <w:p>
      <w:pPr>
        <w:spacing w:after="0" w:line="68"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5"/>
          <w:szCs w:val="15"/>
          <w:color w:val="auto"/>
        </w:rPr>
        <w:t>The Audit Committee shall meet as often as it deems appropriate and shall annually propose to the Board of Directors the appointment of independent auditors, subject to shareholder approval, and reassess the adequacy of this Charter and submit it to the Board of Directors for approval. The independent auditors shall be accountable to the Board of Directors and the Audit Committee. The Audit Committee shall keep minutes of its proceedings and report regularly to the Board of Directors.</w:t>
      </w:r>
    </w:p>
    <w:p>
      <w:pPr>
        <w:spacing w:after="0" w:line="78"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The Audit Committee shall determine whether to recommend to the Board of Directors that the Company's financial statements be included in its Annual Report on Form 10-K for filing with the U.S. Securities and Exchange Commission. The Audit Committee shall base its determination on a review and discussion of the financial statements with Company management and the independent auditors, including matters raised by the independent auditors pursuant to Statement on Auditing Standards No. 61 (regarding conduct of the audit) and Independence Standards Board Standard No.1 (regarding independence).</w:t>
      </w:r>
    </w:p>
    <w:p>
      <w:pPr>
        <w:spacing w:after="0" w:line="68"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Audit Committee shall have unrestricted access to the independent auditors, the Company's internal audit department and other Company personnel, and shall have authority to retain legal, accounting or other consultants. The Audit Committee shall ensure that the independent auditors periodically submit a formal written statement delineating all relevant relationships with the Company and shall review and discuss disclosed relationships or services that may impact the auditors' objectivity and independence. Where appropriate, the Audit Committee shall recommend that the Board of Directors take action in response to the disclosures to satisfy itself of the independence of the Company's auditors.</w:t>
      </w:r>
    </w:p>
    <w:p>
      <w:pPr>
        <w:spacing w:after="0" w:line="8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07" w:right="1440" w:bottom="1440" w:gutter="0" w:footer="0" w:header="0"/>
        </w:sectPr>
      </w:pPr>
    </w:p>
    <w:bookmarkStart w:id="24" w:name="page25"/>
    <w:bookmarkEnd w:id="24"/>
    <w:tbl>
      <w:tblPr>
        <w:tblLayout w:type="fixed"/>
        <w:tblInd w:w="8"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ind w:left="4880"/>
              <w:spacing w:after="0"/>
              <w:rPr>
                <w:sz w:val="20"/>
                <w:szCs w:val="20"/>
                <w:color w:val="auto"/>
              </w:rPr>
            </w:pPr>
            <w:r>
              <w:rPr>
                <w:rFonts w:ascii="Courier New" w:cs="Courier New" w:eastAsia="Courier New" w:hAnsi="Courier New"/>
                <w:sz w:val="15"/>
                <w:szCs w:val="15"/>
                <w:color w:val="auto"/>
                <w:w w:val="96"/>
              </w:rPr>
              <w:t>Exhibit B</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jc w:val="center"/>
              <w:ind w:right="1565"/>
              <w:spacing w:after="0"/>
              <w:rPr>
                <w:sz w:val="20"/>
                <w:szCs w:val="20"/>
                <w:color w:val="auto"/>
              </w:rPr>
            </w:pPr>
            <w:r>
              <w:rPr>
                <w:rFonts w:ascii="Courier New" w:cs="Courier New" w:eastAsia="Courier New" w:hAnsi="Courier New"/>
                <w:sz w:val="15"/>
                <w:szCs w:val="15"/>
                <w:color w:val="auto"/>
                <w:w w:val="99"/>
              </w:rPr>
              <w:t>PROPOSED</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jc w:val="center"/>
              <w:ind w:right="1565"/>
              <w:spacing w:after="0"/>
              <w:rPr>
                <w:sz w:val="20"/>
                <w:szCs w:val="20"/>
                <w:color w:val="auto"/>
              </w:rPr>
            </w:pPr>
            <w:r>
              <w:rPr>
                <w:rFonts w:ascii="Courier New" w:cs="Courier New" w:eastAsia="Courier New" w:hAnsi="Courier New"/>
                <w:sz w:val="15"/>
                <w:szCs w:val="15"/>
                <w:color w:val="auto"/>
                <w:w w:val="99"/>
              </w:rPr>
              <w:t>ARTICLES OF INCORPORATION OF THE</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jc w:val="center"/>
              <w:ind w:right="1565"/>
              <w:spacing w:after="0"/>
              <w:rPr>
                <w:sz w:val="20"/>
                <w:szCs w:val="20"/>
                <w:color w:val="auto"/>
              </w:rPr>
            </w:pPr>
            <w:r>
              <w:rPr>
                <w:rFonts w:ascii="Courier New" w:cs="Courier New" w:eastAsia="Courier New" w:hAnsi="Courier New"/>
                <w:sz w:val="15"/>
                <w:szCs w:val="15"/>
                <w:color w:val="auto"/>
                <w:w w:val="99"/>
              </w:rPr>
              <w:t>CORPORATION WITH LIMITED LIABILITY</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jc w:val="center"/>
              <w:ind w:right="1485"/>
              <w:spacing w:after="0"/>
              <w:rPr>
                <w:sz w:val="20"/>
                <w:szCs w:val="20"/>
                <w:color w:val="auto"/>
              </w:rPr>
            </w:pPr>
            <w:r>
              <w:rPr>
                <w:rFonts w:ascii="Courier New" w:cs="Courier New" w:eastAsia="Courier New" w:hAnsi="Courier New"/>
                <w:sz w:val="15"/>
                <w:szCs w:val="15"/>
                <w:color w:val="auto"/>
                <w:w w:val="99"/>
              </w:rPr>
              <w:t>SCHLUMBERGER N.V.</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jc w:val="center"/>
              <w:ind w:right="1485"/>
              <w:spacing w:after="0"/>
              <w:rPr>
                <w:sz w:val="20"/>
                <w:szCs w:val="20"/>
                <w:color w:val="auto"/>
              </w:rPr>
            </w:pPr>
            <w:r>
              <w:rPr>
                <w:rFonts w:ascii="Courier New" w:cs="Courier New" w:eastAsia="Courier New" w:hAnsi="Courier New"/>
                <w:sz w:val="15"/>
                <w:szCs w:val="15"/>
                <w:color w:val="auto"/>
                <w:w w:val="99"/>
              </w:rPr>
              <w:t>NAME AND DOMICILE</w:t>
            </w:r>
          </w:p>
        </w:tc>
        <w:tc>
          <w:tcPr>
            <w:tcW w:w="0" w:type="dxa"/>
            <w:vAlign w:val="bottom"/>
          </w:tcPr>
          <w:p>
            <w:pPr>
              <w:spacing w:after="0"/>
              <w:rPr>
                <w:sz w:val="1"/>
                <w:szCs w:val="1"/>
                <w:color w:val="auto"/>
              </w:rPr>
            </w:pPr>
          </w:p>
        </w:tc>
      </w:tr>
      <w:tr>
        <w:trPr>
          <w:trHeight w:val="172"/>
        </w:trPr>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1.1.</w:t>
            </w:r>
          </w:p>
        </w:tc>
        <w:tc>
          <w:tcPr>
            <w:tcW w:w="10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Company</w:t>
            </w:r>
          </w:p>
        </w:tc>
        <w:tc>
          <w:tcPr>
            <w:tcW w:w="5680" w:type="dxa"/>
            <w:vAlign w:val="bottom"/>
          </w:tcPr>
          <w:p>
            <w:pPr>
              <w:jc w:val="center"/>
              <w:ind w:right="1485"/>
              <w:spacing w:after="0"/>
              <w:rPr>
                <w:sz w:val="20"/>
                <w:szCs w:val="20"/>
                <w:color w:val="auto"/>
              </w:rPr>
            </w:pPr>
            <w:r>
              <w:rPr>
                <w:rFonts w:ascii="Courier New" w:cs="Courier New" w:eastAsia="Courier New" w:hAnsi="Courier New"/>
                <w:sz w:val="15"/>
                <w:szCs w:val="15"/>
                <w:color w:val="auto"/>
                <w:w w:val="98"/>
              </w:rPr>
              <w:t>Article 1</w:t>
            </w:r>
          </w:p>
        </w:tc>
        <w:tc>
          <w:tcPr>
            <w:tcW w:w="0" w:type="dxa"/>
            <w:vAlign w:val="bottom"/>
          </w:tcPr>
          <w:p>
            <w:pPr>
              <w:spacing w:after="0"/>
              <w:rPr>
                <w:sz w:val="1"/>
                <w:szCs w:val="1"/>
                <w:color w:val="auto"/>
              </w:rPr>
            </w:pPr>
          </w:p>
        </w:tc>
      </w:tr>
      <w:tr>
        <w:trPr>
          <w:trHeight w:val="172"/>
        </w:trPr>
        <w:tc>
          <w:tcPr>
            <w:tcW w:w="4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shall bear the name: SCHLUMBERGER N.V.</w:t>
            </w:r>
          </w:p>
        </w:tc>
        <w:tc>
          <w:tcPr>
            <w:tcW w:w="0" w:type="dxa"/>
            <w:vAlign w:val="bottom"/>
          </w:tcPr>
          <w:p>
            <w:pPr>
              <w:spacing w:after="0"/>
              <w:rPr>
                <w:sz w:val="1"/>
                <w:szCs w:val="1"/>
                <w:color w:val="auto"/>
              </w:rPr>
            </w:pP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Abroad and in transactions with foreign entities, persons or</w:t>
            </w:r>
          </w:p>
        </w:tc>
        <w:tc>
          <w:tcPr>
            <w:tcW w:w="0" w:type="dxa"/>
            <w:vAlign w:val="bottom"/>
          </w:tcPr>
          <w:p>
            <w:pPr>
              <w:spacing w:after="0"/>
              <w:rPr>
                <w:sz w:val="1"/>
                <w:szCs w:val="1"/>
                <w:color w:val="auto"/>
              </w:rPr>
            </w:pPr>
          </w:p>
        </w:tc>
      </w:tr>
      <w:tr>
        <w:trPr>
          <w:trHeight w:val="172"/>
        </w:trPr>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1.3.</w:t>
            </w:r>
          </w:p>
        </w:tc>
        <w:tc>
          <w:tcPr>
            <w:tcW w:w="6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organizations, the name SCHLUMBERGER LIMITED may be used.</w:t>
            </w:r>
          </w:p>
        </w:tc>
        <w:tc>
          <w:tcPr>
            <w:tcW w:w="0" w:type="dxa"/>
            <w:vAlign w:val="bottom"/>
          </w:tcPr>
          <w:p>
            <w:pPr>
              <w:spacing w:after="0"/>
              <w:rPr>
                <w:sz w:val="1"/>
                <w:szCs w:val="1"/>
                <w:color w:val="auto"/>
              </w:rPr>
            </w:pPr>
          </w:p>
        </w:tc>
      </w:tr>
      <w:tr>
        <w:trPr>
          <w:trHeight w:val="172"/>
        </w:trPr>
        <w:tc>
          <w:tcPr>
            <w:tcW w:w="400" w:type="dxa"/>
            <w:vAlign w:val="bottom"/>
            <w:vMerge w:val="continue"/>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is established in Curacao.</w:t>
            </w:r>
          </w:p>
        </w:tc>
        <w:tc>
          <w:tcPr>
            <w:tcW w:w="0" w:type="dxa"/>
            <w:vAlign w:val="bottom"/>
          </w:tcPr>
          <w:p>
            <w:pPr>
              <w:spacing w:after="0"/>
              <w:rPr>
                <w:sz w:val="1"/>
                <w:szCs w:val="1"/>
                <w:color w:val="auto"/>
              </w:rPr>
            </w:pPr>
          </w:p>
        </w:tc>
      </w:tr>
      <w:tr>
        <w:trPr>
          <w:trHeight w:val="172"/>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The Company</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may change its place of domicile in accordance with the</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Netherlands</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Antilles Ordinance on Transfer of Domicile to Third Countries</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pursuant to</w:t>
            </w: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a resolution of the Board of Directors.</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Pr>
          <w:p>
            <w:pPr>
              <w:jc w:val="center"/>
              <w:ind w:right="1465"/>
              <w:spacing w:after="0"/>
              <w:rPr>
                <w:sz w:val="20"/>
                <w:szCs w:val="20"/>
                <w:color w:val="auto"/>
              </w:rPr>
            </w:pPr>
            <w:r>
              <w:rPr>
                <w:rFonts w:ascii="Courier New" w:cs="Courier New" w:eastAsia="Courier New" w:hAnsi="Courier New"/>
                <w:sz w:val="15"/>
                <w:szCs w:val="15"/>
                <w:color w:val="auto"/>
                <w:w w:val="98"/>
              </w:rPr>
              <w:t>OBJECTS</w:t>
            </w:r>
          </w:p>
        </w:tc>
        <w:tc>
          <w:tcPr>
            <w:tcW w:w="0" w:type="dxa"/>
            <w:vAlign w:val="bottom"/>
          </w:tcPr>
          <w:p>
            <w:pPr>
              <w:spacing w:after="0"/>
              <w:rPr>
                <w:sz w:val="1"/>
                <w:szCs w:val="1"/>
                <w:color w:val="auto"/>
              </w:rPr>
            </w:pPr>
          </w:p>
        </w:tc>
      </w:tr>
      <w:tr>
        <w:trPr>
          <w:trHeight w:val="172"/>
        </w:trPr>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2.1.</w:t>
            </w:r>
          </w:p>
        </w:tc>
        <w:tc>
          <w:tcPr>
            <w:tcW w:w="10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The objects</w:t>
            </w:r>
          </w:p>
        </w:tc>
        <w:tc>
          <w:tcPr>
            <w:tcW w:w="5680" w:type="dxa"/>
            <w:vAlign w:val="bottom"/>
          </w:tcPr>
          <w:p>
            <w:pPr>
              <w:jc w:val="center"/>
              <w:ind w:right="1485"/>
              <w:spacing w:after="0"/>
              <w:rPr>
                <w:sz w:val="20"/>
                <w:szCs w:val="20"/>
                <w:color w:val="auto"/>
              </w:rPr>
            </w:pPr>
            <w:r>
              <w:rPr>
                <w:rFonts w:ascii="Courier New" w:cs="Courier New" w:eastAsia="Courier New" w:hAnsi="Courier New"/>
                <w:sz w:val="15"/>
                <w:szCs w:val="15"/>
                <w:color w:val="auto"/>
                <w:w w:val="98"/>
              </w:rPr>
              <w:t>Article 2</w:t>
            </w:r>
          </w:p>
        </w:tc>
        <w:tc>
          <w:tcPr>
            <w:tcW w:w="0" w:type="dxa"/>
            <w:vAlign w:val="bottom"/>
          </w:tcPr>
          <w:p>
            <w:pPr>
              <w:spacing w:after="0"/>
              <w:rPr>
                <w:sz w:val="1"/>
                <w:szCs w:val="1"/>
                <w:color w:val="auto"/>
              </w:rPr>
            </w:pPr>
          </w:p>
        </w:tc>
      </w:tr>
      <w:tr>
        <w:trPr>
          <w:trHeight w:val="200"/>
        </w:trPr>
        <w:tc>
          <w:tcPr>
            <w:tcW w:w="4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5680" w:type="dxa"/>
            <w:vAlign w:val="bottom"/>
          </w:tcPr>
          <w:p>
            <w:pPr>
              <w:ind w:left="60"/>
              <w:spacing w:after="0"/>
              <w:rPr>
                <w:sz w:val="20"/>
                <w:szCs w:val="20"/>
                <w:color w:val="auto"/>
              </w:rPr>
            </w:pPr>
            <w:r>
              <w:rPr>
                <w:rFonts w:ascii="Courier New" w:cs="Courier New" w:eastAsia="Courier New" w:hAnsi="Courier New"/>
                <w:sz w:val="15"/>
                <w:szCs w:val="15"/>
                <w:color w:val="auto"/>
              </w:rPr>
              <w:t>of the Company are:</w:t>
            </w:r>
          </w:p>
        </w:tc>
        <w:tc>
          <w:tcPr>
            <w:tcW w:w="0" w:type="dxa"/>
            <w:vAlign w:val="bottom"/>
          </w:tcPr>
          <w:p>
            <w:pPr>
              <w:spacing w:after="0"/>
              <w:rPr>
                <w:sz w:val="1"/>
                <w:szCs w:val="1"/>
                <w:color w:val="auto"/>
              </w:rPr>
            </w:pPr>
          </w:p>
        </w:tc>
      </w:tr>
    </w:tbl>
    <w:p>
      <w:pPr>
        <w:ind w:left="448" w:right="325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design, develop, produce and supply technology, services, products and systems and to, throughout the world, engage in any business or activity related thereto;</w:t>
      </w:r>
    </w:p>
    <w:p>
      <w:pPr>
        <w:spacing w:after="0" w:line="2" w:lineRule="exact"/>
        <w:rPr>
          <w:rFonts w:ascii="Courier New" w:cs="Courier New" w:eastAsia="Courier New" w:hAnsi="Courier New"/>
          <w:sz w:val="15"/>
          <w:szCs w:val="15"/>
          <w:color w:val="auto"/>
        </w:rPr>
      </w:pPr>
    </w:p>
    <w:p>
      <w:pPr>
        <w:ind w:left="448" w:right="3339" w:hanging="448"/>
        <w:spacing w:after="0" w:line="260" w:lineRule="auto"/>
        <w:tabs>
          <w:tab w:leader="none" w:pos="4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ind w:left="448" w:right="3339" w:hanging="448"/>
        <w:spacing w:after="0" w:line="260" w:lineRule="auto"/>
        <w:tabs>
          <w:tab w:leader="none" w:pos="4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invest its assets in securities, including shares and other certificates of participation and bonds, debentures or notes, as well as other claims for interest bearing or non-interest baring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1" w:lineRule="exact"/>
        <w:rPr>
          <w:rFonts w:ascii="Courier New" w:cs="Courier New" w:eastAsia="Courier New" w:hAnsi="Courier New"/>
          <w:sz w:val="14"/>
          <w:szCs w:val="14"/>
          <w:color w:val="auto"/>
        </w:rPr>
      </w:pPr>
    </w:p>
    <w:p>
      <w:pPr>
        <w:ind w:left="448" w:right="333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money and to issue evidences of indebtedness therefor, as well as to lend money;</w:t>
      </w:r>
    </w:p>
    <w:p>
      <w:pPr>
        <w:spacing w:after="0" w:line="1" w:lineRule="exact"/>
        <w:rPr>
          <w:rFonts w:ascii="Courier New" w:cs="Courier New" w:eastAsia="Courier New" w:hAnsi="Courier New"/>
          <w:sz w:val="15"/>
          <w:szCs w:val="15"/>
          <w:color w:val="auto"/>
        </w:rPr>
      </w:pPr>
    </w:p>
    <w:p>
      <w:pPr>
        <w:ind w:left="448" w:right="377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undertake, conduct, assist, promote or engage in any scientific, technical or business research and development;</w:t>
      </w:r>
    </w:p>
    <w:p>
      <w:pPr>
        <w:spacing w:after="0" w:line="1" w:lineRule="exact"/>
        <w:rPr>
          <w:rFonts w:ascii="Courier New" w:cs="Courier New" w:eastAsia="Courier New" w:hAnsi="Courier New"/>
          <w:sz w:val="15"/>
          <w:szCs w:val="15"/>
          <w:color w:val="auto"/>
        </w:rPr>
      </w:pPr>
    </w:p>
    <w:p>
      <w:pPr>
        <w:ind w:left="448" w:right="325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5"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4"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 w:lineRule="exact"/>
        <w:rPr>
          <w:rFonts w:ascii="Courier New" w:cs="Courier New" w:eastAsia="Courier New" w:hAnsi="Courier New"/>
          <w:sz w:val="15"/>
          <w:szCs w:val="15"/>
          <w:color w:val="auto"/>
        </w:rPr>
      </w:pPr>
    </w:p>
    <w:p>
      <w:pPr>
        <w:ind w:left="448" w:right="3159" w:hanging="448"/>
        <w:spacing w:after="0" w:line="260" w:lineRule="auto"/>
        <w:tabs>
          <w:tab w:leader="none" w:pos="4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ind w:left="448" w:hanging="448"/>
        <w:spacing w:after="0"/>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place in trust all or any of its properties, including securities.</w:t>
      </w:r>
    </w:p>
    <w:p>
      <w:pPr>
        <w:spacing w:after="0" w:line="2" w:lineRule="exact"/>
        <w:rPr>
          <w:sz w:val="20"/>
          <w:szCs w:val="20"/>
          <w:color w:val="auto"/>
        </w:rPr>
      </w:pPr>
    </w:p>
    <w:p>
      <w:pPr>
        <w:ind w:left="448" w:right="3519" w:hanging="446"/>
        <w:spacing w:after="0" w:line="281" w:lineRule="auto"/>
        <w:rPr>
          <w:sz w:val="20"/>
          <w:szCs w:val="20"/>
          <w:color w:val="auto"/>
        </w:rPr>
      </w:pPr>
      <w:r>
        <w:rPr>
          <w:rFonts w:ascii="Courier New" w:cs="Courier New" w:eastAsia="Courier New" w:hAnsi="Courier New"/>
          <w:sz w:val="15"/>
          <w:szCs w:val="15"/>
          <w:color w:val="auto"/>
        </w:rPr>
        <w:t>2.2. The Company is entitled to do all that in any way may be useful or necessary for the attainment of the above objects or that is connected therewith in the widest sense.</w:t>
      </w:r>
    </w:p>
    <w:p>
      <w:pPr>
        <w:spacing w:after="0" w:line="6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7"/>
          </w:cols>
          <w:pgMar w:left="232" w:top="607" w:right="1440" w:bottom="1440" w:gutter="0" w:footer="0" w:header="0"/>
        </w:sectPr>
      </w:pPr>
    </w:p>
    <w:bookmarkStart w:id="25" w:name="page26"/>
    <w:bookmarkEnd w:id="25"/>
    <w:p>
      <w:pPr>
        <w:ind w:left="3120"/>
        <w:spacing w:after="0"/>
        <w:rPr>
          <w:sz w:val="20"/>
          <w:szCs w:val="20"/>
          <w:color w:val="auto"/>
        </w:rPr>
      </w:pPr>
      <w:r>
        <w:rPr>
          <w:rFonts w:ascii="Courier New" w:cs="Courier New" w:eastAsia="Courier New" w:hAnsi="Courier New"/>
          <w:sz w:val="15"/>
          <w:szCs w:val="15"/>
          <w:color w:val="auto"/>
        </w:rPr>
        <w:t>DURATION</w:t>
      </w:r>
    </w:p>
    <w:p>
      <w:pPr>
        <w:spacing w:after="0" w:line="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shall have perpetual existence.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CAPITAL AND SHARES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4</w:t>
      </w:r>
    </w:p>
    <w:p>
      <w:pPr>
        <w:spacing w:after="0" w:line="2"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4.1. The authorized capital of the Company shall be SEVENTEEN MILLION UNITED STATES DOLLARS (US$17,000,000.-), divided into (a) one billion five hundred million (1,500,000,000) shares of common stock of the par value of One United States Cent (US$0.01) per share and (b) two hundred million (200,000,000) shares of preferred stock of the par value of One United States Cent (US$0.01) per share, which may be issued in different series.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"shareholders".</w:t>
      </w:r>
    </w:p>
    <w:p>
      <w:pPr>
        <w:spacing w:after="0" w:line="7" w:lineRule="exact"/>
        <w:rPr>
          <w:sz w:val="20"/>
          <w:szCs w:val="20"/>
          <w:color w:val="auto"/>
        </w:rPr>
      </w:pPr>
    </w:p>
    <w:p>
      <w:pPr>
        <w:ind w:left="440" w:right="3439" w:hanging="446"/>
        <w:spacing w:after="0" w:line="260" w:lineRule="auto"/>
        <w:rPr>
          <w:sz w:val="20"/>
          <w:szCs w:val="20"/>
          <w:color w:val="auto"/>
        </w:rPr>
      </w:pPr>
      <w:r>
        <w:rPr>
          <w:rFonts w:ascii="Courier New" w:cs="Courier New" w:eastAsia="Courier New" w:hAnsi="Courier New"/>
          <w:sz w:val="14"/>
          <w:szCs w:val="14"/>
          <w:color w:val="auto"/>
        </w:rPr>
        <w:t>4.2. Common shares representing more than twenty percent (20%) of the authorized capital of the Company have been duly issued and fully paid.</w:t>
      </w: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4.3.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3"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4.4. With respect to the issuance of shares, options, warrants or rights to purchase or subscribe for shares the Board of Directors may enter into and conclude agreements without necessity of any action by the general meeting of shareholders:</w:t>
      </w:r>
    </w:p>
    <w:p>
      <w:pPr>
        <w:spacing w:after="0" w:line="3" w:lineRule="exact"/>
        <w:rPr>
          <w:sz w:val="20"/>
          <w:szCs w:val="20"/>
          <w:color w:val="auto"/>
        </w:rPr>
      </w:pPr>
    </w:p>
    <w:p>
      <w:pPr>
        <w:ind w:left="880" w:right="3439" w:hanging="441"/>
        <w:spacing w:after="0" w:line="242" w:lineRule="auto"/>
        <w:tabs>
          <w:tab w:leader="none" w:pos="105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imposing special obligations upon the Company in connection with the purchase of or subscription for shares;</w:t>
      </w:r>
    </w:p>
    <w:p>
      <w:pPr>
        <w:spacing w:after="0" w:line="1" w:lineRule="exact"/>
        <w:rPr>
          <w:rFonts w:ascii="Courier New" w:cs="Courier New" w:eastAsia="Courier New" w:hAnsi="Courier New"/>
          <w:sz w:val="15"/>
          <w:szCs w:val="15"/>
          <w:color w:val="auto"/>
        </w:rPr>
      </w:pPr>
    </w:p>
    <w:p>
      <w:pPr>
        <w:ind w:left="880" w:right="3259" w:hanging="441"/>
        <w:spacing w:after="0" w:line="242" w:lineRule="auto"/>
        <w:tabs>
          <w:tab w:leader="none" w:pos="105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concerning the issue of shares on a basis other than that on which participation in the Company is open to the public; or</w:t>
      </w:r>
    </w:p>
    <w:p>
      <w:pPr>
        <w:spacing w:after="0" w:line="1" w:lineRule="exact"/>
        <w:rPr>
          <w:rFonts w:ascii="Courier New" w:cs="Courier New" w:eastAsia="Courier New" w:hAnsi="Courier New"/>
          <w:sz w:val="15"/>
          <w:szCs w:val="15"/>
          <w:color w:val="auto"/>
        </w:rPr>
      </w:pPr>
    </w:p>
    <w:p>
      <w:pPr>
        <w:ind w:left="880" w:right="3339" w:hanging="441"/>
        <w:spacing w:after="0" w:line="242" w:lineRule="auto"/>
        <w:tabs>
          <w:tab w:leader="none" w:pos="105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for the payment for shares by means other than by legal tender of the Netherlands Antilles.</w:t>
      </w:r>
    </w:p>
    <w:p>
      <w:pPr>
        <w:spacing w:after="0" w:line="1"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4.5. Subject to the provisions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 Prior to the issuance of any series of preferred shares, the Board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Directors shall specify:</w:t>
      </w:r>
    </w:p>
    <w:p>
      <w:pPr>
        <w:spacing w:after="0" w:line="2" w:lineRule="exact"/>
        <w:rPr>
          <w:sz w:val="20"/>
          <w:szCs w:val="20"/>
          <w:color w:val="auto"/>
        </w:rPr>
      </w:pPr>
    </w:p>
    <w:p>
      <w:pPr>
        <w:ind w:left="880" w:right="3779" w:hanging="441"/>
        <w:spacing w:after="0" w:line="242" w:lineRule="auto"/>
        <w:tabs>
          <w:tab w:leader="none" w:pos="105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distinctive designation of such series and the number of preferred shares to constitute such series;</w:t>
      </w:r>
    </w:p>
    <w:p>
      <w:pPr>
        <w:spacing w:after="0" w:line="1" w:lineRule="exact"/>
        <w:rPr>
          <w:rFonts w:ascii="Courier New" w:cs="Courier New" w:eastAsia="Courier New" w:hAnsi="Courier New"/>
          <w:sz w:val="15"/>
          <w:szCs w:val="15"/>
          <w:color w:val="auto"/>
        </w:rPr>
      </w:pPr>
    </w:p>
    <w:p>
      <w:pPr>
        <w:ind w:left="880" w:right="3159" w:hanging="441"/>
        <w:spacing w:after="0" w:line="242" w:lineRule="auto"/>
        <w:tabs>
          <w:tab w:leader="none" w:pos="105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4" w:lineRule="exact"/>
        <w:rPr>
          <w:rFonts w:ascii="Courier New" w:cs="Courier New" w:eastAsia="Courier New" w:hAnsi="Courier New"/>
          <w:sz w:val="15"/>
          <w:szCs w:val="15"/>
          <w:color w:val="auto"/>
        </w:rPr>
      </w:pPr>
    </w:p>
    <w:p>
      <w:pPr>
        <w:ind w:left="1420" w:right="3159" w:hanging="444"/>
        <w:spacing w:after="0" w:line="253" w:lineRule="auto"/>
        <w:tabs>
          <w:tab w:leader="none" w:pos="1599"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8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07" w:right="1440" w:bottom="1440" w:gutter="0" w:footer="0" w:header="0"/>
        </w:sectPr>
      </w:pPr>
    </w:p>
    <w:bookmarkStart w:id="26" w:name="page27"/>
    <w:bookmarkEnd w:id="26"/>
    <w:p>
      <w:pPr>
        <w:ind w:left="1420" w:right="3159" w:hanging="444"/>
        <w:spacing w:after="0" w:line="248" w:lineRule="auto"/>
        <w:tabs>
          <w:tab w:leader="none" w:pos="159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3" w:lineRule="exact"/>
        <w:rPr>
          <w:rFonts w:ascii="Courier New" w:cs="Courier New" w:eastAsia="Courier New" w:hAnsi="Courier New"/>
          <w:sz w:val="15"/>
          <w:szCs w:val="15"/>
          <w:color w:val="auto"/>
        </w:rPr>
      </w:pPr>
    </w:p>
    <w:p>
      <w:pPr>
        <w:ind w:left="880" w:right="4319" w:hanging="441"/>
        <w:spacing w:after="0" w:line="242" w:lineRule="auto"/>
        <w:tabs>
          <w:tab w:leader="none" w:pos="105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dividends shall be payable annually or in installments;</w:t>
      </w:r>
    </w:p>
    <w:p>
      <w:pPr>
        <w:spacing w:after="0" w:line="1" w:lineRule="exact"/>
        <w:rPr>
          <w:rFonts w:ascii="Courier New" w:cs="Courier New" w:eastAsia="Courier New" w:hAnsi="Courier New"/>
          <w:sz w:val="15"/>
          <w:szCs w:val="15"/>
          <w:color w:val="auto"/>
        </w:rPr>
      </w:pPr>
    </w:p>
    <w:p>
      <w:pPr>
        <w:ind w:left="880" w:right="3439" w:hanging="441"/>
        <w:spacing w:after="0" w:line="242" w:lineRule="auto"/>
        <w:tabs>
          <w:tab w:leader="none" w:pos="105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3" w:lineRule="exact"/>
        <w:rPr>
          <w:rFonts w:ascii="Courier New" w:cs="Courier New" w:eastAsia="Courier New" w:hAnsi="Courier New"/>
          <w:sz w:val="15"/>
          <w:szCs w:val="15"/>
          <w:color w:val="auto"/>
        </w:rPr>
      </w:pPr>
    </w:p>
    <w:p>
      <w:pPr>
        <w:ind w:left="880" w:right="3159" w:hanging="441"/>
        <w:spacing w:after="0" w:line="242" w:lineRule="auto"/>
        <w:tabs>
          <w:tab w:leader="none" w:pos="105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6" w:lineRule="exact"/>
        <w:rPr>
          <w:rFonts w:ascii="Courier New" w:cs="Courier New" w:eastAsia="Courier New" w:hAnsi="Courier New"/>
          <w:sz w:val="15"/>
          <w:szCs w:val="15"/>
          <w:color w:val="auto"/>
        </w:rPr>
      </w:pPr>
    </w:p>
    <w:p>
      <w:pPr>
        <w:ind w:left="880" w:right="3779" w:hanging="441"/>
        <w:spacing w:after="0" w:line="242" w:lineRule="auto"/>
        <w:tabs>
          <w:tab w:leader="none" w:pos="105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and conditions of such series which are not inconsistent with these articles of association or Netherlands Antilles law.</w:t>
      </w:r>
    </w:p>
    <w:p>
      <w:pPr>
        <w:spacing w:after="0" w:line="2" w:lineRule="exact"/>
        <w:rPr>
          <w:sz w:val="20"/>
          <w:szCs w:val="20"/>
          <w:color w:val="auto"/>
        </w:rPr>
      </w:pPr>
    </w:p>
    <w:p>
      <w:pPr>
        <w:ind w:left="440" w:right="3599" w:hanging="446"/>
        <w:spacing w:after="0" w:line="242" w:lineRule="auto"/>
        <w:rPr>
          <w:sz w:val="20"/>
          <w:szCs w:val="20"/>
          <w:color w:val="auto"/>
        </w:rPr>
      </w:pPr>
      <w:r>
        <w:rPr>
          <w:rFonts w:ascii="Courier New" w:cs="Courier New" w:eastAsia="Courier New" w:hAnsi="Courier New"/>
          <w:sz w:val="15"/>
          <w:szCs w:val="15"/>
          <w:color w:val="auto"/>
        </w:rPr>
        <w:t>4.7. Certificates for preferred shares may be issued bearing a legend describing the terms and conditions thereof specified by the Board of Directors.</w:t>
      </w:r>
    </w:p>
    <w:p>
      <w:pPr>
        <w:spacing w:after="0" w:line="2" w:lineRule="exact"/>
        <w:rPr>
          <w:sz w:val="20"/>
          <w:szCs w:val="20"/>
          <w:color w:val="auto"/>
        </w:rPr>
      </w:pPr>
    </w:p>
    <w:p>
      <w:pPr>
        <w:jc w:val="both"/>
        <w:ind w:left="440" w:right="3159" w:hanging="446"/>
        <w:spacing w:after="0" w:line="260" w:lineRule="auto"/>
        <w:rPr>
          <w:sz w:val="20"/>
          <w:szCs w:val="20"/>
          <w:color w:val="auto"/>
        </w:rPr>
      </w:pPr>
      <w:r>
        <w:rPr>
          <w:rFonts w:ascii="Courier New" w:cs="Courier New" w:eastAsia="Courier New" w:hAnsi="Courier New"/>
          <w:sz w:val="14"/>
          <w:szCs w:val="14"/>
          <w:color w:val="auto"/>
        </w:rPr>
        <w:t>4.8. Preferred shares of all series shall rank prior to the common shares with respect to dividend and liquidation preferences as determined by the Board of Directors at the time of issuance of any series of preferred shares.</w:t>
      </w:r>
    </w:p>
    <w:p>
      <w:pPr>
        <w:spacing w:after="0" w:line="1"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Any series of preferred shares 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3"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4.9. 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4" w:lineRule="exact"/>
        <w:rPr>
          <w:sz w:val="20"/>
          <w:szCs w:val="20"/>
          <w:color w:val="auto"/>
        </w:rPr>
      </w:pPr>
    </w:p>
    <w:p>
      <w:pPr>
        <w:ind w:left="1060" w:hanging="621"/>
        <w:spacing w:after="0"/>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paid for such preferred shares on issuance, plus</w:t>
      </w:r>
    </w:p>
    <w:p>
      <w:pPr>
        <w:spacing w:after="0" w:line="2" w:lineRule="exact"/>
        <w:rPr>
          <w:rFonts w:ascii="Courier New" w:cs="Courier New" w:eastAsia="Courier New" w:hAnsi="Courier New"/>
          <w:sz w:val="15"/>
          <w:szCs w:val="15"/>
          <w:color w:val="auto"/>
        </w:rPr>
      </w:pPr>
    </w:p>
    <w:p>
      <w:pPr>
        <w:ind w:left="880" w:right="3439" w:hanging="441"/>
        <w:spacing w:after="0" w:line="242" w:lineRule="auto"/>
        <w:tabs>
          <w:tab w:leader="none" w:pos="10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accumulated and unpaid dividends on such preferred shares to the date fixed for distribution.</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5</w:t>
      </w:r>
    </w:p>
    <w:p>
      <w:pPr>
        <w:spacing w:after="0" w:line="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6</w:t>
      </w:r>
    </w:p>
    <w:p>
      <w:pPr>
        <w:spacing w:after="0" w:line="2" w:lineRule="exact"/>
        <w:rPr>
          <w:sz w:val="20"/>
          <w:szCs w:val="20"/>
          <w:color w:val="auto"/>
        </w:rPr>
      </w:pPr>
    </w:p>
    <w:p>
      <w:pPr>
        <w:ind w:left="440" w:right="3159" w:hanging="446"/>
        <w:spacing w:after="0" w:line="253" w:lineRule="auto"/>
        <w:rPr>
          <w:sz w:val="20"/>
          <w:szCs w:val="20"/>
          <w:color w:val="auto"/>
        </w:rPr>
      </w:pPr>
      <w:r>
        <w:rPr>
          <w:rFonts w:ascii="Courier New" w:cs="Courier New" w:eastAsia="Courier New" w:hAnsi="Courier New"/>
          <w:sz w:val="15"/>
          <w:szCs w:val="15"/>
          <w:color w:val="auto"/>
        </w:rPr>
        <w:t>6.1. The Company may, for its own account and for valuable consideration, from time to time acquire fully paid shares of its stock, on such terms and conditions as the Board of Directors may determine, provided that at least one-fifth part of its authorized capital remains outstanding with others than the Company. The authority to make any such acquisition is vested in the Board of Directors. Any shares so acquired may be canceled by the Board of Directors without the prior approval of the general meeting of shareholders.</w:t>
      </w:r>
    </w:p>
    <w:p>
      <w:pPr>
        <w:spacing w:after="0" w:line="8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07" w:right="1440" w:bottom="1440" w:gutter="0" w:footer="0" w:header="0"/>
        </w:sectPr>
      </w:pPr>
    </w:p>
    <w:bookmarkStart w:id="27" w:name="page28"/>
    <w:bookmarkEnd w:id="27"/>
    <w:p>
      <w:pPr>
        <w:ind w:left="440" w:right="3259" w:hanging="446"/>
        <w:spacing w:after="0" w:line="250" w:lineRule="auto"/>
        <w:rPr>
          <w:sz w:val="20"/>
          <w:szCs w:val="20"/>
          <w:color w:val="auto"/>
        </w:rPr>
      </w:pPr>
      <w:r>
        <w:rPr>
          <w:rFonts w:ascii="Courier New" w:cs="Courier New" w:eastAsia="Courier New" w:hAnsi="Courier New"/>
          <w:sz w:val="15"/>
          <w:szCs w:val="15"/>
          <w:color w:val="auto"/>
        </w:rPr>
        <w:t>6.2. The Company shall not acquire any voting rights by reason of ownership of shares of its stock and, in connection with any general meeting of shareholders, shares owned by the Company shall not be counted as outstanding, or as present or represented, for the purpose of determining a quorum or for any other purpose.</w:t>
      </w:r>
    </w:p>
    <w:p>
      <w:pPr>
        <w:spacing w:after="0" w:line="3" w:lineRule="exact"/>
        <w:rPr>
          <w:sz w:val="20"/>
          <w:szCs w:val="20"/>
          <w:color w:val="auto"/>
        </w:rPr>
      </w:pPr>
    </w:p>
    <w:p>
      <w:pPr>
        <w:jc w:val="both"/>
        <w:ind w:left="440" w:right="3259" w:hanging="446"/>
        <w:spacing w:after="0" w:line="242" w:lineRule="auto"/>
        <w:rPr>
          <w:sz w:val="20"/>
          <w:szCs w:val="20"/>
          <w:color w:val="auto"/>
        </w:rPr>
      </w:pPr>
      <w:r>
        <w:rPr>
          <w:rFonts w:ascii="Courier New" w:cs="Courier New" w:eastAsia="Courier New" w:hAnsi="Courier New"/>
          <w:sz w:val="15"/>
          <w:szCs w:val="15"/>
          <w:color w:val="auto"/>
        </w:rPr>
        <w:t>6.3. Shares of its stock owned by the Company may be sold at such times, under such conditions and for such consideration as may be determined from time to time by the Board of Directors.</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Article 7</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4"/>
          <w:szCs w:val="14"/>
          <w:color w:val="auto"/>
        </w:rPr>
        <w:t>7.1. The shares shall be in registered form.</w:t>
      </w:r>
    </w:p>
    <w:p>
      <w:pPr>
        <w:spacing w:after="0" w:line="13" w:lineRule="exact"/>
        <w:rPr>
          <w:sz w:val="20"/>
          <w:szCs w:val="20"/>
          <w:color w:val="auto"/>
        </w:rPr>
      </w:pPr>
    </w:p>
    <w:p>
      <w:pPr>
        <w:ind w:left="440" w:right="3339" w:hanging="446"/>
        <w:spacing w:after="0" w:line="242" w:lineRule="auto"/>
        <w:rPr>
          <w:sz w:val="20"/>
          <w:szCs w:val="20"/>
          <w:color w:val="auto"/>
        </w:rPr>
      </w:pPr>
      <w:r>
        <w:rPr>
          <w:rFonts w:ascii="Courier New" w:cs="Courier New" w:eastAsia="Courier New" w:hAnsi="Courier New"/>
          <w:sz w:val="15"/>
          <w:szCs w:val="15"/>
          <w:color w:val="auto"/>
        </w:rPr>
        <w:t>7.2. Share certificates for common shares may be issued at the request of the shareholder.</w:t>
      </w:r>
    </w:p>
    <w:p>
      <w:pPr>
        <w:spacing w:after="0" w:line="1"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7.3. 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shareholder, his residence or his elected domicile, the quantity of his shares and the numbers of the share certificates, if any, representing such shares. The Register shall not be open for inspection by third parties or shareholders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0"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7.4. Every transfer and devolution of a share shall be entered in the Register and every such entry shall be signed or otherwise acknowledged by or on behalf of the Board of Directors or by the Registrar.</w:t>
      </w:r>
    </w:p>
    <w:p>
      <w:pPr>
        <w:spacing w:after="0" w:line="2" w:lineRule="exact"/>
        <w:rPr>
          <w:sz w:val="20"/>
          <w:szCs w:val="20"/>
          <w:color w:val="auto"/>
        </w:rPr>
      </w:pPr>
    </w:p>
    <w:p>
      <w:pPr>
        <w:ind w:left="440" w:right="3159" w:hanging="446"/>
        <w:spacing w:after="0" w:line="242" w:lineRule="auto"/>
        <w:rPr>
          <w:sz w:val="20"/>
          <w:szCs w:val="20"/>
          <w:color w:val="auto"/>
        </w:rPr>
      </w:pPr>
      <w:r>
        <w:rPr>
          <w:rFonts w:ascii="Courier New" w:cs="Courier New" w:eastAsia="Courier New" w:hAnsi="Courier New"/>
          <w:sz w:val="15"/>
          <w:szCs w:val="15"/>
          <w:color w:val="auto"/>
        </w:rPr>
        <w:t>7.5. The transfer of shares shall be effected either by serving a deed of transfer upon the Company or by written acknowledgment of the transfer by the Company, which acknowledgement can only take place by an annotation on the share certificate, if share certificates have been issued.</w:t>
      </w:r>
    </w:p>
    <w:p>
      <w:pPr>
        <w:spacing w:after="0" w:line="3"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7.6. The entry in the Register provided for in paragraphs 3 and 4 of this Article shall have the effect of a written acknowledgment of the transfer by the Company in the event no share certificate has been issued for the shares concerned.</w:t>
      </w:r>
    </w:p>
    <w:p>
      <w:pPr>
        <w:spacing w:after="0" w:line="3" w:lineRule="exact"/>
        <w:rPr>
          <w:sz w:val="20"/>
          <w:szCs w:val="20"/>
          <w:color w:val="auto"/>
        </w:rPr>
      </w:pPr>
    </w:p>
    <w:p>
      <w:pPr>
        <w:ind w:left="440" w:right="3159" w:hanging="446"/>
        <w:spacing w:after="0" w:line="260" w:lineRule="auto"/>
        <w:rPr>
          <w:sz w:val="20"/>
          <w:szCs w:val="20"/>
          <w:color w:val="auto"/>
        </w:rPr>
      </w:pPr>
      <w:r>
        <w:rPr>
          <w:rFonts w:ascii="Courier New" w:cs="Courier New" w:eastAsia="Courier New" w:hAnsi="Courier New"/>
          <w:sz w:val="14"/>
          <w:szCs w:val="14"/>
          <w:color w:val="auto"/>
        </w:rPr>
        <w:t>7.7. If any shareholder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shareholder.</w:t>
      </w:r>
    </w:p>
    <w:p>
      <w:pPr>
        <w:spacing w:after="0" w:line="3"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MANAGEMENT</w:t>
      </w:r>
    </w:p>
    <w:p>
      <w:pPr>
        <w:spacing w:after="0" w:line="2"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Article 8</w:t>
      </w:r>
    </w:p>
    <w:p>
      <w:pPr>
        <w:spacing w:after="0" w:line="2" w:lineRule="exact"/>
        <w:rPr>
          <w:sz w:val="20"/>
          <w:szCs w:val="20"/>
          <w:color w:val="auto"/>
        </w:rPr>
      </w:pPr>
    </w:p>
    <w:p>
      <w:pPr>
        <w:ind w:left="440" w:right="3259" w:hanging="446"/>
        <w:spacing w:after="0" w:line="242" w:lineRule="auto"/>
        <w:rPr>
          <w:sz w:val="20"/>
          <w:szCs w:val="20"/>
          <w:color w:val="auto"/>
        </w:rPr>
      </w:pPr>
      <w:r>
        <w:rPr>
          <w:rFonts w:ascii="Courier New" w:cs="Courier New" w:eastAsia="Courier New" w:hAnsi="Courier New"/>
          <w:sz w:val="15"/>
          <w:szCs w:val="15"/>
          <w:color w:val="auto"/>
        </w:rPr>
        <w:t>8.1. The management of all the affairs, property and business of the Company shall be vested in a Board of Directors, who shall have and may exercise all powers except such as are exclusively conferred upon the shareholders by law or by these Articles of Association.</w:t>
      </w:r>
    </w:p>
    <w:p>
      <w:pPr>
        <w:spacing w:after="0" w:line="3" w:lineRule="exact"/>
        <w:rPr>
          <w:sz w:val="20"/>
          <w:szCs w:val="20"/>
          <w:color w:val="auto"/>
        </w:rPr>
      </w:pPr>
    </w:p>
    <w:p>
      <w:pPr>
        <w:ind w:left="440" w:right="3259" w:hanging="446"/>
        <w:spacing w:after="0" w:line="255" w:lineRule="auto"/>
        <w:rPr>
          <w:sz w:val="20"/>
          <w:szCs w:val="20"/>
          <w:color w:val="auto"/>
        </w:rPr>
      </w:pPr>
      <w:r>
        <w:rPr>
          <w:rFonts w:ascii="Courier New" w:cs="Courier New" w:eastAsia="Courier New" w:hAnsi="Courier New"/>
          <w:sz w:val="15"/>
          <w:szCs w:val="15"/>
          <w:color w:val="auto"/>
        </w:rPr>
        <w:t>8.2. The directors shall be elected at a general meeting of shareholders by a majority of votes cast, in person or by proxy, by the shareholders entitled to vote. The number of persons constituting the whole Board of Directors shall be not less than five nor more than twenty-four, as fixed and elected by the general meeting of shareholders. The number of persons constituting the whole Board of Directors shall, until changed at any succeeding general meeting of shareholders, be</w:t>
      </w:r>
    </w:p>
    <w:p>
      <w:pPr>
        <w:spacing w:after="0" w:line="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07" w:right="1440" w:bottom="1440" w:gutter="0" w:footer="0" w:header="0"/>
        </w:sectPr>
      </w:pPr>
    </w:p>
    <w:bookmarkStart w:id="28" w:name="page29"/>
    <w:bookmarkEnd w:id="28"/>
    <w:p>
      <w:pPr>
        <w:ind w:right="3159"/>
        <w:spacing w:after="0" w:line="249" w:lineRule="auto"/>
        <w:rPr>
          <w:sz w:val="20"/>
          <w:szCs w:val="20"/>
          <w:color w:val="auto"/>
        </w:rPr>
      </w:pPr>
      <w:r>
        <w:rPr>
          <w:rFonts w:ascii="Courier New" w:cs="Courier New" w:eastAsia="Courier New" w:hAnsi="Courier New"/>
          <w:sz w:val="15"/>
          <w:szCs w:val="15"/>
          <w:color w:val="auto"/>
        </w:rPr>
        <w:t>the number so fixed and elected. Directors may be suspended or dismissed at any general meeting of shareholders. At any general meeting of shareholders at which action is taken to increase the number of the whole Board of Directors or to suspend or dismiss a director, or at any subsequent general meeting, the shareholders may fill any vacancy or vacancies created by such action.</w:t>
      </w:r>
    </w:p>
    <w:p>
      <w:pPr>
        <w:spacing w:after="0" w:line="2" w:lineRule="exact"/>
        <w:rPr>
          <w:sz w:val="20"/>
          <w:szCs w:val="20"/>
          <w:color w:val="auto"/>
        </w:rPr>
      </w:pPr>
    </w:p>
    <w:p>
      <w:pPr>
        <w:jc w:val="both"/>
        <w:ind w:right="3519" w:hanging="536"/>
        <w:spacing w:after="0" w:line="242" w:lineRule="auto"/>
        <w:rPr>
          <w:sz w:val="20"/>
          <w:szCs w:val="20"/>
          <w:color w:val="auto"/>
        </w:rPr>
      </w:pPr>
      <w:r>
        <w:rPr>
          <w:rFonts w:ascii="Courier New" w:cs="Courier New" w:eastAsia="Courier New" w:hAnsi="Courier New"/>
          <w:sz w:val="15"/>
          <w:szCs w:val="15"/>
          <w:color w:val="auto"/>
        </w:rPr>
        <w:t>8.3.</w:t>
      </w:r>
      <w:r>
        <w:rPr>
          <w:sz w:val="20"/>
          <w:szCs w:val="20"/>
          <w:color w:val="auto"/>
        </w:rPr>
        <w:t xml:space="preserve"> </w:t>
      </w:r>
      <w:r>
        <w:rPr>
          <w:rFonts w:ascii="Courier New" w:cs="Courier New" w:eastAsia="Courier New" w:hAnsi="Courier New"/>
          <w:sz w:val="15"/>
          <w:szCs w:val="15"/>
          <w:color w:val="auto"/>
        </w:rPr>
        <w:t>Each director shall be elected to serve until the next annual general meeting of shareholders and until his successor shall be elected and qualify, or until his death, resignation or removal.</w:t>
      </w:r>
    </w:p>
    <w:p>
      <w:pPr>
        <w:spacing w:after="0" w:line="2" w:lineRule="exact"/>
        <w:rPr>
          <w:sz w:val="20"/>
          <w:szCs w:val="20"/>
          <w:color w:val="auto"/>
        </w:rPr>
      </w:pPr>
    </w:p>
    <w:p>
      <w:pPr>
        <w:ind w:right="3339" w:hanging="536"/>
        <w:spacing w:after="0" w:line="242" w:lineRule="auto"/>
        <w:rPr>
          <w:sz w:val="20"/>
          <w:szCs w:val="20"/>
          <w:color w:val="auto"/>
        </w:rPr>
      </w:pPr>
      <w:r>
        <w:rPr>
          <w:rFonts w:ascii="Courier New" w:cs="Courier New" w:eastAsia="Courier New" w:hAnsi="Courier New"/>
          <w:sz w:val="15"/>
          <w:szCs w:val="15"/>
          <w:color w:val="auto"/>
        </w:rPr>
        <w:t>8.4.</w:t>
      </w:r>
      <w:r>
        <w:rPr>
          <w:sz w:val="20"/>
          <w:szCs w:val="20"/>
          <w:color w:val="auto"/>
        </w:rPr>
        <w:t xml:space="preserve"> </w:t>
      </w:r>
      <w:r>
        <w:rPr>
          <w:rFonts w:ascii="Courier New" w:cs="Courier New" w:eastAsia="Courier New" w:hAnsi="Courier New"/>
          <w:sz w:val="15"/>
          <w:szCs w:val="15"/>
          <w:color w:val="auto"/>
        </w:rPr>
        <w:t>Directors need not be Netherlands Antilles citizens or residents of the Netherlands Antilles or shareholders of the Company.</w:t>
      </w:r>
    </w:p>
    <w:p>
      <w:pPr>
        <w:spacing w:after="0" w:line="1"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5"/>
          <w:szCs w:val="15"/>
          <w:color w:val="auto"/>
        </w:rPr>
        <w:t>8.5.</w:t>
      </w:r>
      <w:r>
        <w:rPr>
          <w:sz w:val="20"/>
          <w:szCs w:val="20"/>
          <w:color w:val="auto"/>
        </w:rPr>
        <w:t xml:space="preserve"> </w:t>
      </w:r>
      <w:r>
        <w:rPr>
          <w:rFonts w:ascii="Courier New" w:cs="Courier New" w:eastAsia="Courier New" w:hAnsi="Courier New"/>
          <w:sz w:val="14"/>
          <w:szCs w:val="14"/>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shareholders, provided that if at any time the number of directors then in office shall be reduced to less than a majority of the number constituting the whole Board of Directors, the remaining directors or director shall forthwith call a general meeting of shareholders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shareholders for the purpose of electing a Board of Directors. Until such general meeting of shareholders is held the person so designated shall only take such acts of management that can not suffer any delay. If no such general meeting of shareholders shall be called, and if no such person shall have been appointed, any person or persons holding in the aggregate at least five percent of the outstanding shares of stock of the Company may call a general meeting of shareholders for the purpose of electing a Board of Directors.</w:t>
      </w:r>
    </w:p>
    <w:p>
      <w:pPr>
        <w:spacing w:after="0" w:line="4" w:lineRule="exact"/>
        <w:rPr>
          <w:sz w:val="20"/>
          <w:szCs w:val="20"/>
          <w:color w:val="auto"/>
        </w:rPr>
      </w:pPr>
    </w:p>
    <w:p>
      <w:pPr>
        <w:ind w:right="3259" w:hanging="536"/>
        <w:spacing w:after="0" w:line="242" w:lineRule="auto"/>
        <w:rPr>
          <w:sz w:val="20"/>
          <w:szCs w:val="20"/>
          <w:color w:val="auto"/>
        </w:rPr>
      </w:pPr>
      <w:r>
        <w:rPr>
          <w:rFonts w:ascii="Courier New" w:cs="Courier New" w:eastAsia="Courier New" w:hAnsi="Courier New"/>
          <w:sz w:val="15"/>
          <w:szCs w:val="15"/>
          <w:color w:val="auto"/>
        </w:rPr>
        <w:t>8.6.</w:t>
      </w:r>
      <w:r>
        <w:rPr>
          <w:sz w:val="20"/>
          <w:szCs w:val="20"/>
          <w:color w:val="auto"/>
        </w:rPr>
        <w:t xml:space="preserve"> </w:t>
      </w:r>
      <w:r>
        <w:rPr>
          <w:rFonts w:ascii="Courier New" w:cs="Courier New" w:eastAsia="Courier New" w:hAnsi="Courier New"/>
          <w:sz w:val="15"/>
          <w:szCs w:val="15"/>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3" w:lineRule="exact"/>
        <w:rPr>
          <w:sz w:val="20"/>
          <w:szCs w:val="20"/>
          <w:color w:val="auto"/>
        </w:rPr>
      </w:pPr>
    </w:p>
    <w:p>
      <w:pPr>
        <w:ind w:right="3959" w:hanging="536"/>
        <w:spacing w:after="0" w:line="242" w:lineRule="auto"/>
        <w:rPr>
          <w:sz w:val="20"/>
          <w:szCs w:val="20"/>
          <w:color w:val="auto"/>
        </w:rPr>
      </w:pPr>
      <w:r>
        <w:rPr>
          <w:rFonts w:ascii="Courier New" w:cs="Courier New" w:eastAsia="Courier New" w:hAnsi="Courier New"/>
          <w:sz w:val="15"/>
          <w:szCs w:val="15"/>
          <w:color w:val="auto"/>
        </w:rPr>
        <w:t>8.7.</w:t>
      </w:r>
      <w:r>
        <w:rPr>
          <w:sz w:val="20"/>
          <w:szCs w:val="20"/>
          <w:color w:val="auto"/>
        </w:rPr>
        <w:t xml:space="preserve"> </w:t>
      </w:r>
      <w:r>
        <w:rPr>
          <w:rFonts w:ascii="Courier New" w:cs="Courier New" w:eastAsia="Courier New" w:hAnsi="Courier New"/>
          <w:sz w:val="15"/>
          <w:szCs w:val="15"/>
          <w:color w:val="auto"/>
        </w:rPr>
        <w:t>Meetings of the Board of Directors may be held in or outside the Netherlands Antilles.</w:t>
      </w:r>
    </w:p>
    <w:p>
      <w:pPr>
        <w:spacing w:after="0" w:line="1" w:lineRule="exact"/>
        <w:rPr>
          <w:sz w:val="20"/>
          <w:szCs w:val="20"/>
          <w:color w:val="auto"/>
        </w:rPr>
      </w:pPr>
    </w:p>
    <w:p>
      <w:pPr>
        <w:ind w:right="3259" w:hanging="536"/>
        <w:spacing w:after="0" w:line="242" w:lineRule="auto"/>
        <w:rPr>
          <w:sz w:val="20"/>
          <w:szCs w:val="20"/>
          <w:color w:val="auto"/>
        </w:rPr>
      </w:pPr>
      <w:r>
        <w:rPr>
          <w:rFonts w:ascii="Courier New" w:cs="Courier New" w:eastAsia="Courier New" w:hAnsi="Courier New"/>
          <w:sz w:val="15"/>
          <w:szCs w:val="15"/>
          <w:color w:val="auto"/>
        </w:rPr>
        <w:t>8.8.</w:t>
      </w:r>
      <w:r>
        <w:rPr>
          <w:sz w:val="20"/>
          <w:szCs w:val="20"/>
          <w:color w:val="auto"/>
        </w:rPr>
        <w:t xml:space="preserve"> </w:t>
      </w:r>
      <w:r>
        <w:rPr>
          <w:rFonts w:ascii="Courier New" w:cs="Courier New" w:eastAsia="Courier New" w:hAnsi="Courier New"/>
          <w:sz w:val="15"/>
          <w:szCs w:val="15"/>
          <w:color w:val="auto"/>
        </w:rPr>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3"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5"/>
          <w:szCs w:val="15"/>
          <w:color w:val="auto"/>
        </w:rPr>
        <w:t>8.9.</w:t>
      </w:r>
      <w:r>
        <w:rPr>
          <w:sz w:val="20"/>
          <w:szCs w:val="20"/>
          <w:color w:val="auto"/>
        </w:rPr>
        <w:t xml:space="preserve"> </w:t>
      </w:r>
      <w:r>
        <w:rPr>
          <w:rFonts w:ascii="Courier New" w:cs="Courier New" w:eastAsia="Courier New" w:hAnsi="Courier New"/>
          <w:sz w:val="14"/>
          <w:szCs w:val="14"/>
          <w:color w:val="auto"/>
        </w:rPr>
        <w:t>Directors may in writing, by telegram, cable, telex,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1"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4"/>
          <w:szCs w:val="14"/>
          <w:color w:val="auto"/>
        </w:rPr>
        <w:t>8.10. When action by the Board of Directors is required or permitted to be taken, action at a meeting may be dispensed with if all commercially reasonable efforts have been taken to notify all the directors and if three fourth of the directors shall consent in writing, by telegram, cable, telex, telefax, electronic mail or other communication device to such action taken or being taken, and provided further that all directors are promptly notified of such action being taken or having been taken.</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Article 9</w:t>
      </w:r>
    </w:p>
    <w:p>
      <w:pPr>
        <w:spacing w:after="0" w:line="2" w:lineRule="exact"/>
        <w:rPr>
          <w:sz w:val="20"/>
          <w:szCs w:val="20"/>
          <w:color w:val="auto"/>
        </w:rPr>
      </w:pPr>
    </w:p>
    <w:p>
      <w:pPr>
        <w:ind w:right="3159" w:hanging="536"/>
        <w:spacing w:after="0" w:line="252" w:lineRule="auto"/>
        <w:rPr>
          <w:sz w:val="20"/>
          <w:szCs w:val="20"/>
          <w:color w:val="auto"/>
        </w:rPr>
      </w:pPr>
      <w:r>
        <w:rPr>
          <w:rFonts w:ascii="Courier New" w:cs="Courier New" w:eastAsia="Courier New" w:hAnsi="Courier New"/>
          <w:sz w:val="15"/>
          <w:szCs w:val="15"/>
          <w:color w:val="auto"/>
        </w:rPr>
        <w:t>9.1.</w:t>
      </w:r>
      <w:r>
        <w:rPr>
          <w:sz w:val="20"/>
          <w:szCs w:val="20"/>
          <w:color w:val="auto"/>
        </w:rPr>
        <w:t xml:space="preserve"> </w:t>
      </w:r>
      <w:r>
        <w:rPr>
          <w:rFonts w:ascii="Courier New" w:cs="Courier New" w:eastAsia="Courier New" w:hAnsi="Courier New"/>
          <w:sz w:val="15"/>
          <w:szCs w:val="15"/>
          <w:color w:val="auto"/>
        </w:rPr>
        <w:t>The Board of Directors shall at least annually elect or appoint the following officers: a Chairman, a Chief Executive Officer, a Secretary and a Treasurer, each to serve until his successor is elected and qualified.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w:t>
      </w:r>
    </w:p>
    <w:p>
      <w:pPr>
        <w:spacing w:after="0" w:line="8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9699"/>
          </w:cols>
          <w:pgMar w:left="760" w:top="607" w:right="1440" w:bottom="1440" w:gutter="0" w:footer="0" w:header="0"/>
        </w:sectPr>
      </w:pPr>
    </w:p>
    <w:bookmarkStart w:id="29" w:name="page30"/>
    <w:bookmarkEnd w:id="29"/>
    <w:p>
      <w:pPr>
        <w:ind w:left="620" w:right="3259"/>
        <w:spacing w:after="0" w:line="247" w:lineRule="auto"/>
        <w:rPr>
          <w:sz w:val="20"/>
          <w:szCs w:val="20"/>
          <w:color w:val="auto"/>
        </w:rPr>
      </w:pPr>
      <w:r>
        <w:rPr>
          <w:rFonts w:ascii="Courier New" w:cs="Courier New" w:eastAsia="Courier New" w:hAnsi="Courier New"/>
          <w:sz w:val="15"/>
          <w:szCs w:val="15"/>
          <w:color w:val="auto"/>
        </w:rPr>
        <w:t>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Association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2" w:lineRule="exact"/>
        <w:rPr>
          <w:sz w:val="20"/>
          <w:szCs w:val="20"/>
          <w:color w:val="auto"/>
        </w:rPr>
      </w:pPr>
    </w:p>
    <w:p>
      <w:pPr>
        <w:ind w:left="620" w:right="3339" w:hanging="625"/>
        <w:spacing w:after="0" w:line="260" w:lineRule="auto"/>
        <w:tabs>
          <w:tab w:leader="none" w:pos="6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The Company shall be represented at law and otherwise, and shall be bound with respect to third parties, by the Board of Directors and by:</w:t>
      </w:r>
    </w:p>
    <w:p>
      <w:pPr>
        <w:ind w:left="620" w:right="3439" w:hanging="2"/>
        <w:spacing w:after="0" w:line="242" w:lineRule="auto"/>
        <w:tabs>
          <w:tab w:leader="none" w:pos="9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directors authorized by the Board of Directors to represent the Company, who shall have the following titles and occupy the following offices:</w:t>
      </w:r>
    </w:p>
    <w:p>
      <w:pPr>
        <w:spacing w:after="0" w:line="2" w:lineRule="exact"/>
        <w:rPr>
          <w:sz w:val="20"/>
          <w:szCs w:val="20"/>
          <w:color w:val="auto"/>
        </w:rPr>
      </w:pPr>
    </w:p>
    <w:p>
      <w:pPr>
        <w:ind w:left="1240" w:hanging="622"/>
        <w:spacing w:after="0"/>
        <w:tabs>
          <w:tab w:leader="none" w:pos="12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Vice-Chairman;</w:t>
      </w:r>
    </w:p>
    <w:p>
      <w:pPr>
        <w:spacing w:after="0" w:line="2" w:lineRule="exact"/>
        <w:rPr>
          <w:sz w:val="20"/>
          <w:szCs w:val="20"/>
          <w:color w:val="auto"/>
        </w:rPr>
      </w:pPr>
    </w:p>
    <w:p>
      <w:pPr>
        <w:ind w:left="620" w:right="3259" w:hanging="2"/>
        <w:spacing w:after="0" w:line="242" w:lineRule="auto"/>
        <w:tabs>
          <w:tab w:leader="none" w:pos="97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who may, but are not required to, be directors, authorized by the Board of Directors to represent the Company, who shall have the following titles and occupy the following offices:</w:t>
      </w:r>
    </w:p>
    <w:p>
      <w:pPr>
        <w:spacing w:after="0" w:line="2" w:lineRule="exact"/>
        <w:rPr>
          <w:sz w:val="20"/>
          <w:szCs w:val="20"/>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Executive Vice Presidents;</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Vice Presidents;</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Operating Officer;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Controller;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or</w:t>
      </w:r>
    </w:p>
    <w:p>
      <w:pPr>
        <w:spacing w:after="0" w:line="2" w:lineRule="exact"/>
        <w:rPr>
          <w:rFonts w:ascii="Courier New" w:cs="Courier New" w:eastAsia="Courier New" w:hAnsi="Courier New"/>
          <w:sz w:val="15"/>
          <w:szCs w:val="15"/>
          <w:color w:val="auto"/>
        </w:rPr>
      </w:pPr>
    </w:p>
    <w:p>
      <w:pPr>
        <w:ind w:left="1240" w:hanging="622"/>
        <w:spacing w:after="0"/>
        <w:tabs>
          <w:tab w:leader="none" w:pos="12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w:t>
      </w:r>
    </w:p>
    <w:p>
      <w:pPr>
        <w:spacing w:after="0" w:line="2" w:lineRule="exact"/>
        <w:rPr>
          <w:sz w:val="20"/>
          <w:szCs w:val="20"/>
          <w:color w:val="auto"/>
        </w:rPr>
      </w:pPr>
    </w:p>
    <w:p>
      <w:pPr>
        <w:ind w:left="620" w:right="32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The Board of Directors may also from time to time authorize other persons, who may or may not be directors, to represent the Company, who shall have such titles and occupy such additional offices as the Board of Directors may determine.</w:t>
      </w:r>
    </w:p>
    <w:p>
      <w:pPr>
        <w:spacing w:after="0" w:line="3" w:lineRule="exact"/>
        <w:rPr>
          <w:sz w:val="20"/>
          <w:szCs w:val="20"/>
          <w:color w:val="auto"/>
        </w:rPr>
      </w:pPr>
    </w:p>
    <w:p>
      <w:pPr>
        <w:ind w:left="620" w:right="31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The general meeting of shareholders may grant specific authority to the Chief Executive Officer, the President or any member of the Board of Directors to represent the Company with respect to any particular matter as specified by such general meeting of shareholders.</w:t>
      </w:r>
    </w:p>
    <w:p>
      <w:pPr>
        <w:spacing w:after="0" w:line="3" w:lineRule="exact"/>
        <w:rPr>
          <w:sz w:val="20"/>
          <w:szCs w:val="20"/>
          <w:color w:val="auto"/>
        </w:rPr>
      </w:pPr>
    </w:p>
    <w:p>
      <w:pPr>
        <w:ind w:left="620" w:right="31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3" w:lineRule="exact"/>
        <w:rPr>
          <w:sz w:val="20"/>
          <w:szCs w:val="20"/>
          <w:color w:val="auto"/>
        </w:rPr>
      </w:pPr>
    </w:p>
    <w:p>
      <w:pPr>
        <w:ind w:left="620" w:right="3519" w:hanging="625"/>
        <w:spacing w:after="0" w:line="260" w:lineRule="auto"/>
        <w:tabs>
          <w:tab w:leader="none" w:pos="60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The Board of Directors may grant general or specific authority to additional agents or to committees, giving such agents or committees such general or limited powers or duties as it may deem appropriate.</w:t>
      </w:r>
    </w:p>
    <w:p>
      <w:pPr>
        <w:spacing w:after="0" w:line="1" w:lineRule="exact"/>
        <w:rPr>
          <w:sz w:val="20"/>
          <w:szCs w:val="20"/>
          <w:color w:val="auto"/>
        </w:rPr>
      </w:pPr>
    </w:p>
    <w:p>
      <w:pPr>
        <w:ind w:left="620" w:right="31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In the event of a conflict of interest between the Company and one or more directors, the Company shall be represented as determined from time to time by the Board of Directors.</w:t>
      </w:r>
    </w:p>
    <w:p>
      <w:pPr>
        <w:spacing w:after="0" w:line="2" w:lineRule="exact"/>
        <w:rPr>
          <w:sz w:val="20"/>
          <w:szCs w:val="20"/>
          <w:color w:val="auto"/>
        </w:rPr>
      </w:pPr>
    </w:p>
    <w:p>
      <w:pPr>
        <w:jc w:val="center"/>
        <w:ind w:right="3439"/>
        <w:spacing w:after="0"/>
        <w:tabs>
          <w:tab w:leader="none" w:pos="26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4"/>
          <w:szCs w:val="14"/>
          <w:color w:val="auto"/>
        </w:rPr>
        <w:t>The Board of Directors may adopt and may amend and repeal such rules,</w:t>
      </w:r>
    </w:p>
    <w:p>
      <w:pPr>
        <w:spacing w:after="0" w:line="2" w:lineRule="exact"/>
        <w:rPr>
          <w:sz w:val="20"/>
          <w:szCs w:val="20"/>
          <w:color w:val="auto"/>
        </w:rPr>
      </w:pPr>
    </w:p>
    <w:p>
      <w:pPr>
        <w:ind w:left="620" w:right="3159"/>
        <w:spacing w:after="0" w:line="242" w:lineRule="auto"/>
        <w:rPr>
          <w:sz w:val="20"/>
          <w:szCs w:val="20"/>
          <w:color w:val="auto"/>
        </w:rPr>
      </w:pPr>
      <w:r>
        <w:rPr>
          <w:rFonts w:ascii="Courier New" w:cs="Courier New" w:eastAsia="Courier New" w:hAnsi="Courier New"/>
          <w:sz w:val="15"/>
          <w:szCs w:val="15"/>
          <w:color w:val="auto"/>
        </w:rPr>
        <w:t>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Association.</w:t>
      </w:r>
    </w:p>
    <w:p>
      <w:pPr>
        <w:spacing w:after="0" w:line="5" w:lineRule="exact"/>
        <w:rPr>
          <w:sz w:val="20"/>
          <w:szCs w:val="20"/>
          <w:color w:val="auto"/>
        </w:rPr>
      </w:pPr>
    </w:p>
    <w:p>
      <w:pPr>
        <w:ind w:left="620" w:right="3259" w:hanging="625"/>
        <w:spacing w:after="0" w:line="242" w:lineRule="auto"/>
        <w:tabs>
          <w:tab w:leader="none" w:pos="60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The directors, the holders of the above-mentioned offices and other persons authorized by the Board of Directors to represent the Company shall receive such compensation as the Board of Directors may from time to time prescribe.</w:t>
      </w:r>
    </w:p>
    <w:p>
      <w:pPr>
        <w:spacing w:after="0" w:line="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10</w:t>
      </w:r>
    </w:p>
    <w:p>
      <w:pPr>
        <w:spacing w:after="0" w:line="2" w:lineRule="exact"/>
        <w:rPr>
          <w:sz w:val="20"/>
          <w:szCs w:val="20"/>
          <w:color w:val="auto"/>
        </w:rPr>
      </w:pPr>
    </w:p>
    <w:p>
      <w:pPr>
        <w:ind w:left="620" w:right="3159" w:hanging="625"/>
        <w:spacing w:after="0" w:line="268" w:lineRule="auto"/>
        <w:tabs>
          <w:tab w:leader="none" w:pos="600" w:val="left"/>
        </w:tabs>
        <w:rPr>
          <w:sz w:val="20"/>
          <w:szCs w:val="20"/>
          <w:color w:val="auto"/>
        </w:rPr>
      </w:pPr>
      <w:r>
        <w:rPr>
          <w:rFonts w:ascii="Courier New" w:cs="Courier New" w:eastAsia="Courier New" w:hAnsi="Courier New"/>
          <w:sz w:val="15"/>
          <w:szCs w:val="15"/>
          <w:color w:val="auto"/>
        </w:rPr>
        <w:t>10.1.</w:t>
        <w:tab/>
        <w:t>The Company shall have the power to indemnify any person who was or is a party or is threatened to be made a party to any threatened, pending or completed action, suit or proceeding, whether civil, criminal, administrative or investigative (other than an action by or in</w:t>
      </w:r>
    </w:p>
    <w:p>
      <w:pPr>
        <w:spacing w:after="0" w:line="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607" w:right="1440" w:bottom="1440" w:gutter="0" w:footer="0" w:header="0"/>
        </w:sectPr>
      </w:pPr>
    </w:p>
    <w:bookmarkStart w:id="30" w:name="page31"/>
    <w:bookmarkEnd w:id="30"/>
    <w:p>
      <w:pPr>
        <w:ind w:right="3159"/>
        <w:spacing w:after="0" w:line="243" w:lineRule="auto"/>
        <w:rPr>
          <w:sz w:val="20"/>
          <w:szCs w:val="20"/>
          <w:color w:val="auto"/>
        </w:rPr>
      </w:pPr>
      <w:r>
        <w:rPr>
          <w:rFonts w:ascii="Courier New" w:cs="Courier New" w:eastAsia="Courier New" w:hAnsi="Courier New"/>
          <w:sz w:val="15"/>
          <w:szCs w:val="15"/>
          <w:color w:val="auto"/>
        </w:rPr>
        <w:t>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in Control"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shareholders was approved by a vote of at least two-thirds of the directors then still in office who were directors at the beginning of such period) cease for any reason to constitute at least a majority of the Board of Directors.</w:t>
      </w:r>
    </w:p>
    <w:p>
      <w:pPr>
        <w:spacing w:after="0" w:line="27"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10.2. The Company shall have the power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in Control, as defined in paragraph 1 of this Article.</w:t>
      </w:r>
    </w:p>
    <w:p>
      <w:pPr>
        <w:spacing w:after="0" w:line="18" w:lineRule="exact"/>
        <w:rPr>
          <w:sz w:val="20"/>
          <w:szCs w:val="20"/>
          <w:color w:val="auto"/>
        </w:rPr>
      </w:pPr>
    </w:p>
    <w:p>
      <w:pPr>
        <w:jc w:val="both"/>
        <w:ind w:right="3159" w:hanging="536"/>
        <w:spacing w:after="0" w:line="281" w:lineRule="auto"/>
        <w:rPr>
          <w:sz w:val="20"/>
          <w:szCs w:val="20"/>
          <w:color w:val="auto"/>
        </w:rPr>
      </w:pPr>
      <w:r>
        <w:rPr>
          <w:rFonts w:ascii="Courier New" w:cs="Courier New" w:eastAsia="Courier New" w:hAnsi="Courier New"/>
          <w:sz w:val="15"/>
          <w:szCs w:val="15"/>
          <w:color w:val="auto"/>
        </w:rPr>
        <w:t>10.3. To the extent that a present or former director or officer of the Company has been successful on the merits or otherwise in defense of any action, suit or proceeding referred to in paragraphs 1</w:t>
      </w:r>
    </w:p>
    <w:p>
      <w:pPr>
        <w:spacing w:after="0" w:line="6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9699"/>
          </w:cols>
          <w:pgMar w:left="760" w:top="607" w:right="1440" w:bottom="1440" w:gutter="0" w:footer="0" w:header="0"/>
        </w:sectPr>
      </w:pPr>
    </w:p>
    <w:bookmarkStart w:id="31" w:name="page32"/>
    <w:bookmarkEnd w:id="31"/>
    <w:p>
      <w:pPr>
        <w:ind w:left="520" w:right="3519"/>
        <w:spacing w:after="0" w:line="252" w:lineRule="auto"/>
        <w:rPr>
          <w:sz w:val="20"/>
          <w:szCs w:val="20"/>
          <w:color w:val="auto"/>
        </w:rPr>
      </w:pPr>
      <w:r>
        <w:rPr>
          <w:rFonts w:ascii="Courier New" w:cs="Courier New" w:eastAsia="Courier New" w:hAnsi="Courier New"/>
          <w:sz w:val="15"/>
          <w:szCs w:val="15"/>
          <w:color w:val="auto"/>
        </w:rPr>
        <w:t>and 2 of this Article, or in defense of any claim, issue or matter therein, such person shall be indemnified against expenses (including attorneys' fees) actually and reasonably incurred by such person in connection therewith.</w:t>
      </w:r>
    </w:p>
    <w:p>
      <w:pPr>
        <w:spacing w:after="0" w:line="2"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10.4. Any indemnification under paragraphs 1 and 2 of this Article (unless ordered by a court) shall be made by the Company only as authorized by contract approved, or by-laws, resolution or other action adopted or taken, by the Board of Directors or by the shareholders or as required by the last sentences of paragraphs 1 and 2 of this Article.</w:t>
      </w:r>
    </w:p>
    <w:p>
      <w:pPr>
        <w:spacing w:after="0" w:line="3"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2"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shareholders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2"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10.8. For purposes of this Article, reference to the Company shall include, in</w:t>
      </w:r>
    </w:p>
    <w:p>
      <w:pPr>
        <w:spacing w:after="0" w:line="13" w:lineRule="exact"/>
        <w:rPr>
          <w:sz w:val="20"/>
          <w:szCs w:val="20"/>
          <w:color w:val="auto"/>
        </w:rPr>
      </w:pPr>
    </w:p>
    <w:p>
      <w:pPr>
        <w:ind w:left="520" w:right="3159"/>
        <w:spacing w:after="0" w:line="242" w:lineRule="auto"/>
        <w:rPr>
          <w:sz w:val="20"/>
          <w:szCs w:val="20"/>
          <w:color w:val="auto"/>
        </w:rPr>
      </w:pPr>
      <w:r>
        <w:rPr>
          <w:rFonts w:ascii="Courier New" w:cs="Courier New" w:eastAsia="Courier New" w:hAnsi="Courier New"/>
          <w:sz w:val="15"/>
          <w:szCs w:val="15"/>
          <w:color w:val="auto"/>
        </w:rPr>
        <w:t>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if its separate existence had continued.</w:t>
      </w:r>
    </w:p>
    <w:p>
      <w:pPr>
        <w:spacing w:after="0" w:line="7" w:lineRule="exact"/>
        <w:rPr>
          <w:sz w:val="20"/>
          <w:szCs w:val="20"/>
          <w:color w:val="auto"/>
        </w:rPr>
      </w:pPr>
    </w:p>
    <w:p>
      <w:pPr>
        <w:ind w:left="520" w:right="3259" w:hanging="536"/>
        <w:spacing w:after="0" w:line="249" w:lineRule="auto"/>
        <w:rPr>
          <w:sz w:val="20"/>
          <w:szCs w:val="20"/>
          <w:color w:val="auto"/>
        </w:rPr>
      </w:pPr>
      <w:r>
        <w:rPr>
          <w:rFonts w:ascii="Courier New" w:cs="Courier New" w:eastAsia="Courier New" w:hAnsi="Courier New"/>
          <w:sz w:val="15"/>
          <w:szCs w:val="15"/>
          <w:color w:val="auto"/>
        </w:rPr>
        <w:t>10.9. For purposes of this Article,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07" w:right="1440" w:bottom="1440" w:gutter="0" w:footer="0" w:header="0"/>
        </w:sectPr>
      </w:pPr>
    </w:p>
    <w:bookmarkStart w:id="32" w:name="page33"/>
    <w:bookmarkEnd w:id="32"/>
    <w:p>
      <w:pPr>
        <w:jc w:val="center"/>
        <w:ind w:right="3259"/>
        <w:spacing w:after="0"/>
        <w:rPr>
          <w:sz w:val="20"/>
          <w:szCs w:val="20"/>
          <w:color w:val="auto"/>
        </w:rPr>
      </w:pPr>
      <w:r>
        <w:rPr>
          <w:rFonts w:ascii="Courier New" w:cs="Courier New" w:eastAsia="Courier New" w:hAnsi="Courier New"/>
          <w:sz w:val="15"/>
          <w:szCs w:val="15"/>
          <w:color w:val="auto"/>
        </w:rPr>
        <w:t>MEETINGS OF SHAREHOLDERS</w:t>
      </w:r>
    </w:p>
    <w:p>
      <w:pPr>
        <w:spacing w:after="0" w:line="3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11</w:t>
      </w:r>
    </w:p>
    <w:p>
      <w:pPr>
        <w:spacing w:after="0" w:line="2" w:lineRule="exact"/>
        <w:rPr>
          <w:sz w:val="20"/>
          <w:szCs w:val="20"/>
          <w:color w:val="auto"/>
        </w:rPr>
      </w:pPr>
    </w:p>
    <w:p>
      <w:pPr>
        <w:jc w:val="both"/>
        <w:ind w:left="520" w:right="3439" w:hanging="536"/>
        <w:spacing w:after="0" w:line="242" w:lineRule="auto"/>
        <w:rPr>
          <w:sz w:val="20"/>
          <w:szCs w:val="20"/>
          <w:color w:val="auto"/>
        </w:rPr>
      </w:pPr>
      <w:r>
        <w:rPr>
          <w:rFonts w:ascii="Courier New" w:cs="Courier New" w:eastAsia="Courier New" w:hAnsi="Courier New"/>
          <w:sz w:val="15"/>
          <w:szCs w:val="15"/>
          <w:color w:val="auto"/>
        </w:rPr>
        <w:t>11.1. All general meetings of shareholders shall be held in the Netherlands Antilles on Curacao, Bonaire, St. Eustatius, Saba or the Dutch part of St. Maarten.</w:t>
      </w:r>
    </w:p>
    <w:p>
      <w:pPr>
        <w:spacing w:after="0" w:line="2"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11.2. The annual general meeting of shareholders shall be held within nine months after the end of the preceding fiscal year, on a date determined from year to year by the Board of Directors, for the purpose of electing directors, reporting on the course of business during the preceding fiscal year, adopting of the balance sheet and the profit and loss account for the preceding fiscal year and for any other purposes required by law, and for such additional purposes as may be specified in the notice of such meeting.</w:t>
      </w:r>
    </w:p>
    <w:p>
      <w:pPr>
        <w:spacing w:after="0" w:line="5" w:lineRule="exact"/>
        <w:rPr>
          <w:sz w:val="20"/>
          <w:szCs w:val="20"/>
          <w:color w:val="auto"/>
        </w:rPr>
      </w:pPr>
    </w:p>
    <w:p>
      <w:pPr>
        <w:ind w:left="520" w:right="3339" w:hanging="536"/>
        <w:spacing w:after="0" w:line="242" w:lineRule="auto"/>
        <w:rPr>
          <w:sz w:val="20"/>
          <w:szCs w:val="20"/>
          <w:color w:val="auto"/>
        </w:rPr>
      </w:pPr>
      <w:r>
        <w:rPr>
          <w:rFonts w:ascii="Courier New" w:cs="Courier New" w:eastAsia="Courier New" w:hAnsi="Courier New"/>
          <w:sz w:val="15"/>
          <w:szCs w:val="15"/>
          <w:color w:val="auto"/>
        </w:rPr>
        <w:t>11.3. Special general meetings of shareholders may be called at any time upon the direction of the Chairman, the Vice Chairman, the Chief Executive Officer, the President or the Board of Directors or in the manner provided for in Article 82 of the Code of Commerce of the Netherlands Antilles, or by one or more holders of shares representing in the aggregate a majority of the shares then outstanding, or as provided for in Article 8.5.</w:t>
      </w:r>
    </w:p>
    <w:p>
      <w:pPr>
        <w:spacing w:after="0" w:line="5"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11.4. Notice of meetings of shareholders, whether annual general meetings or special general meetings, stating the time and place of the meeting, shall be given to the shareholders not less than twenty (20) or more than sixty (60) days prior to the date of the meeting in question by notice to each shareholder at the address thereof appearing in the Register.</w:t>
      </w:r>
    </w:p>
    <w:p>
      <w:pPr>
        <w:spacing w:after="0" w:line="1" w:lineRule="exact"/>
        <w:rPr>
          <w:sz w:val="20"/>
          <w:szCs w:val="20"/>
          <w:color w:val="auto"/>
        </w:rPr>
      </w:pPr>
    </w:p>
    <w:p>
      <w:pPr>
        <w:ind w:left="520" w:right="3339" w:hanging="536"/>
        <w:spacing w:after="0" w:line="242" w:lineRule="auto"/>
        <w:rPr>
          <w:sz w:val="20"/>
          <w:szCs w:val="20"/>
          <w:color w:val="auto"/>
        </w:rPr>
      </w:pPr>
      <w:r>
        <w:rPr>
          <w:rFonts w:ascii="Courier New" w:cs="Courier New" w:eastAsia="Courier New" w:hAnsi="Courier New"/>
          <w:sz w:val="15"/>
          <w:szCs w:val="15"/>
          <w:color w:val="auto"/>
        </w:rPr>
        <w:t>11.5. All notices of general meetings of shareholders shall state the matters to be considered at the meeting.</w:t>
      </w:r>
    </w:p>
    <w:p>
      <w:pPr>
        <w:spacing w:after="0" w:line="1"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11.6. Without limiting the manner by which notice otherwise may be given effectively to shareholders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3"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11.7. 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8" w:lineRule="exact"/>
        <w:rPr>
          <w:sz w:val="20"/>
          <w:szCs w:val="20"/>
          <w:color w:val="auto"/>
        </w:rPr>
      </w:pPr>
    </w:p>
    <w:p>
      <w:pPr>
        <w:ind w:left="520" w:right="3259" w:hanging="536"/>
        <w:spacing w:after="0" w:line="242" w:lineRule="auto"/>
        <w:rPr>
          <w:sz w:val="20"/>
          <w:szCs w:val="20"/>
          <w:color w:val="auto"/>
        </w:rPr>
      </w:pPr>
      <w:r>
        <w:rPr>
          <w:rFonts w:ascii="Courier New" w:cs="Courier New" w:eastAsia="Courier New" w:hAnsi="Courier New"/>
          <w:sz w:val="15"/>
          <w:szCs w:val="15"/>
          <w:color w:val="auto"/>
        </w:rPr>
        <w:t>11.8. For purposes of these articles of association, "electronic transmission" means any form of communication, not directly involving the physical transmission of paper, that creates a record that may be retained, retrieved, and reviewed by a recipient thereof.</w:t>
      </w:r>
    </w:p>
    <w:p>
      <w:pPr>
        <w:spacing w:after="0" w:line="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12</w:t>
      </w:r>
    </w:p>
    <w:p>
      <w:pPr>
        <w:spacing w:after="0" w:line="2"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12.1. Every shareholder has the right to attend any general meeting in person or by proxy, which proxy to the extent permitted by applicable law may be given by electronic transmission, and to address the meeting.</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12.2. Each holder of common shares and each holder of preferred shares shall be</w:t>
      </w:r>
    </w:p>
    <w:p>
      <w:pPr>
        <w:spacing w:after="0" w:line="1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entitled to one vote for each common share or preferred share held.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 For the purpose of determining shareholders entitled to notice of and to</w:t>
      </w:r>
    </w:p>
    <w:p>
      <w:pPr>
        <w:spacing w:after="0" w:line="2" w:lineRule="exact"/>
        <w:rPr>
          <w:sz w:val="20"/>
          <w:szCs w:val="20"/>
          <w:color w:val="auto"/>
        </w:rPr>
      </w:pPr>
    </w:p>
    <w:p>
      <w:pPr>
        <w:ind w:left="520" w:right="3159"/>
        <w:spacing w:after="0" w:line="249" w:lineRule="auto"/>
        <w:rPr>
          <w:sz w:val="20"/>
          <w:szCs w:val="20"/>
          <w:color w:val="auto"/>
        </w:rPr>
      </w:pPr>
      <w:r>
        <w:rPr>
          <w:rFonts w:ascii="Courier New" w:cs="Courier New" w:eastAsia="Courier New" w:hAnsi="Courier New"/>
          <w:sz w:val="15"/>
          <w:szCs w:val="15"/>
          <w:color w:val="auto"/>
        </w:rPr>
        <w:t>vote at any general meeting of shareholders, or entitled to receive payment of any dividend, or in order to make a determination of shareholders for any other proper purpose, the Board of Directors of the Company may provide that the stock transfer books shall be closed for a stated period but not to exceed, in any case, sixty (60) days. If the stock transfer books shall be closed for the purpose of determining shareholders entitled to notice of or to vote at a general meeting of shareholders, such books shall be closed for at least ten (10) days immediately preceding such meeting. In lieu of closing the stock transfer books, the Board of Directors may fix in advance a date as the record date for any such determination of shareholders, such date in any case to be not more</w:t>
      </w:r>
    </w:p>
    <w:p>
      <w:pPr>
        <w:spacing w:after="0" w:line="9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607" w:right="1440" w:bottom="1440" w:gutter="0" w:footer="0" w:header="0"/>
        </w:sectPr>
      </w:pPr>
    </w:p>
    <w:bookmarkStart w:id="33" w:name="page34"/>
    <w:bookmarkEnd w:id="33"/>
    <w:p>
      <w:pPr>
        <w:ind w:right="3159"/>
        <w:spacing w:after="0" w:line="245" w:lineRule="auto"/>
        <w:rPr>
          <w:sz w:val="20"/>
          <w:szCs w:val="20"/>
          <w:color w:val="auto"/>
        </w:rPr>
      </w:pPr>
      <w:r>
        <w:rPr>
          <w:rFonts w:ascii="Courier New" w:cs="Courier New" w:eastAsia="Courier New" w:hAnsi="Courier New"/>
          <w:sz w:val="15"/>
          <w:szCs w:val="15"/>
          <w:color w:val="auto"/>
        </w:rPr>
        <w:t>than sixty (60) days and, in case of a general meeting of shareholders, not less than ten (10) days prior to the date on which the particular action requiring such determination of shareholders is to be taken. If the stock transfer books are not closed and no record date is fixed for the determination of shareholders entitled to notice of or to vote at a general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has been made as herein provided, such determination shall apply to any adjournment thereof except where the determination has been made through the closing of stock transfer books and the stated period of closing has expired.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Article 13</w:t>
      </w:r>
    </w:p>
    <w:p>
      <w:pPr>
        <w:spacing w:after="0" w:line="2"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13.1. Except as otherwise provided herein, no action may be taken at any general meeting of shareholders unless a quorum consisting of the holders of at least one-half of the outstanding shares are present at such meeting in person or by proxy.</w:t>
      </w:r>
    </w:p>
    <w:p>
      <w:pPr>
        <w:spacing w:after="0" w:line="3"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13.2. If a quorum is not present in person or by proxy at any general meeting of shareholders, a second general meeting shall be called in the same manner as such original meeting of shareholders, to be held within two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shareholders despite the absence of a quorum.</w:t>
      </w:r>
    </w:p>
    <w:p>
      <w:pPr>
        <w:spacing w:after="0" w:line="6" w:lineRule="exact"/>
        <w:rPr>
          <w:sz w:val="20"/>
          <w:szCs w:val="20"/>
          <w:color w:val="auto"/>
        </w:rPr>
      </w:pPr>
    </w:p>
    <w:p>
      <w:pPr>
        <w:ind w:right="3159" w:hanging="536"/>
        <w:spacing w:after="0" w:line="260" w:lineRule="auto"/>
        <w:rPr>
          <w:sz w:val="20"/>
          <w:szCs w:val="20"/>
          <w:color w:val="auto"/>
        </w:rPr>
      </w:pPr>
      <w:r>
        <w:rPr>
          <w:rFonts w:ascii="Courier New" w:cs="Courier New" w:eastAsia="Courier New" w:hAnsi="Courier New"/>
          <w:sz w:val="14"/>
          <w:szCs w:val="14"/>
          <w:color w:val="auto"/>
        </w:rPr>
        <w:t>13.3. Subject to the provisions of Articles 18, 19 and 21, the vote in favor by a majority of the votes cast (excluding any abstentions) shall be necessary to adopt any resolution at any general meeting of shareholders.</w:t>
      </w:r>
    </w:p>
    <w:p>
      <w:pPr>
        <w:spacing w:after="0" w:line="1" w:lineRule="exact"/>
        <w:rPr>
          <w:sz w:val="20"/>
          <w:szCs w:val="20"/>
          <w:color w:val="auto"/>
        </w:rPr>
      </w:pPr>
    </w:p>
    <w:p>
      <w:pPr>
        <w:ind w:right="3779" w:hanging="536"/>
        <w:spacing w:after="0" w:line="242" w:lineRule="auto"/>
        <w:rPr>
          <w:sz w:val="20"/>
          <w:szCs w:val="20"/>
          <w:color w:val="auto"/>
        </w:rPr>
      </w:pPr>
      <w:r>
        <w:rPr>
          <w:rFonts w:ascii="Courier New" w:cs="Courier New" w:eastAsia="Courier New" w:hAnsi="Courier New"/>
          <w:sz w:val="15"/>
          <w:szCs w:val="15"/>
          <w:color w:val="auto"/>
        </w:rPr>
        <w:t>13.4. The Board of Directors from time to time shall appoint a person to preside at general meetings of shareholders.</w:t>
      </w:r>
    </w:p>
    <w:p>
      <w:pPr>
        <w:spacing w:after="0" w:line="1" w:lineRule="exact"/>
        <w:rPr>
          <w:sz w:val="20"/>
          <w:szCs w:val="20"/>
          <w:color w:val="auto"/>
        </w:rPr>
      </w:pPr>
    </w:p>
    <w:p>
      <w:pPr>
        <w:ind w:right="3259" w:hanging="536"/>
        <w:spacing w:after="0" w:line="242" w:lineRule="auto"/>
        <w:rPr>
          <w:sz w:val="20"/>
          <w:szCs w:val="20"/>
          <w:color w:val="auto"/>
        </w:rPr>
      </w:pPr>
      <w:r>
        <w:rPr>
          <w:rFonts w:ascii="Courier New" w:cs="Courier New" w:eastAsia="Courier New" w:hAnsi="Courier New"/>
          <w:sz w:val="15"/>
          <w:szCs w:val="15"/>
          <w:color w:val="auto"/>
        </w:rPr>
        <w:t>13.5. At any general meeting of shareholders, a shareholder may vote upon all matters before the meeting, even if the decision to be taken would grant him, in a capacity other than as a shareholder, any right against the Company or would in such other capacity relieve him of any obligation to the Company.</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SEPARATE MEETINGS</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Article 14</w:t>
      </w:r>
    </w:p>
    <w:p>
      <w:pPr>
        <w:spacing w:after="0" w:line="2" w:lineRule="exact"/>
        <w:rPr>
          <w:sz w:val="20"/>
          <w:szCs w:val="20"/>
          <w:color w:val="auto"/>
        </w:rPr>
      </w:pPr>
    </w:p>
    <w:p>
      <w:pPr>
        <w:ind w:right="3339" w:hanging="536"/>
        <w:spacing w:after="0" w:line="242" w:lineRule="auto"/>
        <w:rPr>
          <w:sz w:val="20"/>
          <w:szCs w:val="20"/>
          <w:color w:val="auto"/>
        </w:rPr>
      </w:pPr>
      <w:r>
        <w:rPr>
          <w:rFonts w:ascii="Courier New" w:cs="Courier New" w:eastAsia="Courier New" w:hAnsi="Courier New"/>
          <w:sz w:val="15"/>
          <w:szCs w:val="15"/>
          <w:color w:val="auto"/>
        </w:rPr>
        <w:t>14.1. Separate meetings of holders of each series of preferred shares (each a "Series Meeting") can be held and may be convened by any two or more members of the Board of Directors.</w:t>
      </w:r>
    </w:p>
    <w:p>
      <w:pPr>
        <w:spacing w:after="0" w:line="2"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14.2. Notice of Series Meeting shall be given not less than ten (10) days prior to the date of the Series Meeting to the address of each holder of preferred shares of the relevant series appearing in the Register.</w:t>
      </w:r>
    </w:p>
    <w:p>
      <w:pPr>
        <w:spacing w:after="0" w:line="2" w:lineRule="exact"/>
        <w:rPr>
          <w:sz w:val="20"/>
          <w:szCs w:val="20"/>
          <w:color w:val="auto"/>
        </w:rPr>
      </w:pPr>
    </w:p>
    <w:p>
      <w:pPr>
        <w:ind w:right="3159" w:hanging="536"/>
        <w:spacing w:after="0" w:line="242" w:lineRule="auto"/>
        <w:rPr>
          <w:sz w:val="20"/>
          <w:szCs w:val="20"/>
          <w:color w:val="auto"/>
        </w:rPr>
      </w:pPr>
      <w:r>
        <w:rPr>
          <w:rFonts w:ascii="Courier New" w:cs="Courier New" w:eastAsia="Courier New" w:hAnsi="Courier New"/>
          <w:sz w:val="15"/>
          <w:szCs w:val="15"/>
          <w:color w:val="auto"/>
        </w:rPr>
        <w:t>14.3. The notice shall contain the agenda of the Series Meeting or shall mention that it is deposited for inspection by the holder of the relevant shares at the offices of the Company.</w:t>
      </w:r>
    </w:p>
    <w:p>
      <w:pPr>
        <w:spacing w:after="0" w:line="2" w:lineRule="exact"/>
        <w:rPr>
          <w:sz w:val="20"/>
          <w:szCs w:val="20"/>
          <w:color w:val="auto"/>
        </w:rPr>
      </w:pPr>
    </w:p>
    <w:p>
      <w:pPr>
        <w:ind w:right="3259" w:hanging="536"/>
        <w:spacing w:after="0" w:line="260" w:lineRule="auto"/>
        <w:rPr>
          <w:sz w:val="20"/>
          <w:szCs w:val="20"/>
          <w:color w:val="auto"/>
        </w:rPr>
      </w:pPr>
      <w:r>
        <w:rPr>
          <w:rFonts w:ascii="Courier New" w:cs="Courier New" w:eastAsia="Courier New" w:hAnsi="Courier New"/>
          <w:sz w:val="14"/>
          <w:szCs w:val="14"/>
          <w:color w:val="auto"/>
        </w:rPr>
        <w:t>14.4. The Series Meetings do not have to be held in the Netherlands Antilles but may be held in conjunction with any general meeting of shareholders.</w:t>
      </w:r>
    </w:p>
    <w:p>
      <w:pPr>
        <w:ind w:right="3159" w:hanging="536"/>
        <w:spacing w:after="0" w:line="268" w:lineRule="auto"/>
        <w:rPr>
          <w:sz w:val="20"/>
          <w:szCs w:val="20"/>
          <w:color w:val="auto"/>
        </w:rPr>
      </w:pPr>
      <w:r>
        <w:rPr>
          <w:rFonts w:ascii="Courier New" w:cs="Courier New" w:eastAsia="Courier New" w:hAnsi="Courier New"/>
          <w:sz w:val="15"/>
          <w:szCs w:val="15"/>
          <w:color w:val="auto"/>
        </w:rPr>
        <w:t>14.5. To a Series Meeting all the provisions of these Articles of Association and the laws of the Netherlands Antilles as to General Meetings of Shareholders shall, mutatis mutandis, apply, if not otherwise provided in this Article.</w:t>
      </w:r>
    </w:p>
    <w:p>
      <w:pPr>
        <w:spacing w:after="0" w:line="7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9699"/>
          </w:cols>
          <w:pgMar w:left="760" w:top="607" w:right="1440" w:bottom="1440" w:gutter="0" w:footer="0" w:header="0"/>
        </w:sectPr>
      </w:pPr>
    </w:p>
    <w:bookmarkStart w:id="34" w:name="page35"/>
    <w:bookmarkEnd w:id="34"/>
    <w:p>
      <w:pPr>
        <w:ind w:left="3040"/>
        <w:spacing w:after="0"/>
        <w:rPr>
          <w:sz w:val="20"/>
          <w:szCs w:val="20"/>
          <w:color w:val="auto"/>
        </w:rPr>
      </w:pPr>
      <w:r>
        <w:rPr>
          <w:rFonts w:ascii="Courier New" w:cs="Courier New" w:eastAsia="Courier New" w:hAnsi="Courier New"/>
          <w:sz w:val="15"/>
          <w:szCs w:val="15"/>
          <w:color w:val="auto"/>
        </w:rPr>
        <w:t>FISCAL YEAR</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 of the Company shall be the calendar year.</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BALANCE SHEET AND PROFIT AND LOSS ACCOUNT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16</w:t>
      </w:r>
    </w:p>
    <w:p>
      <w:pPr>
        <w:spacing w:after="0" w:line="2"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16.1. Within eight months after the end of the fiscal year of the Company, the Board of Directors shall prepare the balance sheet and profit and loss account with respect to the preceding fiscal year. Subsequently, the balance sheet and profit and loss account shall be submitted to the shareholders for inspection and adoption at the annual general meeting of shareholders in accordance with paragraph 2 of Article 11. From the date at which the notice of the annual general meeting of shareholders is sent until the close of the annual general meeting of shareholders, the balance sheet and profit and loss account shall be available for inspection by the shareholders at the office of the Company, and at any additional place, if specified in the notice of such meeting.</w:t>
      </w:r>
    </w:p>
    <w:p>
      <w:pPr>
        <w:spacing w:after="0" w:line="7" w:lineRule="exact"/>
        <w:rPr>
          <w:sz w:val="20"/>
          <w:szCs w:val="20"/>
          <w:color w:val="auto"/>
        </w:rPr>
      </w:pPr>
    </w:p>
    <w:p>
      <w:pPr>
        <w:jc w:val="both"/>
        <w:ind w:left="520" w:right="3339" w:hanging="536"/>
        <w:spacing w:after="0" w:line="242" w:lineRule="auto"/>
        <w:rPr>
          <w:sz w:val="20"/>
          <w:szCs w:val="20"/>
          <w:color w:val="auto"/>
        </w:rPr>
      </w:pPr>
      <w:r>
        <w:rPr>
          <w:rFonts w:ascii="Courier New" w:cs="Courier New" w:eastAsia="Courier New" w:hAnsi="Courier New"/>
          <w:sz w:val="15"/>
          <w:szCs w:val="15"/>
          <w:color w:val="auto"/>
        </w:rPr>
        <w:t>16.2. The Board of Directors, with due observance of dividend entitlements of the holders of preferred shares, is authorized to allocate such part of the profits to the retained earning reserves as it deems fit.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DISTRIBUTION OF PROFITS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17</w:t>
      </w:r>
    </w:p>
    <w:p>
      <w:pPr>
        <w:spacing w:after="0" w:line="2" w:lineRule="exact"/>
        <w:rPr>
          <w:sz w:val="20"/>
          <w:szCs w:val="20"/>
          <w:color w:val="auto"/>
        </w:rPr>
      </w:pPr>
    </w:p>
    <w:p>
      <w:pPr>
        <w:ind w:left="520" w:right="3339" w:hanging="536"/>
        <w:spacing w:after="0" w:line="242" w:lineRule="auto"/>
        <w:rPr>
          <w:sz w:val="20"/>
          <w:szCs w:val="20"/>
          <w:color w:val="auto"/>
        </w:rPr>
      </w:pPr>
      <w:r>
        <w:rPr>
          <w:rFonts w:ascii="Courier New" w:cs="Courier New" w:eastAsia="Courier New" w:hAnsi="Courier New"/>
          <w:sz w:val="15"/>
          <w:szCs w:val="15"/>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5"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shareholders.</w:t>
      </w:r>
    </w:p>
    <w:p>
      <w:pPr>
        <w:spacing w:after="0" w:line="3"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17.3. If, as appears from the adopted profit and loss statement, a loss has been suffered which cannot be covered by a reserve or which cannot be extinguished through the application of undistributed profits from previous years or otherwise, no distribution of profits shall be effected in subsequent years so long as such loss has not been made good.</w:t>
      </w:r>
    </w:p>
    <w:p>
      <w:pPr>
        <w:spacing w:after="0" w:line="1" w:lineRule="exact"/>
        <w:rPr>
          <w:sz w:val="20"/>
          <w:szCs w:val="20"/>
          <w:color w:val="auto"/>
        </w:rPr>
      </w:pPr>
    </w:p>
    <w:p>
      <w:pPr>
        <w:ind w:left="520" w:right="3159" w:hanging="536"/>
        <w:spacing w:after="0" w:line="242" w:lineRule="auto"/>
        <w:rPr>
          <w:sz w:val="20"/>
          <w:szCs w:val="20"/>
          <w:color w:val="auto"/>
        </w:rPr>
      </w:pPr>
      <w:r>
        <w:rPr>
          <w:rFonts w:ascii="Courier New" w:cs="Courier New" w:eastAsia="Courier New" w:hAnsi="Courier New"/>
          <w:sz w:val="15"/>
          <w:szCs w:val="15"/>
          <w:color w:val="auto"/>
        </w:rPr>
        <w:t>17.4. If dividends are to be distributed, the holders of preferred shares shall have preference as to such dividends in accordance with the preferences of such shares as determined at the issuance thereof.</w:t>
      </w:r>
    </w:p>
    <w:p>
      <w:pPr>
        <w:spacing w:after="0" w:line="2" w:lineRule="exact"/>
        <w:rPr>
          <w:sz w:val="20"/>
          <w:szCs w:val="20"/>
          <w:color w:val="auto"/>
        </w:rPr>
      </w:pPr>
    </w:p>
    <w:p>
      <w:pPr>
        <w:ind w:left="520" w:right="3259" w:hanging="536"/>
        <w:spacing w:after="0" w:line="242" w:lineRule="auto"/>
        <w:rPr>
          <w:sz w:val="20"/>
          <w:szCs w:val="20"/>
          <w:color w:val="auto"/>
        </w:rPr>
      </w:pPr>
      <w:r>
        <w:rPr>
          <w:rFonts w:ascii="Courier New" w:cs="Courier New" w:eastAsia="Courier New" w:hAnsi="Courier New"/>
          <w:sz w:val="15"/>
          <w:szCs w:val="15"/>
          <w:color w:val="auto"/>
        </w:rPr>
        <w:t>17.5. The Board of Directors may resolve at any time to distribute one or more interim dividends as an advance payment of the dividend expected to be determined by the shareholders at the annual general meeting.</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DISPOSITION OF THE COMPANY'S ASSETS</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18</w:t>
      </w:r>
    </w:p>
    <w:p>
      <w:pPr>
        <w:spacing w:after="0" w:line="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shareholders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shareholders of the Company in such assets.</w:t>
      </w:r>
    </w:p>
    <w:p>
      <w:pPr>
        <w:spacing w:after="0" w:line="9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19"/>
          </w:cols>
          <w:pgMar w:left="240" w:top="607" w:right="1440" w:bottom="1440" w:gutter="0" w:footer="0" w:header="0"/>
        </w:sectPr>
      </w:pPr>
    </w:p>
    <w:bookmarkStart w:id="35" w:name="page36"/>
    <w:bookmarkEnd w:id="35"/>
    <w:p>
      <w:pPr>
        <w:ind w:left="3040"/>
        <w:spacing w:after="0"/>
        <w:rPr>
          <w:sz w:val="20"/>
          <w:szCs w:val="20"/>
          <w:color w:val="auto"/>
        </w:rPr>
      </w:pPr>
      <w:r>
        <w:rPr>
          <w:rFonts w:ascii="Courier New" w:cs="Courier New" w:eastAsia="Courier New" w:hAnsi="Courier New"/>
          <w:sz w:val="15"/>
          <w:szCs w:val="15"/>
          <w:color w:val="auto"/>
        </w:rPr>
        <w:t>LIQUIDATION</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19</w:t>
      </w:r>
    </w:p>
    <w:p>
      <w:pPr>
        <w:spacing w:after="0" w:line="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Notwithstanding any provision of Article 13, any resolution providing for the dissolution, liquidation or winding up of the Company shall be valid only if duly adopted at a general meeting of shareholders by the holder or holders of at least a majority of the shares at the time outstanding and entitled to vote, the notice of which meeting shall have specified the nature of any such resolution to be voted upon at such meeting.</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ACTION BY SHAREHOLDERS WITHOUT MEETING</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20</w:t>
      </w:r>
    </w:p>
    <w:p>
      <w:pPr>
        <w:spacing w:after="0" w:line="2" w:lineRule="exact"/>
        <w:rPr>
          <w:sz w:val="20"/>
          <w:szCs w:val="20"/>
          <w:color w:val="auto"/>
        </w:rPr>
      </w:pPr>
    </w:p>
    <w:p>
      <w:pPr>
        <w:ind w:left="520" w:right="3159" w:hanging="536"/>
        <w:spacing w:after="0" w:line="260" w:lineRule="auto"/>
        <w:rPr>
          <w:sz w:val="20"/>
          <w:szCs w:val="20"/>
          <w:color w:val="auto"/>
        </w:rPr>
      </w:pPr>
      <w:r>
        <w:rPr>
          <w:rFonts w:ascii="Courier New" w:cs="Courier New" w:eastAsia="Courier New" w:hAnsi="Courier New"/>
          <w:sz w:val="14"/>
          <w:szCs w:val="14"/>
          <w:color w:val="auto"/>
        </w:rPr>
        <w:t>20.1. Notwithstanding any provision of Article 13, 18, 19 or 21, any action which by law or by these Articles of Association is required or permitted to be taken at a general meeting of shareholders may be taken without a meeting if taken by the written consent of the holder or holders of at least the majority of the shares of the Company outstanding and entitled to vote. Each shareholder may evidence his consent by separate instrument which may be executed by himself or on his behalf by a duly appointed proxy. Notice of any action proposed to be taken under this Article 20 shall be communicated to each shareholder at his address appearing in the share register, such notice to designate the date on or before which such written consent must be received by the Secretary of the Company in order to be counted. Any shareholder may revoke his consent by instrument received by the Secretary of the Company on or before the date so designated, or before written consents from the holders of the majority of the shares outstanding and entitled to vote have been received by the Secretary of the Company, whichever first occurs, and not thereafter.</w:t>
      </w:r>
    </w:p>
    <w:p>
      <w:pPr>
        <w:spacing w:after="0" w:line="3" w:lineRule="exact"/>
        <w:rPr>
          <w:sz w:val="20"/>
          <w:szCs w:val="20"/>
          <w:color w:val="auto"/>
        </w:rPr>
      </w:pPr>
    </w:p>
    <w:p>
      <w:pPr>
        <w:ind w:left="520" w:right="3259" w:hanging="536"/>
        <w:spacing w:after="0" w:line="242" w:lineRule="auto"/>
        <w:rPr>
          <w:sz w:val="20"/>
          <w:szCs w:val="20"/>
          <w:color w:val="auto"/>
        </w:rPr>
      </w:pPr>
      <w:r>
        <w:rPr>
          <w:rFonts w:ascii="Courier New" w:cs="Courier New" w:eastAsia="Courier New" w:hAnsi="Courier New"/>
          <w:sz w:val="15"/>
          <w:szCs w:val="15"/>
          <w:color w:val="auto"/>
        </w:rPr>
        <w:t>20.2. For the purpose of determining shareholders entitled to notice of and or to give written consent to any action proposed to be taken under this Article 20, the Board of Directors of the Company may provide that the stock transfer books shall be closed for a stated period not to exceed sixty (60) days. Such books shall be closed for at least ten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shareholders, such date in any case to be not earlier than sixty (60) days prior to the date on or before which written consents must be received by the Secretary of the Company in order to be counted. If the stock transfer books are not closed and no record date is fixed for the determination of shareholders, the date on which notice of the action proposed to be taken hereunder is mailed shall be the record date for such determination of shareholders.</w:t>
      </w:r>
    </w:p>
    <w:p>
      <w:pPr>
        <w:spacing w:after="0" w:line="11"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AMENDMENTS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21</w:t>
      </w:r>
    </w:p>
    <w:p>
      <w:pPr>
        <w:spacing w:after="0" w:line="2" w:lineRule="exact"/>
        <w:rPr>
          <w:sz w:val="20"/>
          <w:szCs w:val="20"/>
          <w:color w:val="auto"/>
        </w:rPr>
      </w:pPr>
    </w:p>
    <w:p>
      <w:pPr>
        <w:ind w:left="520" w:right="3259" w:hanging="536"/>
        <w:spacing w:after="0" w:line="260" w:lineRule="auto"/>
        <w:rPr>
          <w:sz w:val="20"/>
          <w:szCs w:val="20"/>
          <w:color w:val="auto"/>
        </w:rPr>
      </w:pPr>
      <w:r>
        <w:rPr>
          <w:rFonts w:ascii="Courier New" w:cs="Courier New" w:eastAsia="Courier New" w:hAnsi="Courier New"/>
          <w:sz w:val="14"/>
          <w:szCs w:val="14"/>
          <w:color w:val="auto"/>
        </w:rPr>
        <w:t>21.1. Notwithstanding any provision of Article 13, these Articles of Association may be amended only pursuant to a resolution duly adopted at a general meeting of shareholders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Curacao for inspection by the shareholders of the Company, and shall remain available for inspection until the conclusion of said meeting.</w:t>
      </w:r>
    </w:p>
    <w:p>
      <w:pPr>
        <w:spacing w:after="0" w:line="2" w:lineRule="exact"/>
        <w:rPr>
          <w:sz w:val="20"/>
          <w:szCs w:val="20"/>
          <w:color w:val="auto"/>
        </w:rPr>
      </w:pPr>
    </w:p>
    <w:p>
      <w:pPr>
        <w:ind w:left="520" w:right="3259" w:hanging="536"/>
        <w:spacing w:after="0" w:line="274" w:lineRule="auto"/>
        <w:rPr>
          <w:sz w:val="20"/>
          <w:szCs w:val="20"/>
          <w:color w:val="auto"/>
        </w:rPr>
      </w:pPr>
      <w:r>
        <w:rPr>
          <w:rFonts w:ascii="Courier New" w:cs="Courier New" w:eastAsia="Courier New" w:hAnsi="Courier New"/>
          <w:sz w:val="14"/>
          <w:szCs w:val="14"/>
          <w:color w:val="auto"/>
        </w:rPr>
        <w:t>21.2. Any amendment to these Articles of Association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7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B-12</w:t>
      </w:r>
    </w:p>
    <w:p>
      <w:pPr>
        <w:sectPr>
          <w:pgSz w:w="11900" w:h="16838" w:orient="portrait"/>
          <w:cols w:equalWidth="0" w:num="1">
            <w:col w:w="10219"/>
          </w:cols>
          <w:pgMar w:left="240" w:top="607" w:right="1440" w:bottom="1440" w:gutter="0" w:footer="0" w:header="0"/>
        </w:sectPr>
      </w:pPr>
    </w:p>
    <w:bookmarkStart w:id="36" w:name="page37"/>
    <w:bookmarkEnd w:id="36"/>
    <w:p>
      <w:pPr>
        <w:jc w:val="right"/>
        <w:ind w:right="3079"/>
        <w:spacing w:after="0"/>
        <w:rPr>
          <w:sz w:val="20"/>
          <w:szCs w:val="20"/>
          <w:color w:val="auto"/>
        </w:rPr>
      </w:pPr>
      <w:r>
        <w:rPr>
          <w:rFonts w:ascii="Courier New" w:cs="Courier New" w:eastAsia="Courier New" w:hAnsi="Courier New"/>
          <w:sz w:val="15"/>
          <w:szCs w:val="15"/>
          <w:color w:val="auto"/>
        </w:rPr>
        <w:t>Exhibit C</w:t>
      </w:r>
    </w:p>
    <w:p>
      <w:pPr>
        <w:spacing w:after="0" w:line="30"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SCHLUMBERGER 2001 STOCK OPTION PLAN</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(As Established Effective February 16, 2001)</w:t>
      </w:r>
    </w:p>
    <w:p>
      <w:pPr>
        <w:spacing w:after="0" w:line="146" w:lineRule="exact"/>
        <w:rPr>
          <w:sz w:val="20"/>
          <w:szCs w:val="20"/>
          <w:color w:val="auto"/>
        </w:rPr>
      </w:pPr>
    </w:p>
    <w:p>
      <w:pPr>
        <w:ind w:left="448" w:hanging="448"/>
        <w:spacing w:after="0"/>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w:t>
      </w:r>
    </w:p>
    <w:p>
      <w:pPr>
        <w:spacing w:after="0" w:line="30"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Stock Option Plan (the "Plan") is intended as an incentive to key</w:t>
      </w:r>
    </w:p>
    <w:p>
      <w:pPr>
        <w:spacing w:after="0" w:line="2" w:lineRule="exact"/>
        <w:rPr>
          <w:sz w:val="20"/>
          <w:szCs w:val="20"/>
          <w:color w:val="auto"/>
        </w:rPr>
      </w:pPr>
    </w:p>
    <w:p>
      <w:pPr>
        <w:ind w:left="8" w:right="3159"/>
        <w:spacing w:after="0" w:line="258" w:lineRule="auto"/>
        <w:rPr>
          <w:sz w:val="20"/>
          <w:szCs w:val="20"/>
          <w:color w:val="auto"/>
        </w:rPr>
      </w:pPr>
      <w:r>
        <w:rPr>
          <w:rFonts w:ascii="Courier New" w:cs="Courier New" w:eastAsia="Courier New" w:hAnsi="Courier New"/>
          <w:sz w:val="15"/>
          <w:szCs w:val="15"/>
          <w:color w:val="auto"/>
        </w:rPr>
        <w:t>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80" w:lineRule="exact"/>
        <w:rPr>
          <w:sz w:val="20"/>
          <w:szCs w:val="20"/>
          <w:color w:val="auto"/>
        </w:rPr>
      </w:pPr>
    </w:p>
    <w:p>
      <w:pPr>
        <w:ind w:left="448" w:hanging="448"/>
        <w:spacing w:after="0"/>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30" w:lineRule="exact"/>
        <w:rPr>
          <w:sz w:val="20"/>
          <w:szCs w:val="20"/>
          <w:color w:val="auto"/>
        </w:rPr>
      </w:pPr>
    </w:p>
    <w:p>
      <w:pPr>
        <w:ind w:left="8" w:right="3159" w:hanging="8"/>
        <w:spacing w:after="0" w:line="249"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9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full power and authority to interpret the</w:t>
      </w:r>
    </w:p>
    <w:p>
      <w:pPr>
        <w:spacing w:after="0" w:line="30" w:lineRule="exact"/>
        <w:rPr>
          <w:rFonts w:ascii="Courier New" w:cs="Courier New" w:eastAsia="Courier New" w:hAnsi="Courier New"/>
          <w:sz w:val="15"/>
          <w:szCs w:val="15"/>
          <w:color w:val="auto"/>
        </w:rPr>
      </w:pPr>
    </w:p>
    <w:p>
      <w:pPr>
        <w:ind w:left="8" w:right="315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500,000 shares during the life of the Plan, and whether such Stock Option shall be designated an "incentive stock option" or a "non-qualified stock option."</w:t>
      </w:r>
    </w:p>
    <w:p>
      <w:pPr>
        <w:spacing w:after="0" w:line="73" w:lineRule="exact"/>
        <w:rPr>
          <w:rFonts w:ascii="Courier New" w:cs="Courier New" w:eastAsia="Courier New" w:hAnsi="Courier New"/>
          <w:sz w:val="15"/>
          <w:szCs w:val="15"/>
          <w:color w:val="auto"/>
        </w:rPr>
      </w:pPr>
    </w:p>
    <w:p>
      <w:pPr>
        <w:ind w:left="8" w:right="3259" w:hanging="8"/>
        <w:spacing w:after="0" w:line="281"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64" w:lineRule="exact"/>
        <w:rPr>
          <w:rFonts w:ascii="Courier New" w:cs="Courier New" w:eastAsia="Courier New" w:hAnsi="Courier New"/>
          <w:sz w:val="15"/>
          <w:szCs w:val="15"/>
          <w:color w:val="auto"/>
        </w:rPr>
      </w:pPr>
    </w:p>
    <w:p>
      <w:pPr>
        <w:ind w:left="8" w:right="3159" w:hanging="8"/>
        <w:spacing w:after="0" w:line="266"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74" w:lineRule="exact"/>
        <w:rPr>
          <w:sz w:val="20"/>
          <w:szCs w:val="20"/>
          <w:color w:val="auto"/>
        </w:rPr>
      </w:pPr>
    </w:p>
    <w:p>
      <w:pPr>
        <w:ind w:left="448" w:hanging="448"/>
        <w:spacing w:after="0"/>
        <w:tabs>
          <w:tab w:leader="none" w:pos="4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of Stock Options</w:t>
      </w:r>
    </w:p>
    <w:p>
      <w:pPr>
        <w:spacing w:after="0" w:line="30" w:lineRule="exact"/>
        <w:rPr>
          <w:sz w:val="20"/>
          <w:szCs w:val="20"/>
          <w:color w:val="auto"/>
        </w:rPr>
      </w:pPr>
    </w:p>
    <w:p>
      <w:pPr>
        <w:ind w:left="8" w:right="3159" w:hanging="8"/>
        <w:spacing w:after="0" w:line="249" w:lineRule="auto"/>
        <w:tabs>
          <w:tab w:leader="none" w:pos="36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8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7"/>
          </w:cols>
          <w:pgMar w:left="232" w:top="607" w:right="1440" w:bottom="1440" w:gutter="0" w:footer="0" w:header="0"/>
        </w:sectPr>
      </w:pPr>
    </w:p>
    <w:bookmarkStart w:id="37" w:name="page38"/>
    <w:bookmarkEnd w:id="37"/>
    <w:p>
      <w:pPr>
        <w:ind w:left="8" w:right="3159" w:hanging="8"/>
        <w:spacing w:after="0" w:line="257"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82" w:lineRule="exact"/>
        <w:rPr>
          <w:rFonts w:ascii="Courier New" w:cs="Courier New" w:eastAsia="Courier New" w:hAnsi="Courier New"/>
          <w:sz w:val="15"/>
          <w:szCs w:val="15"/>
          <w:color w:val="auto"/>
        </w:rPr>
      </w:pPr>
    </w:p>
    <w:p>
      <w:pPr>
        <w:ind w:left="8" w:right="3259" w:hanging="8"/>
        <w:spacing w:after="0" w:line="272"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69" w:lineRule="exact"/>
        <w:rPr>
          <w:rFonts w:ascii="Courier New" w:cs="Courier New" w:eastAsia="Courier New" w:hAnsi="Courier New"/>
          <w:sz w:val="15"/>
          <w:szCs w:val="15"/>
          <w:color w:val="auto"/>
        </w:rPr>
      </w:pPr>
    </w:p>
    <w:p>
      <w:pPr>
        <w:ind w:left="8" w:right="3339" w:hanging="8"/>
        <w:spacing w:after="0" w:line="274" w:lineRule="auto"/>
        <w:tabs>
          <w:tab w:leader="none" w:pos="36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the shares as to which a Stock Option is exercised shall be paid in full at the time of the exercise subject to such rules, procedures and restrictions as the Committee may prescribe from time to time:</w:t>
      </w:r>
    </w:p>
    <w:p>
      <w:pPr>
        <w:ind w:left="8" w:right="3259" w:hanging="8"/>
        <w:spacing w:after="0" w:line="293" w:lineRule="auto"/>
        <w:tabs>
          <w:tab w:leader="none" w:pos="36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58" w:lineRule="exact"/>
        <w:rPr>
          <w:sz w:val="20"/>
          <w:szCs w:val="20"/>
          <w:color w:val="auto"/>
        </w:rPr>
      </w:pPr>
    </w:p>
    <w:p>
      <w:pPr>
        <w:ind w:left="448" w:hanging="448"/>
        <w:spacing w:after="0"/>
        <w:tabs>
          <w:tab w:leader="none" w:pos="4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30" w:lineRule="exact"/>
        <w:rPr>
          <w:sz w:val="20"/>
          <w:szCs w:val="20"/>
          <w:color w:val="auto"/>
        </w:rPr>
      </w:pPr>
    </w:p>
    <w:p>
      <w:pPr>
        <w:ind w:left="8" w:right="3159"/>
        <w:spacing w:after="0" w:line="249" w:lineRule="auto"/>
        <w:rPr>
          <w:sz w:val="20"/>
          <w:szCs w:val="20"/>
          <w:color w:val="auto"/>
        </w:rPr>
      </w:pPr>
      <w:r>
        <w:rPr>
          <w:rFonts w:ascii="Courier New" w:cs="Courier New" w:eastAsia="Courier New" w:hAnsi="Courier New"/>
          <w:sz w:val="15"/>
          <w:szCs w:val="15"/>
          <w:color w:val="auto"/>
        </w:rPr>
        <w:t>Subject to adjustment as provided in Section 8 hereof, there shall be subject to the Plan 9,000,000 shares of Common Stock, par value $0.01 per share, of the Company (the "Shares"). The Shares subject to the Plan shall consist of authorized and unissued shares or previously issued shares 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88" w:lineRule="exact"/>
        <w:rPr>
          <w:sz w:val="20"/>
          <w:szCs w:val="20"/>
          <w:color w:val="auto"/>
        </w:rPr>
      </w:pPr>
    </w:p>
    <w:p>
      <w:pPr>
        <w:ind w:left="448" w:hanging="448"/>
        <w:spacing w:after="0"/>
        <w:tabs>
          <w:tab w:leader="none" w:pos="4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Stock Options</w:t>
      </w:r>
    </w:p>
    <w:p>
      <w:pPr>
        <w:spacing w:after="0" w:line="30" w:lineRule="exact"/>
        <w:rPr>
          <w:sz w:val="20"/>
          <w:szCs w:val="20"/>
          <w:color w:val="auto"/>
        </w:rPr>
      </w:pPr>
    </w:p>
    <w:p>
      <w:pPr>
        <w:ind w:left="8" w:right="3159" w:hanging="8"/>
        <w:spacing w:after="0" w:line="248"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18, 2011.</w:t>
      </w:r>
    </w:p>
    <w:p>
      <w:pPr>
        <w:spacing w:after="0" w:line="9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each Share subject to a Stock Option shall be</w:t>
      </w:r>
    </w:p>
    <w:p>
      <w:pPr>
        <w:spacing w:after="0" w:line="30" w:lineRule="exact"/>
        <w:rPr>
          <w:rFonts w:ascii="Courier New" w:cs="Courier New" w:eastAsia="Courier New" w:hAnsi="Courier New"/>
          <w:sz w:val="15"/>
          <w:szCs w:val="15"/>
          <w:color w:val="auto"/>
        </w:rPr>
      </w:pPr>
    </w:p>
    <w:p>
      <w:pPr>
        <w:ind w:left="8" w:right="3339"/>
        <w:spacing w:after="0" w:line="27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w:t>
      </w:r>
    </w:p>
    <w:p>
      <w:pPr>
        <w:spacing w:after="0" w:line="7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7"/>
          </w:cols>
          <w:pgMar w:left="232" w:top="607" w:right="1440" w:bottom="1440" w:gutter="0" w:footer="0" w:header="0"/>
        </w:sectPr>
      </w:pPr>
    </w:p>
    <w:bookmarkStart w:id="38" w:name="page39"/>
    <w:bookmarkEnd w:id="38"/>
    <w:p>
      <w:pPr>
        <w:ind w:left="8" w:right="3159"/>
        <w:spacing w:after="0" w:line="257" w:lineRule="auto"/>
        <w:rPr>
          <w:sz w:val="20"/>
          <w:szCs w:val="20"/>
          <w:color w:val="auto"/>
        </w:rPr>
      </w:pPr>
      <w:r>
        <w:rPr>
          <w:rFonts w:ascii="Courier New" w:cs="Courier New" w:eastAsia="Courier New" w:hAnsi="Courier New"/>
          <w:sz w:val="15"/>
          <w:szCs w:val="15"/>
          <w:color w:val="auto"/>
        </w:rPr>
        <w:t>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83" w:lineRule="exact"/>
        <w:rPr>
          <w:sz w:val="20"/>
          <w:szCs w:val="20"/>
          <w:color w:val="auto"/>
        </w:rPr>
      </w:pPr>
    </w:p>
    <w:p>
      <w:pPr>
        <w:ind w:left="448" w:right="3159" w:hanging="448"/>
        <w:spacing w:after="0" w:line="266" w:lineRule="auto"/>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w:t>
      </w:r>
    </w:p>
    <w:p>
      <w:pPr>
        <w:spacing w:after="0" w:line="74" w:lineRule="exact"/>
        <w:rPr>
          <w:rFonts w:ascii="Courier New" w:cs="Courier New" w:eastAsia="Courier New" w:hAnsi="Courier New"/>
          <w:sz w:val="15"/>
          <w:szCs w:val="15"/>
          <w:color w:val="auto"/>
        </w:rPr>
      </w:pPr>
    </w:p>
    <w:p>
      <w:pPr>
        <w:ind w:left="448" w:right="3339" w:hanging="1"/>
        <w:spacing w:after="0" w:line="307" w:lineRule="auto"/>
        <w:tabs>
          <w:tab w:leader="none" w:pos="89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48" w:lineRule="exact"/>
        <w:rPr>
          <w:rFonts w:ascii="Courier New" w:cs="Courier New" w:eastAsia="Courier New" w:hAnsi="Courier New"/>
          <w:sz w:val="14"/>
          <w:szCs w:val="14"/>
          <w:color w:val="auto"/>
        </w:rPr>
      </w:pPr>
    </w:p>
    <w:p>
      <w:pPr>
        <w:ind w:left="448" w:right="3159" w:hanging="1"/>
        <w:spacing w:after="0" w:line="281" w:lineRule="auto"/>
        <w:tabs>
          <w:tab w:leader="none" w:pos="98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granting of any such Stock Option, the Committee may accelerate the installment exercise dates (subject, however, to any applicable limitations concerning options designated "incentive stock options").</w:t>
      </w:r>
    </w:p>
    <w:p>
      <w:pPr>
        <w:spacing w:after="0" w:line="64" w:lineRule="exact"/>
        <w:rPr>
          <w:rFonts w:ascii="Courier New" w:cs="Courier New" w:eastAsia="Courier New" w:hAnsi="Courier New"/>
          <w:sz w:val="15"/>
          <w:szCs w:val="15"/>
          <w:color w:val="auto"/>
        </w:rPr>
      </w:pPr>
    </w:p>
    <w:p>
      <w:pPr>
        <w:ind w:left="888" w:right="3159" w:hanging="441"/>
        <w:spacing w:after="0" w:line="259" w:lineRule="auto"/>
        <w:tabs>
          <w:tab w:leader="none" w:pos="888"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81" w:lineRule="exact"/>
        <w:rPr>
          <w:rFonts w:ascii="Courier New" w:cs="Courier New" w:eastAsia="Courier New" w:hAnsi="Courier New"/>
          <w:sz w:val="15"/>
          <w:szCs w:val="15"/>
          <w:color w:val="auto"/>
        </w:rPr>
      </w:pPr>
    </w:p>
    <w:p>
      <w:pPr>
        <w:ind w:left="888" w:right="3259" w:firstLine="6"/>
        <w:spacing w:after="0" w:line="254" w:lineRule="auto"/>
        <w:tabs>
          <w:tab w:leader="none" w:pos="1246"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spacing w:after="0" w:line="86" w:lineRule="exact"/>
        <w:rPr>
          <w:rFonts w:ascii="Courier New" w:cs="Courier New" w:eastAsia="Courier New" w:hAnsi="Courier New"/>
          <w:sz w:val="15"/>
          <w:szCs w:val="15"/>
          <w:color w:val="auto"/>
        </w:rPr>
      </w:pPr>
    </w:p>
    <w:p>
      <w:pPr>
        <w:ind w:left="888" w:right="3339" w:firstLine="6"/>
        <w:spacing w:after="0" w:line="283" w:lineRule="auto"/>
        <w:tabs>
          <w:tab w:leader="none" w:pos="1246"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67" w:lineRule="exact"/>
        <w:rPr>
          <w:rFonts w:ascii="Courier New" w:cs="Courier New" w:eastAsia="Courier New" w:hAnsi="Courier New"/>
          <w:sz w:val="14"/>
          <w:szCs w:val="14"/>
          <w:color w:val="auto"/>
        </w:rPr>
      </w:pPr>
    </w:p>
    <w:p>
      <w:pPr>
        <w:ind w:left="888" w:right="3159" w:firstLine="6"/>
        <w:spacing w:after="0" w:line="280" w:lineRule="auto"/>
        <w:tabs>
          <w:tab w:leader="none" w:pos="1246"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the optionee engages in 'detrimental activity' (as hereinafter defined) within one year after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w:t>
      </w:r>
    </w:p>
    <w:p>
      <w:pPr>
        <w:spacing w:after="0" w:line="6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27"/>
          </w:cols>
          <w:pgMar w:left="232" w:top="607" w:right="1440" w:bottom="1440" w:gutter="0" w:footer="0" w:header="0"/>
        </w:sectPr>
      </w:pPr>
    </w:p>
    <w:bookmarkStart w:id="39" w:name="page40"/>
    <w:bookmarkEnd w:id="39"/>
    <w:p>
      <w:pPr>
        <w:ind w:left="441" w:right="3159"/>
        <w:spacing w:after="0" w:line="247" w:lineRule="auto"/>
        <w:rPr>
          <w:sz w:val="20"/>
          <w:szCs w:val="20"/>
          <w:color w:val="auto"/>
        </w:rPr>
      </w:pPr>
      <w:r>
        <w:rPr>
          <w:rFonts w:ascii="Courier New" w:cs="Courier New" w:eastAsia="Courier New" w:hAnsi="Courier New"/>
          <w:sz w:val="15"/>
          <w:szCs w:val="15"/>
          <w:color w:val="auto"/>
        </w:rPr>
        <w:t>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98" w:lineRule="exact"/>
        <w:rPr>
          <w:sz w:val="20"/>
          <w:szCs w:val="20"/>
          <w:color w:val="auto"/>
        </w:rPr>
      </w:pPr>
    </w:p>
    <w:p>
      <w:pPr>
        <w:ind w:left="441" w:right="3339" w:hanging="441"/>
        <w:spacing w:after="0" w:line="270" w:lineRule="auto"/>
        <w:tabs>
          <w:tab w:leader="none" w:pos="44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If the optionee's employment with the Company is terminated due to retirement (within the meaning of any prevailing pension plan in which such optionee is a participant), such Stock Option shall be exercisable by such optionee at any time during the period of sixty</w:t>
      </w:r>
    </w:p>
    <w:p>
      <w:pPr>
        <w:spacing w:after="0" w:line="2" w:lineRule="exact"/>
        <w:rPr>
          <w:rFonts w:ascii="Courier New" w:cs="Courier New" w:eastAsia="Courier New" w:hAnsi="Courier New"/>
          <w:sz w:val="14"/>
          <w:szCs w:val="14"/>
          <w:color w:val="auto"/>
        </w:rPr>
      </w:pPr>
    </w:p>
    <w:p>
      <w:pPr>
        <w:ind w:left="441" w:right="3159" w:firstLine="6"/>
        <w:spacing w:after="0" w:line="268" w:lineRule="auto"/>
        <w:tabs>
          <w:tab w:leader="none" w:pos="88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such termination or the remainder of the option period, whichever is less, provided that such option may be exercised after such termination and before expiration only to the extent that it is exercisable on the date of such termination.</w:t>
      </w:r>
    </w:p>
    <w:p>
      <w:pPr>
        <w:spacing w:after="0" w:line="73" w:lineRule="exact"/>
        <w:rPr>
          <w:sz w:val="20"/>
          <w:szCs w:val="20"/>
          <w:color w:val="auto"/>
        </w:rPr>
      </w:pPr>
    </w:p>
    <w:p>
      <w:pPr>
        <w:ind w:left="801" w:hanging="354"/>
        <w:spacing w:after="0"/>
        <w:tabs>
          <w:tab w:leader="none" w:pos="801"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during such extended exercise</w:t>
      </w:r>
    </w:p>
    <w:p>
      <w:pPr>
        <w:spacing w:after="0" w:line="30" w:lineRule="exact"/>
        <w:rPr>
          <w:rFonts w:ascii="Courier New" w:cs="Courier New" w:eastAsia="Courier New" w:hAnsi="Courier New"/>
          <w:sz w:val="15"/>
          <w:szCs w:val="15"/>
          <w:color w:val="auto"/>
        </w:rPr>
      </w:pPr>
    </w:p>
    <w:p>
      <w:pPr>
        <w:ind w:left="441" w:right="31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80" w:lineRule="exact"/>
        <w:rPr>
          <w:rFonts w:ascii="Courier New" w:cs="Courier New" w:eastAsia="Courier New" w:hAnsi="Courier New"/>
          <w:sz w:val="15"/>
          <w:szCs w:val="15"/>
          <w:color w:val="auto"/>
        </w:rPr>
      </w:pPr>
    </w:p>
    <w:p>
      <w:pPr>
        <w:ind w:left="801" w:hanging="354"/>
        <w:spacing w:after="0"/>
        <w:tabs>
          <w:tab w:leader="none" w:pos="801"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the optionee engages in</w:t>
      </w:r>
    </w:p>
    <w:p>
      <w:pPr>
        <w:spacing w:after="0" w:line="30" w:lineRule="exact"/>
        <w:rPr>
          <w:rFonts w:ascii="Courier New" w:cs="Courier New" w:eastAsia="Courier New" w:hAnsi="Courier New"/>
          <w:sz w:val="15"/>
          <w:szCs w:val="15"/>
          <w:color w:val="auto"/>
        </w:rPr>
      </w:pPr>
    </w:p>
    <w:p>
      <w:pPr>
        <w:ind w:left="441" w:right="31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'detrimental activity' (as defined in Section 5(c)(iv)(D))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95" w:lineRule="exact"/>
        <w:rPr>
          <w:rFonts w:ascii="Courier New" w:cs="Courier New" w:eastAsia="Courier New" w:hAnsi="Courier New"/>
          <w:sz w:val="15"/>
          <w:szCs w:val="15"/>
          <w:color w:val="auto"/>
        </w:rPr>
      </w:pPr>
    </w:p>
    <w:p>
      <w:pPr>
        <w:jc w:val="both"/>
        <w:ind w:left="1" w:right="3519" w:hanging="1"/>
        <w:spacing w:after="0" w:line="301" w:lineRule="auto"/>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paragraph (c), in no event may a Stock Option be exercised after the expiration of ten (10) years from the date such Stock Option is granted.</w:t>
      </w:r>
    </w:p>
    <w:p>
      <w:pPr>
        <w:spacing w:after="0" w:line="49"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9780"/>
          </w:cols>
          <w:pgMar w:left="679" w:top="607" w:right="1440" w:bottom="1440" w:gutter="0" w:footer="0" w:header="0"/>
        </w:sectPr>
      </w:pPr>
    </w:p>
    <w:bookmarkStart w:id="40" w:name="page41"/>
    <w:bookmarkEnd w:id="40"/>
    <w:p>
      <w:pPr>
        <w:ind w:left="8" w:right="3159" w:hanging="8"/>
        <w:spacing w:after="0" w:line="259" w:lineRule="auto"/>
        <w:tabs>
          <w:tab w:leader="none" w:pos="3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81" w:lineRule="exact"/>
        <w:rPr>
          <w:rFonts w:ascii="Courier New" w:cs="Courier New" w:eastAsia="Courier New" w:hAnsi="Courier New"/>
          <w:sz w:val="15"/>
          <w:szCs w:val="15"/>
          <w:color w:val="auto"/>
        </w:rPr>
      </w:pPr>
    </w:p>
    <w:p>
      <w:pPr>
        <w:ind w:left="8" w:right="3159" w:hanging="8"/>
        <w:spacing w:after="0" w:line="359" w:lineRule="auto"/>
        <w:tabs>
          <w:tab w:leader="none" w:pos="3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designate whether a Stock Option is to be an "incentive stock option" for purposes of Section 422 of the Code.</w:t>
      </w:r>
    </w:p>
    <w:p>
      <w:pPr>
        <w:spacing w:after="0" w:line="8" w:lineRule="exact"/>
        <w:rPr>
          <w:sz w:val="20"/>
          <w:szCs w:val="20"/>
          <w:color w:val="auto"/>
        </w:rPr>
      </w:pPr>
    </w:p>
    <w:p>
      <w:pPr>
        <w:ind w:left="348" w:hanging="348"/>
        <w:spacing w:after="0"/>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of Stock Options</w:t>
      </w:r>
    </w:p>
    <w:p>
      <w:pPr>
        <w:spacing w:after="0" w:line="30" w:lineRule="exact"/>
        <w:rPr>
          <w:sz w:val="20"/>
          <w:szCs w:val="20"/>
          <w:color w:val="auto"/>
        </w:rPr>
      </w:pPr>
    </w:p>
    <w:p>
      <w:pPr>
        <w:ind w:left="8" w:right="3159"/>
        <w:spacing w:after="0" w:line="249" w:lineRule="auto"/>
        <w:rPr>
          <w:sz w:val="20"/>
          <w:szCs w:val="20"/>
          <w:color w:val="auto"/>
        </w:rPr>
      </w:pPr>
      <w:r>
        <w:rPr>
          <w:rFonts w:ascii="Courier New" w:cs="Courier New" w:eastAsia="Courier New" w:hAnsi="Courier New"/>
          <w:sz w:val="15"/>
          <w:szCs w:val="15"/>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93"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30" w:lineRule="exact"/>
        <w:rPr>
          <w:sz w:val="20"/>
          <w:szCs w:val="20"/>
          <w:color w:val="auto"/>
        </w:rPr>
      </w:pPr>
    </w:p>
    <w:p>
      <w:pPr>
        <w:ind w:left="8" w:right="3159"/>
        <w:spacing w:after="0" w:line="272" w:lineRule="auto"/>
        <w:rPr>
          <w:sz w:val="20"/>
          <w:szCs w:val="20"/>
          <w:color w:val="auto"/>
        </w:rPr>
      </w:pPr>
      <w:r>
        <w:rPr>
          <w:rFonts w:ascii="Courier New" w:cs="Courier New" w:eastAsia="Courier New" w:hAnsi="Courier New"/>
          <w:sz w:val="14"/>
          <w:szCs w:val="14"/>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74"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Reorganizations and Recapitalizations of the Company</w:t>
      </w:r>
    </w:p>
    <w:p>
      <w:pPr>
        <w:spacing w:after="0" w:line="30" w:lineRule="exact"/>
        <w:rPr>
          <w:sz w:val="20"/>
          <w:szCs w:val="20"/>
          <w:color w:val="auto"/>
        </w:rPr>
      </w:pPr>
    </w:p>
    <w:p>
      <w:pPr>
        <w:ind w:left="8" w:right="3159" w:hanging="8"/>
        <w:spacing w:after="0" w:line="252" w:lineRule="auto"/>
        <w:tabs>
          <w:tab w:leader="none" w:pos="3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86" w:lineRule="exact"/>
        <w:rPr>
          <w:rFonts w:ascii="Courier New" w:cs="Courier New" w:eastAsia="Courier New" w:hAnsi="Courier New"/>
          <w:sz w:val="15"/>
          <w:szCs w:val="15"/>
          <w:color w:val="auto"/>
        </w:rPr>
      </w:pPr>
    </w:p>
    <w:p>
      <w:pPr>
        <w:ind w:left="8" w:right="3159" w:hanging="8"/>
        <w:spacing w:after="0" w:line="259" w:lineRule="auto"/>
        <w:tabs>
          <w:tab w:leader="none" w:pos="3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81" w:lineRule="exact"/>
        <w:rPr>
          <w:rFonts w:ascii="Courier New" w:cs="Courier New" w:eastAsia="Courier New" w:hAnsi="Courier New"/>
          <w:sz w:val="15"/>
          <w:szCs w:val="15"/>
          <w:color w:val="auto"/>
        </w:rPr>
      </w:pPr>
    </w:p>
    <w:p>
      <w:pPr>
        <w:ind w:left="8" w:right="3159" w:hanging="8"/>
        <w:spacing w:after="0" w:line="262" w:lineRule="auto"/>
        <w:tabs>
          <w:tab w:leader="none" w:pos="36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w:t>
      </w:r>
    </w:p>
    <w:p>
      <w:pPr>
        <w:spacing w:after="0" w:line="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27"/>
          </w:cols>
          <w:pgMar w:left="232" w:top="607" w:right="1440" w:bottom="1440" w:gutter="0" w:footer="0" w:header="0"/>
        </w:sectPr>
      </w:pPr>
    </w:p>
    <w:bookmarkStart w:id="41" w:name="page42"/>
    <w:bookmarkEnd w:id="41"/>
    <w:p>
      <w:pPr>
        <w:ind w:left="8" w:right="3259"/>
        <w:spacing w:after="0" w:line="281" w:lineRule="auto"/>
        <w:rPr>
          <w:sz w:val="20"/>
          <w:szCs w:val="20"/>
          <w:color w:val="auto"/>
        </w:rPr>
      </w:pPr>
      <w:r>
        <w:rPr>
          <w:rFonts w:ascii="Courier New" w:cs="Courier New" w:eastAsia="Courier New" w:hAnsi="Courier New"/>
          <w:sz w:val="15"/>
          <w:szCs w:val="15"/>
          <w:color w:val="auto"/>
        </w:rPr>
        <w:t>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64" w:lineRule="exact"/>
        <w:rPr>
          <w:sz w:val="20"/>
          <w:szCs w:val="20"/>
          <w:color w:val="auto"/>
        </w:rPr>
      </w:pPr>
    </w:p>
    <w:p>
      <w:pPr>
        <w:ind w:left="628" w:right="3259" w:hanging="2"/>
        <w:spacing w:after="0" w:line="301" w:lineRule="auto"/>
        <w:tabs>
          <w:tab w:leader="none" w:pos="986"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increase in the number of outstanding shares, be proportionately increased, and the cash consideration (if any) payable per Share shall be proportionately reduced; and</w:t>
      </w:r>
    </w:p>
    <w:p>
      <w:pPr>
        <w:spacing w:after="0" w:line="48" w:lineRule="exact"/>
        <w:rPr>
          <w:rFonts w:ascii="Courier New" w:cs="Courier New" w:eastAsia="Courier New" w:hAnsi="Courier New"/>
          <w:sz w:val="15"/>
          <w:szCs w:val="15"/>
          <w:color w:val="auto"/>
        </w:rPr>
      </w:pPr>
    </w:p>
    <w:p>
      <w:pPr>
        <w:jc w:val="both"/>
        <w:ind w:left="628" w:right="3159" w:hanging="2"/>
        <w:spacing w:after="0" w:line="301" w:lineRule="auto"/>
        <w:tabs>
          <w:tab w:leader="none" w:pos="1075"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reduction in the number of outstanding shares, be proportionately reduced, and the cash consideration (if any) payable per Share shall be proportionately increased.</w:t>
      </w:r>
    </w:p>
    <w:p>
      <w:pPr>
        <w:spacing w:after="0" w:line="48" w:lineRule="exact"/>
        <w:rPr>
          <w:rFonts w:ascii="Courier New" w:cs="Courier New" w:eastAsia="Courier New" w:hAnsi="Courier New"/>
          <w:sz w:val="15"/>
          <w:szCs w:val="15"/>
          <w:color w:val="auto"/>
        </w:rPr>
      </w:pPr>
    </w:p>
    <w:p>
      <w:pPr>
        <w:ind w:left="8" w:right="3159" w:hanging="8"/>
        <w:spacing w:after="0" w:line="248" w:lineRule="auto"/>
        <w:tabs>
          <w:tab w:leader="none" w:pos="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94"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of 1933 and Exchange Listing</w:t>
      </w:r>
    </w:p>
    <w:p>
      <w:pPr>
        <w:spacing w:after="0" w:line="30" w:lineRule="exact"/>
        <w:rPr>
          <w:sz w:val="20"/>
          <w:szCs w:val="20"/>
          <w:color w:val="auto"/>
        </w:rPr>
      </w:pPr>
    </w:p>
    <w:p>
      <w:pPr>
        <w:ind w:left="8" w:right="3159"/>
        <w:spacing w:after="0" w:line="262" w:lineRule="auto"/>
        <w:rPr>
          <w:sz w:val="20"/>
          <w:szCs w:val="20"/>
          <w:color w:val="auto"/>
        </w:rPr>
      </w:pPr>
      <w:r>
        <w:rPr>
          <w:rFonts w:ascii="Courier New" w:cs="Courier New" w:eastAsia="Courier New" w:hAnsi="Courier New"/>
          <w:sz w:val="15"/>
          <w:szCs w:val="15"/>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77" w:lineRule="exact"/>
        <w:rPr>
          <w:sz w:val="20"/>
          <w:szCs w:val="20"/>
          <w:color w:val="auto"/>
        </w:rPr>
      </w:pPr>
    </w:p>
    <w:p>
      <w:pPr>
        <w:ind w:left="528" w:hanging="528"/>
        <w:spacing w:after="0"/>
        <w:tabs>
          <w:tab w:leader="none" w:pos="52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and Returns</w:t>
      </w:r>
    </w:p>
    <w:p>
      <w:pPr>
        <w:spacing w:after="0" w:line="30" w:lineRule="exact"/>
        <w:rPr>
          <w:sz w:val="20"/>
          <w:szCs w:val="20"/>
          <w:color w:val="auto"/>
        </w:rPr>
      </w:pPr>
    </w:p>
    <w:p>
      <w:pPr>
        <w:ind w:left="8" w:right="3159"/>
        <w:spacing w:after="0" w:line="285" w:lineRule="auto"/>
        <w:rPr>
          <w:sz w:val="20"/>
          <w:szCs w:val="20"/>
          <w:color w:val="auto"/>
        </w:rPr>
      </w:pPr>
      <w:r>
        <w:rPr>
          <w:rFonts w:ascii="Courier New" w:cs="Courier New" w:eastAsia="Courier New" w:hAnsi="Courier New"/>
          <w:sz w:val="14"/>
          <w:szCs w:val="14"/>
          <w:color w:val="auto"/>
        </w:rPr>
        <w:t>The appropriate officers of the Company shall cause to be filed any reports, returns or other information regarding the Stock Options granted hereunder or any Shares issued pursuant to the exercise thereof or a payment made hereunder, as may be required by Section 13 or 15(d) of the Securities Exchange Act of 1934, as amended, or any other applicable statute, rule or regulation.</w:t>
      </w:r>
    </w:p>
    <w:p>
      <w:pPr>
        <w:spacing w:after="0" w:line="62" w:lineRule="exact"/>
        <w:rPr>
          <w:sz w:val="20"/>
          <w:szCs w:val="20"/>
          <w:color w:val="auto"/>
        </w:rPr>
      </w:pPr>
    </w:p>
    <w:p>
      <w:pPr>
        <w:ind w:left="528" w:hanging="528"/>
        <w:spacing w:after="0"/>
        <w:tabs>
          <w:tab w:leader="none" w:pos="52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w:t>
      </w:r>
    </w:p>
    <w:p>
      <w:pPr>
        <w:spacing w:after="0" w:line="30" w:lineRule="exact"/>
        <w:rPr>
          <w:sz w:val="20"/>
          <w:szCs w:val="20"/>
          <w:color w:val="auto"/>
        </w:rPr>
      </w:pPr>
    </w:p>
    <w:p>
      <w:pPr>
        <w:ind w:left="8" w:right="3259"/>
        <w:spacing w:after="0" w:line="262" w:lineRule="auto"/>
        <w:rPr>
          <w:sz w:val="20"/>
          <w:szCs w:val="20"/>
          <w:color w:val="auto"/>
        </w:rPr>
      </w:pPr>
      <w:r>
        <w:rPr>
          <w:rFonts w:ascii="Courier New" w:cs="Courier New" w:eastAsia="Courier New" w:hAnsi="Courier New"/>
          <w:sz w:val="15"/>
          <w:szCs w:val="15"/>
          <w:color w:val="auto"/>
        </w:rPr>
        <w:t>The Plan shall be effective February 16, 2001,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February 16, 2011.</w:t>
      </w:r>
    </w:p>
    <w:p>
      <w:pPr>
        <w:spacing w:after="0" w:line="77" w:lineRule="exact"/>
        <w:rPr>
          <w:sz w:val="20"/>
          <w:szCs w:val="20"/>
          <w:color w:val="auto"/>
        </w:rPr>
      </w:pPr>
    </w:p>
    <w:p>
      <w:pPr>
        <w:ind w:left="528" w:hanging="528"/>
        <w:spacing w:after="0"/>
        <w:tabs>
          <w:tab w:leader="none" w:pos="52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w:t>
      </w:r>
    </w:p>
    <w:p>
      <w:pPr>
        <w:spacing w:after="0" w:line="30" w:lineRule="exact"/>
        <w:rPr>
          <w:sz w:val="20"/>
          <w:szCs w:val="20"/>
          <w:color w:val="auto"/>
        </w:rPr>
      </w:pPr>
    </w:p>
    <w:p>
      <w:pPr>
        <w:ind w:left="8" w:right="3519"/>
        <w:spacing w:after="0" w:line="281" w:lineRule="auto"/>
        <w:rPr>
          <w:sz w:val="20"/>
          <w:szCs w:val="20"/>
          <w:color w:val="auto"/>
        </w:rPr>
      </w:pPr>
      <w:r>
        <w:rPr>
          <w:rFonts w:ascii="Courier New" w:cs="Courier New" w:eastAsia="Courier New" w:hAnsi="Courier New"/>
          <w:sz w:val="15"/>
          <w:szCs w:val="15"/>
          <w:color w:val="auto"/>
        </w:rPr>
        <w:t>The Board of Directors may amend, alter or discontinue the Plan at any time insofar as permitted by law, but no amendment or alteration shall be made without the approval of the stockholders:</w:t>
      </w:r>
    </w:p>
    <w:p>
      <w:pPr>
        <w:spacing w:after="0" w:line="6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27"/>
          </w:cols>
          <w:pgMar w:left="232" w:top="607" w:right="1440" w:bottom="1440" w:gutter="0" w:footer="0" w:header="0"/>
        </w:sectPr>
      </w:pPr>
    </w:p>
    <w:bookmarkStart w:id="42" w:name="page43"/>
    <w:bookmarkEnd w:id="42"/>
    <w:p>
      <w:pPr>
        <w:ind w:left="8" w:right="3259" w:hanging="8"/>
        <w:spacing w:after="0" w:line="272" w:lineRule="auto"/>
        <w:tabs>
          <w:tab w:leader="none" w:pos="36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69" w:lineRule="exact"/>
        <w:rPr>
          <w:rFonts w:ascii="Courier New" w:cs="Courier New" w:eastAsia="Courier New" w:hAnsi="Courier New"/>
          <w:sz w:val="15"/>
          <w:szCs w:val="15"/>
          <w:color w:val="auto"/>
        </w:rPr>
      </w:pPr>
    </w:p>
    <w:p>
      <w:pPr>
        <w:ind w:left="8" w:right="3519" w:hanging="8"/>
        <w:spacing w:after="0" w:line="359" w:lineRule="auto"/>
        <w:tabs>
          <w:tab w:leader="none" w:pos="36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such amendment requires stockholder approval under Section 422 of the Code (or any successor provision).</w:t>
      </w:r>
    </w:p>
    <w:p>
      <w:pPr>
        <w:spacing w:after="0" w:line="8" w:lineRule="exact"/>
        <w:rPr>
          <w:sz w:val="20"/>
          <w:szCs w:val="20"/>
          <w:color w:val="auto"/>
        </w:rPr>
      </w:pPr>
    </w:p>
    <w:p>
      <w:pPr>
        <w:ind w:left="8" w:right="3159"/>
        <w:spacing w:after="0" w:line="301" w:lineRule="auto"/>
        <w:rPr>
          <w:sz w:val="20"/>
          <w:szCs w:val="20"/>
          <w:color w:val="auto"/>
        </w:rPr>
      </w:pPr>
      <w:r>
        <w:rPr>
          <w:rFonts w:ascii="Courier New" w:cs="Courier New" w:eastAsia="Courier New" w:hAnsi="Courier New"/>
          <w:sz w:val="15"/>
          <w:szCs w:val="15"/>
          <w:color w:val="auto"/>
        </w:rPr>
        <w:t>No amendment of the Plan shall alter or impair any of the rights or obligations of any person, without his or her consent, under any option or right theretofore granted under the Plan.</w:t>
      </w:r>
    </w:p>
    <w:p>
      <w:pPr>
        <w:spacing w:after="0" w:line="49" w:lineRule="exact"/>
        <w:rPr>
          <w:sz w:val="20"/>
          <w:szCs w:val="20"/>
          <w:color w:val="auto"/>
        </w:rPr>
      </w:pPr>
    </w:p>
    <w:p>
      <w:pPr>
        <w:ind w:left="528" w:hanging="528"/>
        <w:spacing w:after="0"/>
        <w:tabs>
          <w:tab w:leader="none" w:pos="52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Regulations</w:t>
      </w:r>
    </w:p>
    <w:p>
      <w:pPr>
        <w:spacing w:after="0" w:line="30" w:lineRule="exact"/>
        <w:rPr>
          <w:sz w:val="20"/>
          <w:szCs w:val="20"/>
          <w:color w:val="auto"/>
        </w:rPr>
      </w:pPr>
    </w:p>
    <w:p>
      <w:pPr>
        <w:ind w:left="8" w:right="3159"/>
        <w:spacing w:after="0" w:line="249" w:lineRule="auto"/>
        <w:rPr>
          <w:sz w:val="20"/>
          <w:szCs w:val="20"/>
          <w:color w:val="auto"/>
        </w:rPr>
      </w:pPr>
      <w:r>
        <w:rPr>
          <w:rFonts w:ascii="Courier New" w:cs="Courier New" w:eastAsia="Courier New" w:hAnsi="Courier New"/>
          <w:sz w:val="15"/>
          <w:szCs w:val="15"/>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9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27"/>
          </w:cols>
          <w:pgMar w:left="232" w:top="60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P R O X Y</w:t>
      </w:r>
    </w:p>
    <w:p>
      <w:pPr>
        <w:spacing w:after="0" w:line="3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174" w:lineRule="exact"/>
        <w:rPr>
          <w:sz w:val="20"/>
          <w:szCs w:val="20"/>
          <w:color w:val="auto"/>
        </w:rPr>
      </w:pPr>
    </w:p>
    <w:p>
      <w:pPr>
        <w:ind w:right="3079"/>
        <w:spacing w:after="0" w:line="255" w:lineRule="auto"/>
        <w:rPr>
          <w:sz w:val="20"/>
          <w:szCs w:val="20"/>
          <w:color w:val="auto"/>
        </w:rPr>
      </w:pPr>
      <w:r>
        <w:rPr>
          <w:rFonts w:ascii="Courier New" w:cs="Courier New" w:eastAsia="Courier New" w:hAnsi="Courier New"/>
          <w:sz w:val="15"/>
          <w:szCs w:val="15"/>
          <w:color w:val="auto"/>
        </w:rPr>
        <w:t>The undersigned, having received the Notice and Proxy Statement of the Annual General Meeting of Stockholders and the 2000 Annual Report to Stockholders, hereby appoints Lupe A. Bosnie, Florence van Der Steur-De Jong, Jan A. Koning, and Chris W.T. Nordemann and each of them, proxies, with power of subsititution,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Avila Beach Hotel, Penstraat 130, Willemstad, Curacao, Netherlands Antilles on April 11, 2001, and at any adjournment or adjournments thereof.</w:t>
      </w:r>
    </w:p>
    <w:p>
      <w:pPr>
        <w:spacing w:after="0" w:line="87" w:lineRule="exact"/>
        <w:rPr>
          <w:sz w:val="20"/>
          <w:szCs w:val="20"/>
          <w:color w:val="auto"/>
        </w:rPr>
      </w:pPr>
    </w:p>
    <w:p>
      <w:pPr>
        <w:ind w:right="3339"/>
        <w:spacing w:after="0" w:line="354" w:lineRule="auto"/>
        <w:rPr>
          <w:sz w:val="20"/>
          <w:szCs w:val="20"/>
          <w:color w:val="auto"/>
        </w:rPr>
      </w:pPr>
      <w:r>
        <w:rPr>
          <w:rFonts w:ascii="Courier New" w:cs="Courier New" w:eastAsia="Courier New" w:hAnsi="Courier New"/>
          <w:sz w:val="15"/>
          <w:szCs w:val="15"/>
          <w:color w:val="auto"/>
        </w:rPr>
        <w:t>If no other indication is made, the proxies will vote FOR the election of the director nominees and FOR Proposals 2, 3(a), 3(b), 4 and 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vMerge w:val="restart"/>
          </w:tcPr>
          <w:p>
            <w:pPr>
              <w:spacing w:after="0"/>
              <w:rPr>
                <w:sz w:val="20"/>
                <w:szCs w:val="20"/>
                <w:color w:val="auto"/>
              </w:rPr>
            </w:pPr>
            <w:r>
              <w:rPr>
                <w:rFonts w:ascii="Courier New" w:cs="Courier New" w:eastAsia="Courier New" w:hAnsi="Courier New"/>
                <w:sz w:val="19"/>
                <w:szCs w:val="19"/>
                <w:color w:val="auto"/>
                <w:w w:val="74"/>
                <w:vertAlign w:val="subscript"/>
              </w:rPr>
              <w:t>SEE</w:t>
            </w: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REVERSESIDE</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1640" w:type="dxa"/>
            <w:vAlign w:val="bottom"/>
            <w:vMerge w:val="continue"/>
          </w:tcPr>
          <w:p>
            <w:pPr>
              <w:spacing w:after="0"/>
              <w:rPr>
                <w:sz w:val="14"/>
                <w:szCs w:val="14"/>
                <w:color w:val="auto"/>
              </w:rPr>
            </w:pPr>
          </w:p>
        </w:tc>
        <w:tc>
          <w:tcPr>
            <w:tcW w:w="56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Continued and to be signed on reverse side   SEE REVERSE SIDE</w:t>
            </w:r>
          </w:p>
        </w:tc>
        <w:tc>
          <w:tcPr>
            <w:tcW w:w="0" w:type="dxa"/>
            <w:vAlign w:val="bottom"/>
          </w:tcPr>
          <w:p>
            <w:pPr>
              <w:spacing w:after="0"/>
              <w:rPr>
                <w:sz w:val="1"/>
                <w:szCs w:val="1"/>
                <w:color w:val="auto"/>
              </w:rPr>
            </w:pPr>
          </w:p>
        </w:tc>
      </w:tr>
      <w:tr>
        <w:trPr>
          <w:trHeight w:val="252"/>
        </w:trPr>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779" w:right="1440" w:bottom="1440" w:gutter="0" w:footer="0" w:header="0"/>
        </w:sectPr>
      </w:pPr>
    </w:p>
    <w:bookmarkStart w:id="44" w:name="page45"/>
    <w:bookmarkEnd w:id="44"/>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votes as in this example</w:t>
      </w:r>
    </w:p>
    <w:p>
      <w:pPr>
        <w:spacing w:after="0" w:line="346" w:lineRule="exact"/>
        <w:rPr>
          <w:sz w:val="20"/>
          <w:szCs w:val="20"/>
          <w:color w:val="auto"/>
        </w:rPr>
      </w:pPr>
    </w:p>
    <w:p>
      <w:pPr>
        <w:jc w:val="both"/>
        <w:ind w:left="8" w:right="3159"/>
        <w:spacing w:after="0" w:line="301"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 Directors recommend a vote FOR items 1, 2, 3(a), 3(b), 4 and 5.</w:t>
      </w:r>
    </w:p>
    <w:p>
      <w:pPr>
        <w:spacing w:after="0" w:line="393" w:lineRule="exact"/>
        <w:rPr>
          <w:sz w:val="20"/>
          <w:szCs w:val="20"/>
          <w:color w:val="auto"/>
        </w:rPr>
      </w:pPr>
    </w:p>
    <w:p>
      <w:pPr>
        <w:ind w:left="448" w:hanging="448"/>
        <w:spacing w:after="0"/>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12 Directors</w:t>
      </w:r>
    </w:p>
    <w:p>
      <w:pPr>
        <w:spacing w:after="0" w:line="30"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D.E. Ackerman, D.E. Baird, J. Deutch,</w:t>
      </w:r>
    </w:p>
    <w:p>
      <w:pPr>
        <w:spacing w:after="0" w:line="2" w:lineRule="exact"/>
        <w:rPr>
          <w:rFonts w:ascii="Courier New" w:cs="Courier New" w:eastAsia="Courier New" w:hAnsi="Courier New"/>
          <w:sz w:val="15"/>
          <w:szCs w:val="15"/>
          <w:color w:val="auto"/>
        </w:rPr>
      </w:pPr>
    </w:p>
    <w:p>
      <w:pPr>
        <w:ind w:left="448" w:right="4419"/>
        <w:spacing w:after="0" w:line="3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V.E. Grijalva, A. Levy-Lang, J.C. Mayo, W.T. McCormick, Jr., D. Primat, N. Seydoux, L.G. Stuntz, S. Ullring, Y. Wakumoto</w:t>
      </w:r>
    </w:p>
    <w:p>
      <w:pPr>
        <w:sectPr>
          <w:pgSz w:w="11900" w:h="16838" w:orient="portrait"/>
          <w:cols w:equalWidth="0" w:num="1">
            <w:col w:w="10227"/>
          </w:cols>
          <w:pgMar w:left="232" w:top="779" w:right="1440" w:bottom="1440" w:gutter="0" w:footer="0" w:header="0"/>
        </w:sectPr>
      </w:pPr>
    </w:p>
    <w:p>
      <w:pPr>
        <w:spacing w:after="0" w:line="1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FOR</w:t>
      </w:r>
    </w:p>
    <w:p>
      <w:pPr>
        <w:spacing w:after="0" w:line="3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ALL</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NOMINEES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jc w:val="both"/>
        <w:spacing w:after="0" w:line="331" w:lineRule="auto"/>
        <w:rPr>
          <w:sz w:val="20"/>
          <w:szCs w:val="20"/>
          <w:color w:val="auto"/>
        </w:rPr>
      </w:pPr>
      <w:r>
        <w:rPr>
          <w:rFonts w:ascii="Courier New" w:cs="Courier New" w:eastAsia="Courier New" w:hAnsi="Courier New"/>
          <w:sz w:val="14"/>
          <w:szCs w:val="14"/>
          <w:color w:val="auto"/>
        </w:rPr>
        <w:t>WITHHELD FROM ALL NOMINEES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353" w:lineRule="exact"/>
        <w:rPr>
          <w:sz w:val="20"/>
          <w:szCs w:val="20"/>
          <w:color w:val="auto"/>
        </w:rPr>
      </w:pPr>
    </w:p>
    <w:p>
      <w:pPr>
        <w:sectPr>
          <w:pgSz w:w="11900" w:h="16838" w:orient="portrait"/>
          <w:cols w:equalWidth="0" w:num="4">
            <w:col w:w="1888" w:space="260"/>
            <w:col w:w="260" w:space="540"/>
            <w:col w:w="720" w:space="180"/>
            <w:col w:w="6379"/>
          </w:cols>
          <w:pgMar w:left="232" w:top="779" w:right="1440" w:bottom="1440" w:gutter="0" w:footer="0" w:header="0"/>
          <w:type w:val="continuous"/>
        </w:sectPr>
      </w:pPr>
    </w:p>
    <w:p>
      <w:pPr>
        <w:spacing w:after="0" w:line="4"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2280" w:type="dxa"/>
            <w:vAlign w:val="bottom"/>
          </w:tcPr>
          <w:p>
            <w:pPr>
              <w:ind w:left="840"/>
              <w:spacing w:after="0"/>
              <w:rPr>
                <w:sz w:val="20"/>
                <w:szCs w:val="20"/>
                <w:color w:val="auto"/>
              </w:rPr>
            </w:pPr>
            <w:r>
              <w:rPr>
                <w:rFonts w:ascii="Courier New" w:cs="Courier New" w:eastAsia="Courier New" w:hAnsi="Courier New"/>
                <w:sz w:val="15"/>
                <w:szCs w:val="15"/>
                <w:color w:val="auto"/>
                <w:w w:val="98"/>
              </w:rPr>
              <w:t>FOR ALL NOMINEES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280" w:type="dxa"/>
            <w:vAlign w:val="bottom"/>
          </w:tcPr>
          <w:p>
            <w:pPr>
              <w:ind w:left="1120"/>
              <w:spacing w:after="0"/>
              <w:rPr>
                <w:sz w:val="20"/>
                <w:szCs w:val="20"/>
                <w:color w:val="auto"/>
              </w:rPr>
            </w:pPr>
            <w:r>
              <w:rPr>
                <w:rFonts w:ascii="Courier New" w:cs="Courier New" w:eastAsia="Courier New" w:hAnsi="Courier New"/>
                <w:sz w:val="15"/>
                <w:szCs w:val="15"/>
                <w:color w:val="auto"/>
              </w:rPr>
              <w:t>EXCEPT THOSE</w:t>
            </w:r>
          </w:p>
        </w:tc>
        <w:tc>
          <w:tcPr>
            <w:tcW w:w="220" w:type="dxa"/>
            <w:vAlign w:val="bottom"/>
          </w:tcPr>
          <w:p>
            <w:pPr>
              <w:spacing w:after="0"/>
              <w:rPr>
                <w:sz w:val="14"/>
                <w:szCs w:val="14"/>
                <w:color w:val="auto"/>
              </w:rPr>
            </w:pPr>
          </w:p>
        </w:tc>
        <w:tc>
          <w:tcPr>
            <w:tcW w:w="5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[_]</w:t>
            </w:r>
          </w:p>
        </w:tc>
        <w:tc>
          <w:tcPr>
            <w:tcW w:w="16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________________</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25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NOTED IN THE BLANK</w:t>
            </w:r>
          </w:p>
        </w:tc>
        <w:tc>
          <w:tcPr>
            <w:tcW w:w="54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0" w:type="dxa"/>
            <w:vAlign w:val="bottom"/>
            <w:vMerge w:val="restart"/>
          </w:tcPr>
          <w:p>
            <w:pPr>
              <w:spacing w:after="0"/>
              <w:rPr>
                <w:sz w:val="20"/>
                <w:szCs w:val="20"/>
                <w:color w:val="auto"/>
              </w:rPr>
            </w:pPr>
            <w:r>
              <w:rPr>
                <w:rFonts w:ascii="Courier New" w:cs="Courier New" w:eastAsia="Courier New" w:hAnsi="Courier New"/>
                <w:sz w:val="15"/>
                <w:szCs w:val="15"/>
                <w:color w:val="auto"/>
              </w:rPr>
              <w:t>2.</w:t>
            </w:r>
          </w:p>
        </w:tc>
        <w:tc>
          <w:tcPr>
            <w:tcW w:w="22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Adoption and approval of</w:t>
            </w:r>
          </w:p>
        </w:tc>
        <w:tc>
          <w:tcPr>
            <w:tcW w:w="242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Financials and Dividends</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ABSTAIN</w:t>
            </w:r>
          </w:p>
        </w:tc>
        <w:tc>
          <w:tcPr>
            <w:tcW w:w="0" w:type="dxa"/>
            <w:vAlign w:val="bottom"/>
          </w:tcPr>
          <w:p>
            <w:pPr>
              <w:spacing w:after="0"/>
              <w:rPr>
                <w:sz w:val="1"/>
                <w:szCs w:val="1"/>
                <w:color w:val="auto"/>
              </w:rPr>
            </w:pPr>
          </w:p>
        </w:tc>
      </w:tr>
      <w:tr>
        <w:trPr>
          <w:trHeight w:val="252"/>
        </w:trPr>
        <w:tc>
          <w:tcPr>
            <w:tcW w:w="400" w:type="dxa"/>
            <w:vAlign w:val="bottom"/>
            <w:vMerge w:val="continue"/>
          </w:tcPr>
          <w:p>
            <w:pPr>
              <w:spacing w:after="0"/>
              <w:rPr>
                <w:sz w:val="21"/>
                <w:szCs w:val="21"/>
                <w:color w:val="auto"/>
              </w:rPr>
            </w:pPr>
          </w:p>
        </w:tc>
        <w:tc>
          <w:tcPr>
            <w:tcW w:w="2280" w:type="dxa"/>
            <w:vAlign w:val="bottom"/>
            <w:vMerge w:val="continue"/>
          </w:tcPr>
          <w:p>
            <w:pPr>
              <w:spacing w:after="0"/>
              <w:rPr>
                <w:sz w:val="21"/>
                <w:szCs w:val="21"/>
                <w:color w:val="auto"/>
              </w:rPr>
            </w:pPr>
          </w:p>
        </w:tc>
        <w:tc>
          <w:tcPr>
            <w:tcW w:w="2420" w:type="dxa"/>
            <w:vAlign w:val="bottom"/>
            <w:gridSpan w:val="3"/>
            <w:vMerge w:val="continue"/>
          </w:tcPr>
          <w:p>
            <w:pPr>
              <w:spacing w:after="0"/>
              <w:rPr>
                <w:sz w:val="21"/>
                <w:szCs w:val="21"/>
                <w:color w:val="auto"/>
              </w:rPr>
            </w:pP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[_]</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[_]</w:t>
            </w:r>
          </w:p>
        </w:tc>
        <w:tc>
          <w:tcPr>
            <w:tcW w:w="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[_]</w:t>
            </w:r>
          </w:p>
        </w:tc>
        <w:tc>
          <w:tcPr>
            <w:tcW w:w="0" w:type="dxa"/>
            <w:vAlign w:val="bottom"/>
          </w:tcPr>
          <w:p>
            <w:pPr>
              <w:spacing w:after="0"/>
              <w:rPr>
                <w:sz w:val="1"/>
                <w:szCs w:val="1"/>
                <w:color w:val="auto"/>
              </w:rPr>
            </w:pPr>
          </w:p>
        </w:tc>
      </w:tr>
      <w:tr>
        <w:trPr>
          <w:trHeight w:val="264"/>
        </w:trPr>
        <w:tc>
          <w:tcPr>
            <w:tcW w:w="40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Adoption of Amendment to</w:t>
            </w: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w:t>
            </w:r>
          </w:p>
        </w:tc>
        <w:tc>
          <w:tcPr>
            <w:tcW w:w="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[_]</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[_]</w:t>
            </w:r>
          </w:p>
        </w:tc>
        <w:tc>
          <w:tcPr>
            <w:tcW w:w="700" w:type="dxa"/>
            <w:vAlign w:val="bottom"/>
            <w:vMerge w:val="restart"/>
          </w:tcPr>
          <w:p>
            <w:pPr>
              <w:jc w:val="center"/>
              <w:ind w:left="5"/>
              <w:spacing w:after="0"/>
              <w:rPr>
                <w:sz w:val="20"/>
                <w:szCs w:val="20"/>
                <w:color w:val="auto"/>
              </w:rPr>
            </w:pPr>
            <w:r>
              <w:rPr>
                <w:rFonts w:ascii="Courier New" w:cs="Courier New" w:eastAsia="Courier New" w:hAnsi="Courier New"/>
                <w:sz w:val="15"/>
                <w:szCs w:val="15"/>
                <w:color w:val="auto"/>
                <w:w w:val="96"/>
              </w:rPr>
              <w:t>[_]</w:t>
            </w: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47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(Increase in authorized Common Stock)</w:t>
            </w:r>
          </w:p>
        </w:tc>
        <w:tc>
          <w:tcPr>
            <w:tcW w:w="4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Adoption of Amendment to</w:t>
            </w: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w:t>
            </w:r>
          </w:p>
        </w:tc>
        <w:tc>
          <w:tcPr>
            <w:tcW w:w="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[_]</w:t>
            </w:r>
          </w:p>
        </w:tc>
        <w:tc>
          <w:tcPr>
            <w:tcW w:w="8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[_]</w:t>
            </w:r>
          </w:p>
        </w:tc>
        <w:tc>
          <w:tcPr>
            <w:tcW w:w="700" w:type="dxa"/>
            <w:vAlign w:val="bottom"/>
            <w:vMerge w:val="restart"/>
          </w:tcPr>
          <w:p>
            <w:pPr>
              <w:jc w:val="center"/>
              <w:ind w:left="5"/>
              <w:spacing w:after="0"/>
              <w:rPr>
                <w:sz w:val="20"/>
                <w:szCs w:val="20"/>
                <w:color w:val="auto"/>
              </w:rPr>
            </w:pPr>
            <w:r>
              <w:rPr>
                <w:rFonts w:ascii="Courier New" w:cs="Courier New" w:eastAsia="Courier New" w:hAnsi="Courier New"/>
                <w:sz w:val="15"/>
                <w:szCs w:val="15"/>
                <w:color w:val="auto"/>
                <w:w w:val="96"/>
              </w:rPr>
              <w:t>[_]</w:t>
            </w:r>
          </w:p>
        </w:tc>
        <w:tc>
          <w:tcPr>
            <w:tcW w:w="0" w:type="dxa"/>
            <w:vAlign w:val="bottom"/>
          </w:tcPr>
          <w:p>
            <w:pPr>
              <w:spacing w:after="0"/>
              <w:rPr>
                <w:sz w:val="1"/>
                <w:szCs w:val="1"/>
                <w:color w:val="auto"/>
              </w:rPr>
            </w:pPr>
          </w:p>
        </w:tc>
      </w:tr>
      <w:tr>
        <w:trPr>
          <w:trHeight w:val="252"/>
        </w:trPr>
        <w:tc>
          <w:tcPr>
            <w:tcW w:w="400" w:type="dxa"/>
            <w:vAlign w:val="bottom"/>
          </w:tcPr>
          <w:p>
            <w:pPr>
              <w:spacing w:after="0"/>
              <w:rPr>
                <w:sz w:val="21"/>
                <w:szCs w:val="21"/>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(Other changes)</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48" w:hanging="448"/>
        <w:spacing w:after="0"/>
        <w:tabs>
          <w:tab w:leader="none" w:pos="4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Adoption of the Schlumberger 2001</w:t>
      </w:r>
    </w:p>
    <w:p>
      <w:pPr>
        <w:spacing w:after="0" w:line="30" w:lineRule="exact"/>
        <w:rPr>
          <w:sz w:val="20"/>
          <w:szCs w:val="20"/>
          <w:color w:val="auto"/>
        </w:rPr>
      </w:pPr>
    </w:p>
    <w:tbl>
      <w:tblPr>
        <w:tblLayout w:type="fixed"/>
        <w:tblInd w:w="8" w:type="dxa"/>
        <w:tblCellMar>
          <w:top w:w="0" w:type="dxa"/>
          <w:left w:w="0" w:type="dxa"/>
          <w:bottom w:w="0" w:type="dxa"/>
          <w:right w:w="0" w:type="dxa"/>
        </w:tblCellMar>
      </w:tblPr>
      <w:tr>
        <w:trPr>
          <w:trHeight w:val="252"/>
        </w:trPr>
        <w:tc>
          <w:tcPr>
            <w:tcW w:w="400" w:type="dxa"/>
            <w:vAlign w:val="bottom"/>
          </w:tcPr>
          <w:p>
            <w:pPr>
              <w:spacing w:after="0"/>
              <w:rPr>
                <w:sz w:val="21"/>
                <w:szCs w:val="21"/>
                <w:color w:val="auto"/>
              </w:rPr>
            </w:pP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[_]</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488"/>
        </w:trPr>
        <w:tc>
          <w:tcPr>
            <w:tcW w:w="40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Approval of Auditors</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[_]</w:t>
            </w: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688"/>
        </w:trPr>
        <w:tc>
          <w:tcPr>
            <w:tcW w:w="400" w:type="dxa"/>
            <w:vAlign w:val="bottom"/>
          </w:tcPr>
          <w:p>
            <w:pPr>
              <w:spacing w:after="0"/>
              <w:rPr>
                <w:sz w:val="20"/>
                <w:szCs w:val="20"/>
                <w:color w:val="auto"/>
              </w:rPr>
            </w:pPr>
            <w:r>
              <w:rPr>
                <w:rFonts w:ascii="Courier New" w:cs="Courier New" w:eastAsia="Courier New" w:hAnsi="Courier New"/>
                <w:sz w:val="15"/>
                <w:szCs w:val="15"/>
                <w:color w:val="auto"/>
              </w:rPr>
              <w:t>MARK</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HERE FOR ADDRESS CHANGE AND NOTE AT LEFT</w:t>
            </w:r>
          </w:p>
        </w:tc>
        <w:tc>
          <w:tcPr>
            <w:tcW w:w="1080" w:type="dxa"/>
            <w:vAlign w:val="bottom"/>
          </w:tcPr>
          <w:p>
            <w:pPr>
              <w:spacing w:after="0"/>
              <w:rPr>
                <w:sz w:val="24"/>
                <w:szCs w:val="24"/>
                <w:color w:val="auto"/>
              </w:rPr>
            </w:pPr>
          </w:p>
        </w:tc>
        <w:tc>
          <w:tcPr>
            <w:tcW w:w="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[_]</w:t>
            </w:r>
          </w:p>
        </w:tc>
        <w:tc>
          <w:tcPr>
            <w:tcW w:w="520" w:type="dxa"/>
            <w:vAlign w:val="bottom"/>
          </w:tcPr>
          <w:p>
            <w:pPr>
              <w:spacing w:after="0"/>
              <w:rPr>
                <w:sz w:val="24"/>
                <w:szCs w:val="24"/>
                <w:color w:val="auto"/>
              </w:rPr>
            </w:pPr>
          </w:p>
        </w:tc>
      </w:tr>
    </w:tbl>
    <w:p>
      <w:pPr>
        <w:spacing w:after="0" w:line="92" w:lineRule="exact"/>
        <w:rPr>
          <w:sz w:val="20"/>
          <w:szCs w:val="20"/>
          <w:color w:val="auto"/>
        </w:rPr>
      </w:pPr>
    </w:p>
    <w:p>
      <w:pPr>
        <w:ind w:left="8" w:right="3339"/>
        <w:spacing w:after="0" w:line="301" w:lineRule="auto"/>
        <w:rPr>
          <w:sz w:val="20"/>
          <w:szCs w:val="20"/>
          <w:color w:val="auto"/>
        </w:rPr>
      </w:pPr>
      <w:r>
        <w:rPr>
          <w:rFonts w:ascii="Courier New" w:cs="Courier New" w:eastAsia="Courier New" w:hAnsi="Courier New"/>
          <w:sz w:val="15"/>
          <w:szCs w:val="15"/>
          <w:color w:val="auto"/>
        </w:rPr>
        <w:t>Please sign names exactly as printed hereon. If signing as attorney, administrator, executor, guardian or trustee, please give full title as such. Please sign, date and return in the enclosed envelope.</w:t>
      </w:r>
    </w:p>
    <w:p>
      <w:pPr>
        <w:sectPr>
          <w:pgSz w:w="11900" w:h="16838" w:orient="portrait"/>
          <w:cols w:equalWidth="0" w:num="1">
            <w:col w:w="10227"/>
          </w:cols>
          <w:pgMar w:left="232" w:top="779" w:right="1440" w:bottom="1440" w:gutter="0" w:footer="0" w:header="0"/>
          <w:type w:val="continuous"/>
        </w:sectPr>
      </w:pPr>
    </w:p>
    <w:p>
      <w:pPr>
        <w:spacing w:after="0" w:line="22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94" w:lineRule="exact"/>
        <w:rPr>
          <w:sz w:val="20"/>
          <w:szCs w:val="20"/>
          <w:color w:val="auto"/>
        </w:rPr>
      </w:pPr>
    </w:p>
    <w:p>
      <w:pPr>
        <w:sectPr>
          <w:pgSz w:w="11900" w:h="16838" w:orient="portrait"/>
          <w:cols w:equalWidth="0" w:num="2">
            <w:col w:w="2688" w:space="720"/>
            <w:col w:w="6819"/>
          </w:cols>
          <w:pgMar w:left="232" w:top="779"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308" w:space="620"/>
            <w:col w:w="6299"/>
          </w:cols>
          <w:pgMar w:left="232" w:top="779" w:right="1440" w:bottom="1440" w:gutter="0" w:footer="0" w:header="0"/>
          <w:type w:val="continuous"/>
        </w:sectPr>
      </w:pPr>
    </w:p>
    <w:p>
      <w:pPr>
        <w:spacing w:after="0" w:line="7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94" w:lineRule="exact"/>
        <w:rPr>
          <w:sz w:val="20"/>
          <w:szCs w:val="20"/>
          <w:color w:val="auto"/>
        </w:rPr>
      </w:pPr>
    </w:p>
    <w:p>
      <w:pPr>
        <w:sectPr>
          <w:pgSz w:w="11900" w:h="16838" w:orient="portrait"/>
          <w:cols w:equalWidth="0" w:num="2">
            <w:col w:w="2688" w:space="720"/>
            <w:col w:w="6819"/>
          </w:cols>
          <w:pgMar w:left="232" w:top="779" w:right="1440" w:bottom="1440" w:gutter="0" w:footer="0" w:header="0"/>
          <w:type w:val="continuous"/>
        </w:sectPr>
      </w:pPr>
    </w:p>
    <w:p>
      <w:pPr>
        <w:ind w:left="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2">
        <w:col w:w="3308" w:space="620"/>
        <w:col w:w="6299"/>
      </w:cols>
      <w:pgMar w:left="232" w:top="77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upperLetter"/>
      <w:start w:val="24"/>
    </w:lvl>
  </w:abstractNum>
  <w:abstractNum w:abstractNumId="2">
    <w:nsid w:val="5072367"/>
    <w:multiLevelType w:val="hybridMultilevel"/>
    <w:lvl w:ilvl="0">
      <w:lvlJc w:val="left"/>
      <w:lvlText w:val="[%1]"/>
      <w:numFmt w:val="upperLetter"/>
      <w:start w:val="24"/>
    </w:lvl>
  </w:abstractNum>
  <w:abstractNum w:abstractNumId="3">
    <w:nsid w:val="3804823E"/>
    <w:multiLevelType w:val="hybridMultilevel"/>
    <w:lvl w:ilvl="0">
      <w:lvlJc w:val="left"/>
      <w:lvlText w:val="["/>
      <w:numFmt w:val="bullet"/>
      <w:start w:val="1"/>
    </w:lvl>
    <w:lvl w:ilvl="1">
      <w:lvlJc w:val="left"/>
      <w:lvlText w:val="%2)"/>
      <w:numFmt w:val="decimal"/>
      <w:start w:val="1"/>
    </w:lvl>
  </w:abstractNum>
  <w:abstractNum w:abstractNumId="4">
    <w:nsid w:val="77465F01"/>
    <w:multiLevelType w:val="hybridMultilevel"/>
    <w:lvl w:ilvl="0">
      <w:lvlJc w:val="left"/>
      <w:lvlText w:val="-"/>
      <w:numFmt w:val="bullet"/>
      <w:start w:val="1"/>
    </w:lvl>
    <w:lvl w:ilvl="1">
      <w:lvlJc w:val="left"/>
      <w:lvlText w:val="%2)"/>
      <w:numFmt w:val="decimal"/>
      <w:start w:val="2"/>
    </w:lvl>
  </w:abstractNum>
  <w:abstractNum w:abstractNumId="5">
    <w:nsid w:val="7724C67E"/>
    <w:multiLevelType w:val="hybridMultilevel"/>
    <w:lvl w:ilvl="0">
      <w:lvlJc w:val="left"/>
      <w:lvlText w:val="-"/>
      <w:numFmt w:val="bullet"/>
      <w:start w:val="1"/>
    </w:lvl>
    <w:lvl w:ilvl="1">
      <w:lvlJc w:val="left"/>
      <w:lvlText w:val="%2)"/>
      <w:numFmt w:val="decimal"/>
      <w:start w:val="3"/>
    </w:lvl>
  </w:abstractNum>
  <w:abstractNum w:abstractNumId="6">
    <w:nsid w:val="5C482A97"/>
    <w:multiLevelType w:val="hybridMultilevel"/>
    <w:lvl w:ilvl="0">
      <w:lvlJc w:val="left"/>
      <w:lvlText w:val="-"/>
      <w:numFmt w:val="bullet"/>
      <w:start w:val="1"/>
    </w:lvl>
    <w:lvl w:ilvl="1">
      <w:lvlJc w:val="left"/>
      <w:lvlText w:val="%2)"/>
      <w:numFmt w:val="decimal"/>
      <w:start w:val="4"/>
    </w:lvl>
  </w:abstractNum>
  <w:abstractNum w:abstractNumId="7">
    <w:nsid w:val="2463B9EA"/>
    <w:multiLevelType w:val="hybridMultilevel"/>
    <w:lvl w:ilvl="0">
      <w:lvlJc w:val="left"/>
      <w:lvlText w:val="-"/>
      <w:numFmt w:val="bullet"/>
      <w:start w:val="1"/>
    </w:lvl>
    <w:lvl w:ilvl="1">
      <w:lvlJc w:val="left"/>
      <w:lvlText w:val="%2)"/>
      <w:numFmt w:val="decimal"/>
      <w:start w:val="5"/>
    </w:lvl>
  </w:abstractNum>
  <w:abstractNum w:abstractNumId="8">
    <w:nsid w:val="5E884ADC"/>
    <w:multiLevelType w:val="hybridMultilevel"/>
    <w:lvl w:ilvl="0">
      <w:lvlJc w:val="left"/>
      <w:lvlText w:val="["/>
      <w:numFmt w:val="bullet"/>
      <w:start w:val="1"/>
    </w:lvl>
    <w:lvl w:ilvl="1">
      <w:lvlJc w:val="left"/>
      <w:lvlText w:val="%2)"/>
      <w:numFmt w:val="decimal"/>
      <w:start w:val="1"/>
    </w:lvl>
  </w:abstractNum>
  <w:abstractNum w:abstractNumId="9">
    <w:nsid w:val="51EAD36B"/>
    <w:multiLevelType w:val="hybridMultilevel"/>
    <w:lvl w:ilvl="0">
      <w:lvlJc w:val="left"/>
      <w:lvlText w:val="-"/>
      <w:numFmt w:val="bullet"/>
      <w:start w:val="1"/>
    </w:lvl>
    <w:lvl w:ilvl="1">
      <w:lvlJc w:val="left"/>
      <w:lvlText w:val="%2)"/>
      <w:numFmt w:val="decimal"/>
      <w:start w:val="2"/>
    </w:lvl>
  </w:abstractNum>
  <w:abstractNum w:abstractNumId="10">
    <w:nsid w:val="2D517796"/>
    <w:multiLevelType w:val="hybridMultilevel"/>
    <w:lvl w:ilvl="0">
      <w:lvlJc w:val="left"/>
      <w:lvlText w:val="-"/>
      <w:numFmt w:val="bullet"/>
      <w:start w:val="1"/>
    </w:lvl>
    <w:lvl w:ilvl="1">
      <w:lvlJc w:val="left"/>
      <w:lvlText w:val="%2)"/>
      <w:numFmt w:val="decimal"/>
      <w:start w:val="3"/>
    </w:lvl>
  </w:abstractNum>
  <w:abstractNum w:abstractNumId="11">
    <w:nsid w:val="580BD78F"/>
    <w:multiLevelType w:val="hybridMultilevel"/>
    <w:lvl w:ilvl="0">
      <w:lvlJc w:val="left"/>
      <w:lvlText w:val="-"/>
      <w:numFmt w:val="bullet"/>
      <w:start w:val="1"/>
    </w:lvl>
    <w:lvl w:ilvl="1">
      <w:lvlJc w:val="left"/>
      <w:lvlText w:val="%2)"/>
      <w:numFmt w:val="decimal"/>
      <w:start w:val="4"/>
    </w:lvl>
  </w:abstractNum>
  <w:abstractNum w:abstractNumId="12">
    <w:nsid w:val="153EA438"/>
    <w:multiLevelType w:val="hybridMultilevel"/>
    <w:lvl w:ilvl="0">
      <w:lvlJc w:val="left"/>
      <w:lvlText w:val="%1."/>
      <w:numFmt w:val="decimal"/>
      <w:start w:val="1"/>
    </w:lvl>
    <w:lvl w:ilvl="1">
      <w:lvlJc w:val="left"/>
      <w:lvlText w:val="%2."/>
      <w:numFmt w:val="lowerLetter"/>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lvl w:ilvl="1">
      <w:lvlJc w:val="left"/>
      <w:lvlText w:val="(%2)"/>
      <w:numFmt w:val="decimal"/>
      <w:start w:val="1"/>
    </w:lvl>
  </w:abstractNum>
  <w:abstractNum w:abstractNumId="32">
    <w:nsid w:val="1BA026FA"/>
    <w:multiLevelType w:val="hybridMultilevel"/>
    <w:lvl w:ilvl="0">
      <w:lvlJc w:val="left"/>
      <w:lvlText w:val="%1"/>
      <w:numFmt w:val="lowerLetter"/>
      <w:start w:val="1"/>
    </w:lvl>
    <w:lvl w:ilvl="1">
      <w:lvlJc w:val="left"/>
      <w:lvlText w:val="(%2)"/>
      <w:numFmt w:val="decimal"/>
      <w:start w:val="2"/>
    </w:lvl>
  </w:abstractNum>
  <w:abstractNum w:abstractNumId="33">
    <w:nsid w:val="79A1DEAA"/>
    <w:multiLevelType w:val="hybridMultilevel"/>
    <w:lvl w:ilvl="0">
      <w:lvlJc w:val="left"/>
      <w:lvlText w:val="%1."/>
      <w:numFmt w:val="lowerLetter"/>
      <w:start w:val="3"/>
    </w:lvl>
    <w:lvl w:ilvl="1">
      <w:lvlJc w:val="left"/>
      <w:lvlText w:val="%2"/>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lowerLetter"/>
      <w:start w:val="2"/>
    </w:lvl>
  </w:abstractNum>
  <w:abstractNum w:abstractNumId="38">
    <w:nsid w:val="374A3FE6"/>
    <w:multiLevelType w:val="hybridMultilevel"/>
    <w:lvl w:ilvl="0">
      <w:lvlJc w:val="left"/>
      <w:lvlText w:val="(%1)"/>
      <w:numFmt w:val="lowerRoman"/>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decimal"/>
      <w:start w:val="3"/>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9"/>
    </w:lvl>
  </w:abstractNum>
  <w:abstractNum w:abstractNumId="46">
    <w:nsid w:val="235BA861"/>
    <w:multiLevelType w:val="hybridMultilevel"/>
    <w:lvl w:ilvl="0">
      <w:lvlJc w:val="left"/>
      <w:lvlText w:val="%1."/>
      <w:numFmt w:val="decimal"/>
      <w:start w:val="4"/>
    </w:lvl>
  </w:abstractNum>
  <w:abstractNum w:abstractNumId="47">
    <w:nsid w:val="47398C89"/>
    <w:multiLevelType w:val="hybridMultilevel"/>
    <w:lvl w:ilvl="0">
      <w:lvlJc w:val="left"/>
      <w:lvlText w:val="%1."/>
      <w:numFmt w:val="decimal"/>
      <w:start w:val="5"/>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3"/>
    </w:lvl>
    <w:lvl w:ilvl="1">
      <w:lvlJc w:val="left"/>
      <w:lvlText w:val="(%2)"/>
      <w:numFmt w:val="lowerRoman"/>
      <w:start w:val="2"/>
    </w:lvl>
    <w:lvl w:ilvl="2">
      <w:lvlJc w:val="left"/>
      <w:lvlText w:val="(%3)"/>
      <w:numFmt w:val="upperLetter"/>
      <w:start w:val="2"/>
    </w:lvl>
  </w:abstractNum>
  <w:abstractNum w:abstractNumId="50">
    <w:nsid w:val="741226BB"/>
    <w:multiLevelType w:val="hybridMultilevel"/>
    <w:lvl w:ilvl="0">
      <w:lvlJc w:val="left"/>
      <w:lvlText w:val="(%1)"/>
      <w:numFmt w:val="lowerRoman"/>
      <w:start w:val="5"/>
    </w:lvl>
    <w:lvl w:ilvl="1">
      <w:lvlJc w:val="left"/>
      <w:lvlText w:val="(%2)"/>
      <w:numFmt w:val="decimal"/>
      <w:start w:val="60"/>
    </w:lvl>
  </w:abstractNum>
  <w:abstractNum w:abstractNumId="51">
    <w:nsid w:val="D34B6A8"/>
    <w:multiLevelType w:val="hybridMultilevel"/>
    <w:lvl w:ilvl="0">
      <w:lvlJc w:val="left"/>
      <w:lvlText w:val="%1"/>
      <w:numFmt w:val="lowerRoman"/>
      <w:start w:val="1"/>
    </w:lvl>
    <w:lvl w:ilvl="1">
      <w:lvlJc w:val="left"/>
      <w:lvlText w:val="(%2)"/>
      <w:numFmt w:val="upperLetter"/>
      <w:start w:val="2"/>
    </w:lvl>
  </w:abstractNum>
  <w:abstractNum w:abstractNumId="52">
    <w:nsid w:val="10233C99"/>
    <w:multiLevelType w:val="hybridMultilevel"/>
    <w:lvl w:ilvl="0">
      <w:lvlJc w:val="left"/>
      <w:lvlText w:val="(%1)"/>
      <w:numFmt w:val="lowerRoman"/>
      <w:start w:val="6"/>
    </w:lvl>
    <w:lvl w:ilvl="1">
      <w:lvlJc w:val="left"/>
      <w:lvlText w:val="%2"/>
      <w:numFmt w:val="upperLetter"/>
      <w:start w:val="1"/>
    </w:lvl>
  </w:abstractNum>
  <w:abstractNum w:abstractNumId="53">
    <w:nsid w:val="3F6AB60F"/>
    <w:multiLevelType w:val="hybridMultilevel"/>
    <w:lvl w:ilvl="0">
      <w:lvlJc w:val="left"/>
      <w:lvlText w:val="(%1)"/>
      <w:numFmt w:val="lowerLetter"/>
      <w:start w:val="4"/>
    </w:lvl>
  </w:abstractNum>
  <w:abstractNum w:abstractNumId="54">
    <w:nsid w:val="61574095"/>
    <w:multiLevelType w:val="hybridMultilevel"/>
    <w:lvl w:ilvl="0">
      <w:lvlJc w:val="left"/>
      <w:lvlText w:val="%1."/>
      <w:numFmt w:val="decimal"/>
      <w:start w:val="6"/>
    </w:lvl>
  </w:abstractNum>
  <w:abstractNum w:abstractNumId="55">
    <w:nsid w:val="7E0C57B1"/>
    <w:multiLevelType w:val="hybridMultilevel"/>
    <w:lvl w:ilvl="0">
      <w:lvlJc w:val="left"/>
      <w:lvlText w:val="%1."/>
      <w:numFmt w:val="decimal"/>
      <w:start w:val="7"/>
    </w:lvl>
  </w:abstractNum>
  <w:abstractNum w:abstractNumId="56">
    <w:nsid w:val="77AE35EB"/>
    <w:multiLevelType w:val="hybridMultilevel"/>
    <w:lvl w:ilvl="0">
      <w:lvlJc w:val="left"/>
      <w:lvlText w:val="%1."/>
      <w:numFmt w:val="decimal"/>
      <w:start w:val="8"/>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lvl w:ilvl="1">
      <w:lvlJc w:val="left"/>
      <w:lvlText w:val="(%2)"/>
      <w:numFmt w:val="lowerRoman"/>
      <w:start w:val="1"/>
    </w:lvl>
  </w:abstractNum>
  <w:abstractNum w:abstractNumId="59">
    <w:nsid w:val="5FF87E05"/>
    <w:multiLevelType w:val="hybridMultilevel"/>
    <w:lvl w:ilvl="0">
      <w:lvlJc w:val="left"/>
      <w:lvlText w:val="(%1)"/>
      <w:numFmt w:val="lowerLetter"/>
      <w:start w:val="4"/>
    </w:lvl>
    <w:lvl w:ilvl="1">
      <w:lvlJc w:val="left"/>
      <w:lvlText w:val="%2"/>
      <w:numFmt w:val="lowerRoman"/>
      <w:start w:val="1"/>
    </w:lvl>
  </w:abstractNum>
  <w:abstractNum w:abstractNumId="60">
    <w:nsid w:val="2F305DEF"/>
    <w:multiLevelType w:val="hybridMultilevel"/>
    <w:lvl w:ilvl="0">
      <w:lvlJc w:val="left"/>
      <w:lvlText w:val="%1."/>
      <w:numFmt w:val="decimal"/>
      <w:start w:val="9"/>
    </w:lvl>
  </w:abstractNum>
  <w:abstractNum w:abstractNumId="61">
    <w:nsid w:val="25A70BF7"/>
    <w:multiLevelType w:val="hybridMultilevel"/>
    <w:lvl w:ilvl="0">
      <w:lvlJc w:val="left"/>
      <w:lvlText w:val="%1."/>
      <w:numFmt w:val="decimal"/>
      <w:start w:val="10"/>
    </w:lvl>
  </w:abstractNum>
  <w:abstractNum w:abstractNumId="62">
    <w:nsid w:val="1DBABF00"/>
    <w:multiLevelType w:val="hybridMultilevel"/>
    <w:lvl w:ilvl="0">
      <w:lvlJc w:val="left"/>
      <w:lvlText w:val="%1."/>
      <w:numFmt w:val="decimal"/>
      <w:start w:val="11"/>
    </w:lvl>
  </w:abstractNum>
  <w:abstractNum w:abstractNumId="63">
    <w:nsid w:val="4AD084E9"/>
    <w:multiLevelType w:val="hybridMultilevel"/>
    <w:lvl w:ilvl="0">
      <w:lvlJc w:val="left"/>
      <w:lvlText w:val="%1."/>
      <w:numFmt w:val="decimal"/>
      <w:start w:val="12"/>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13"/>
    </w:lvl>
  </w:abstractNum>
  <w:abstractNum w:abstractNumId="66">
    <w:nsid w:val="5DB70AE5"/>
    <w:multiLevelType w:val="hybridMultilevel"/>
    <w:lvl w:ilvl="0">
      <w:lvlJc w:val="left"/>
      <w:lvlText w:val="[%1]"/>
      <w:numFmt w:val="upperLetter"/>
      <w:start w:val="24"/>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2019-12-13T06:30:53Z</dcterms:created>
  <dcterms:modified xsi:type="dcterms:W3CDTF">2019-12-13T06:30:53Z</dcterms:modified>
</cp:coreProperties>
</file>