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95123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51230" cy="591185"/>
                    </a:xfrm>
                    <a:prstGeom prst="rect">
                      <a:avLst/>
                    </a:prstGeom>
                    <a:noFill/>
                  </pic:spPr>
                </pic:pic>
              </a:graphicData>
            </a:graphic>
          </wp:anchor>
        </w:drawing>
        <w:t>Schlumberger Limited</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(Schlumberger N.V.)</w:t>
      </w:r>
    </w:p>
    <w:p>
      <w:pPr>
        <w:ind w:left="7480"/>
        <w:spacing w:after="0" w:line="234" w:lineRule="auto"/>
        <w:rPr>
          <w:sz w:val="20"/>
          <w:szCs w:val="20"/>
          <w:color w:val="auto"/>
        </w:rPr>
      </w:pPr>
      <w:r>
        <w:rPr>
          <w:rFonts w:ascii="Arial" w:cs="Arial" w:eastAsia="Arial" w:hAnsi="Arial"/>
          <w:sz w:val="18"/>
          <w:szCs w:val="18"/>
          <w:color w:val="auto"/>
        </w:rPr>
        <w:t>5599 San Felipe</w:t>
      </w:r>
    </w:p>
    <w:p>
      <w:pPr>
        <w:spacing w:after="0" w:line="1"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Houston, Texas 77056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24 January 2024</w:t>
      </w:r>
    </w:p>
    <w:p>
      <w:pPr>
        <w:spacing w:after="0" w:line="212" w:lineRule="exact"/>
        <w:rPr>
          <w:sz w:val="24"/>
          <w:szCs w:val="24"/>
          <w:color w:val="auto"/>
        </w:rPr>
      </w:pPr>
    </w:p>
    <w:p>
      <w:pPr>
        <w:ind w:right="260"/>
        <w:spacing w:after="0" w:line="271"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Notice of Disclosure Filed in Exchange Act Annual Report Under Section 219 of the Iran Threat Reduction and Syria Human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Act of 2012 and Section 13(r) of the Exchange Act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4"/>
          <w:szCs w:val="24"/>
          <w:color w:val="auto"/>
        </w:rPr>
      </w:pPr>
    </w:p>
    <w:p>
      <w:pPr>
        <w:spacing w:after="0" w:line="244"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Schlumberger Limited (Schlumberger N.V.) has made disclosure pursuant to such provisions in its Annual Report on Form 10-K for the fiscal year ended December 31, 2023, which was filed with the U.S. Securities and Exchange Commission on January 24, 2024. Such disclosure appears on page 60 of the Annual Report on Form 10-K and is incorporated by reference herein.</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 Samantha Blons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Samantha Blons</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00"/>
      </w:cols>
      <w:pgMar w:left="440" w:top="33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2024-01-24T13:40:05Z</dcterms:created>
  <dcterms:modified xsi:type="dcterms:W3CDTF">2024-01-24T13:40:05Z</dcterms:modified>
</cp:coreProperties>
</file>