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pursuant to Rule 425 under the Securities Act of 1933</w:t>
      </w:r>
    </w:p>
    <w:p>
      <w:pPr>
        <w:jc w:val="right"/>
        <w:ind w:right="60"/>
        <w:spacing w:after="0" w:line="234" w:lineRule="auto"/>
        <w:rPr>
          <w:sz w:val="20"/>
          <w:szCs w:val="20"/>
          <w:color w:val="auto"/>
        </w:rPr>
      </w:pPr>
      <w:r>
        <w:rPr>
          <w:rFonts w:ascii="Arial" w:cs="Arial" w:eastAsia="Arial" w:hAnsi="Arial"/>
          <w:sz w:val="18"/>
          <w:szCs w:val="18"/>
          <w:color w:val="auto"/>
        </w:rPr>
        <w:t>and deemed filed pursuant to Rule 14a-12</w:t>
      </w:r>
    </w:p>
    <w:p>
      <w:pPr>
        <w:jc w:val="right"/>
        <w:ind w:right="60"/>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ind w:right="60"/>
        <w:spacing w:after="0" w:line="235" w:lineRule="auto"/>
        <w:rPr>
          <w:sz w:val="20"/>
          <w:szCs w:val="20"/>
          <w:color w:val="auto"/>
        </w:rPr>
      </w:pPr>
      <w:r>
        <w:rPr>
          <w:rFonts w:ascii="Arial" w:cs="Arial" w:eastAsia="Arial" w:hAnsi="Arial"/>
          <w:sz w:val="18"/>
          <w:szCs w:val="18"/>
          <w:color w:val="auto"/>
        </w:rPr>
        <w:t>Subject Company: ChampionX Corporation</w:t>
      </w:r>
    </w:p>
    <w:p>
      <w:pPr>
        <w:jc w:val="right"/>
        <w:ind w:right="60"/>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1102995</wp:posOffset>
            </wp:positionH>
            <wp:positionV relativeFrom="paragraph">
              <wp:posOffset>151765</wp:posOffset>
            </wp:positionV>
            <wp:extent cx="4791710" cy="47745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91710" cy="47745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4"/>
          <w:szCs w:val="24"/>
          <w:color w:val="auto"/>
        </w:rPr>
      </w:pPr>
    </w:p>
    <w:p>
      <w:pPr>
        <w:ind w:right="140" w:firstLine="44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4"/>
          <w:szCs w:val="24"/>
          <w:color w:val="auto"/>
        </w:rPr>
      </w:pPr>
    </w:p>
    <w:p>
      <w:pPr>
        <w:ind w:right="160" w:firstLine="440"/>
        <w:spacing w:after="0" w:line="239"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w:t>
      </w:r>
    </w:p>
    <w:p>
      <w:pPr>
        <w:sectPr>
          <w:pgSz w:w="11900" w:h="16838" w:orient="portrait"/>
          <w:cols w:equalWidth="0" w:num="1">
            <w:col w:w="11020"/>
          </w:cols>
          <w:pgMar w:left="440" w:top="229" w:right="439" w:bottom="1440" w:gutter="0" w:footer="0" w:header="0"/>
        </w:sectPr>
      </w:pPr>
    </w:p>
    <w:bookmarkStart w:id="1" w:name="page2"/>
    <w:bookmarkEnd w:id="1"/>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0"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0"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w:t>
      </w:r>
    </w:p>
    <w:p>
      <w:pPr>
        <w:sectPr>
          <w:pgSz w:w="11900" w:h="16838" w:orient="portrait"/>
          <w:cols w:equalWidth="0" w:num="1">
            <w:col w:w="11000"/>
          </w:cols>
          <w:pgMar w:left="440" w:top="269" w:right="459" w:bottom="1440" w:gutter="0" w:footer="0" w:header="0"/>
        </w:sectPr>
      </w:pPr>
    </w:p>
    <w:bookmarkStart w:id="2" w:name="page3"/>
    <w:bookmarkEnd w:id="2"/>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w:t>
      </w:r>
    </w:p>
    <w:p>
      <w:pPr>
        <w:sectPr>
          <w:pgSz w:w="11900" w:h="16838" w:orient="portrait"/>
          <w:cols w:equalWidth="0" w:num="1">
            <w:col w:w="11000"/>
          </w:cols>
          <w:pgMar w:left="440" w:top="269" w:right="45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2024 Annual Meeting of Shareholders (https://www.sec.gov/ix? doc=/Archives/edgar/data/0001723089/000172308924000079/championx-20240401.htm),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2024-04-04T12:54:46Z</dcterms:created>
  <dcterms:modified xsi:type="dcterms:W3CDTF">2024-04-04T12:54:46Z</dcterms:modified>
</cp:coreProperties>
</file>