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Washington, D.C. 20549</w:t>
      </w:r>
    </w:p>
    <w:p>
      <w:pPr>
        <w:spacing w:after="0" w:line="33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11-K</w:t>
      </w:r>
    </w:p>
    <w:p>
      <w:pPr>
        <w:spacing w:after="0" w:line="33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ANNUAL REPORT</w:t>
      </w:r>
    </w:p>
    <w:p>
      <w:pPr>
        <w:spacing w:after="0" w:line="33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Pursuant to Section 15(d) of the Securities Exchange Act of 1934</w:t>
      </w:r>
    </w:p>
    <w:p>
      <w:pPr>
        <w:spacing w:after="0" w:line="169"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169"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Commission File Number 001-04601</w:t>
      </w:r>
    </w:p>
    <w:p>
      <w:pPr>
        <w:spacing w:after="0" w:line="169"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_______________</w:t>
      </w:r>
    </w:p>
    <w:p>
      <w:pPr>
        <w:spacing w:after="0" w:line="169"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REED HOURLY THRIFT PLAN</w:t>
      </w:r>
    </w:p>
    <w:p>
      <w:pPr>
        <w:spacing w:after="0" w:line="26"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(Full title of the plan)</w:t>
      </w:r>
    </w:p>
    <w:p>
      <w:pPr>
        <w:spacing w:after="0" w:line="143"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_______________</w:t>
      </w:r>
    </w:p>
    <w:p>
      <w:pPr>
        <w:spacing w:after="0" w:line="33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SCHLUMBERGER LIMITED</w:t>
      </w:r>
    </w:p>
    <w:p>
      <w:pPr>
        <w:spacing w:after="0" w:line="2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(Name of issuer of the securities held pursuant to the plan)</w:t>
      </w:r>
    </w:p>
    <w:p>
      <w:pPr>
        <w:spacing w:after="0" w:line="14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277 Park Avenue</w:t>
      </w:r>
    </w:p>
    <w:p>
      <w:pPr>
        <w:spacing w:after="0" w:line="25"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New York, NY 10172-2066</w:t>
      </w:r>
    </w:p>
    <w:p>
      <w:pPr>
        <w:jc w:val="center"/>
        <w:ind w:right="3359"/>
        <w:spacing w:after="0"/>
        <w:rPr>
          <w:sz w:val="20"/>
          <w:szCs w:val="20"/>
          <w:color w:val="auto"/>
        </w:rPr>
      </w:pPr>
      <w:r>
        <w:rPr>
          <w:rFonts w:ascii="Courier New" w:cs="Courier New" w:eastAsia="Courier New" w:hAnsi="Courier New"/>
          <w:sz w:val="15"/>
          <w:szCs w:val="15"/>
          <w:color w:val="auto"/>
        </w:rPr>
        <w:t>(Address, including zip code, of principal executive office)</w:t>
      </w:r>
    </w:p>
    <w:p>
      <w:pPr>
        <w:spacing w:after="0" w:line="14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(212) 350-9400</w:t>
      </w:r>
    </w:p>
    <w:p>
      <w:pPr>
        <w:spacing w:after="0" w:line="2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5"/>
          <w:szCs w:val="15"/>
          <w:color w:val="auto"/>
        </w:rPr>
        <w:t>(Telephone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545" w:right="1440" w:bottom="1440" w:gutter="0" w:footer="0" w:header="0"/>
        </w:sectPr>
      </w:pPr>
    </w:p>
    <w:bookmarkStart w:id="1" w:name="page2"/>
    <w:bookmarkEnd w:id="1"/>
    <w:p>
      <w:pPr>
        <w:jc w:val="center"/>
        <w:ind w:right="3259"/>
        <w:spacing w:after="0"/>
        <w:rPr>
          <w:sz w:val="20"/>
          <w:szCs w:val="20"/>
          <w:color w:val="auto"/>
        </w:rPr>
      </w:pPr>
      <w:r>
        <w:rPr>
          <w:rFonts w:ascii="Courier New" w:cs="Courier New" w:eastAsia="Courier New" w:hAnsi="Courier New"/>
          <w:sz w:val="15"/>
          <w:szCs w:val="15"/>
          <w:color w:val="auto"/>
        </w:rPr>
        <w:t>REED HOURLY THRIFT PLAN</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INDEX TO FINANCIAL STATEMENTS AND SUPPLEMENTAL SCHEDULES</w:t>
      </w:r>
    </w:p>
    <w:p>
      <w:pPr>
        <w:spacing w:after="0" w:line="2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80" w:type="dxa"/>
            <w:vAlign w:val="bottom"/>
          </w:tcPr>
          <w:p>
            <w:pPr>
              <w:spacing w:after="0"/>
              <w:rPr>
                <w:sz w:val="21"/>
                <w:szCs w:val="21"/>
                <w:color w:val="auto"/>
              </w:rPr>
            </w:pPr>
          </w:p>
        </w:tc>
        <w:tc>
          <w:tcPr>
            <w:tcW w:w="4360" w:type="dxa"/>
            <w:vAlign w:val="bottom"/>
          </w:tcPr>
          <w:p>
            <w:pPr>
              <w:ind w:left="960"/>
              <w:spacing w:after="0"/>
              <w:rPr>
                <w:sz w:val="20"/>
                <w:szCs w:val="20"/>
                <w:color w:val="auto"/>
              </w:rPr>
            </w:pPr>
            <w:r>
              <w:rPr>
                <w:rFonts w:ascii="Courier New" w:cs="Courier New" w:eastAsia="Courier New" w:hAnsi="Courier New"/>
                <w:sz w:val="15"/>
                <w:szCs w:val="15"/>
                <w:color w:val="auto"/>
              </w:rPr>
              <w:t>FINANCIAL STATEMENTS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5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46"/>
        </w:trPr>
        <w:tc>
          <w:tcPr>
            <w:tcW w:w="15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Auditors' Report....................................</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62"/>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Statements of Net Assets Available for Benefits,</w:t>
            </w:r>
          </w:p>
        </w:tc>
        <w:tc>
          <w:tcPr>
            <w:tcW w:w="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246"/>
        </w:trPr>
        <w:tc>
          <w:tcPr>
            <w:tcW w:w="1580" w:type="dxa"/>
            <w:vAlign w:val="bottom"/>
          </w:tcPr>
          <w:p>
            <w:pPr>
              <w:ind w:left="80"/>
              <w:spacing w:after="0"/>
              <w:rPr>
                <w:sz w:val="20"/>
                <w:szCs w:val="20"/>
                <w:color w:val="auto"/>
              </w:rPr>
            </w:pPr>
            <w:r>
              <w:rPr>
                <w:rFonts w:ascii="Courier New" w:cs="Courier New" w:eastAsia="Courier New" w:hAnsi="Courier New"/>
                <w:sz w:val="15"/>
                <w:szCs w:val="15"/>
                <w:color w:val="auto"/>
                <w:w w:val="96"/>
              </w:rPr>
              <w:t>December 31, 1998</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and 1997.....................................</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Changes in Net Assets Available for Benefits with</w:t>
            </w:r>
          </w:p>
        </w:tc>
        <w:tc>
          <w:tcPr>
            <w:tcW w:w="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46"/>
        </w:trPr>
        <w:tc>
          <w:tcPr>
            <w:tcW w:w="1580" w:type="dxa"/>
            <w:vAlign w:val="bottom"/>
          </w:tcPr>
          <w:p>
            <w:pPr>
              <w:ind w:left="80"/>
              <w:spacing w:after="0"/>
              <w:rPr>
                <w:sz w:val="20"/>
                <w:szCs w:val="20"/>
                <w:color w:val="auto"/>
              </w:rPr>
            </w:pPr>
            <w:r>
              <w:rPr>
                <w:rFonts w:ascii="Courier New" w:cs="Courier New" w:eastAsia="Courier New" w:hAnsi="Courier New"/>
                <w:sz w:val="15"/>
                <w:szCs w:val="15"/>
                <w:color w:val="auto"/>
                <w:w w:val="96"/>
              </w:rPr>
              <w:t>Fund Information,</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1998.................</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Notes to Financial</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Statements...................................</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678"/>
        </w:trPr>
        <w:tc>
          <w:tcPr>
            <w:tcW w:w="1580" w:type="dxa"/>
            <w:vAlign w:val="bottom"/>
          </w:tcPr>
          <w:p>
            <w:pPr>
              <w:spacing w:after="0"/>
              <w:rPr>
                <w:sz w:val="24"/>
                <w:szCs w:val="24"/>
                <w:color w:val="auto"/>
              </w:rPr>
            </w:pPr>
          </w:p>
        </w:tc>
        <w:tc>
          <w:tcPr>
            <w:tcW w:w="4360" w:type="dxa"/>
            <w:vAlign w:val="bottom"/>
          </w:tcPr>
          <w:p>
            <w:pPr>
              <w:ind w:left="880"/>
              <w:spacing w:after="0"/>
              <w:rPr>
                <w:sz w:val="20"/>
                <w:szCs w:val="20"/>
                <w:color w:val="auto"/>
              </w:rPr>
            </w:pPr>
            <w:r>
              <w:rPr>
                <w:rFonts w:ascii="Courier New" w:cs="Courier New" w:eastAsia="Courier New" w:hAnsi="Courier New"/>
                <w:sz w:val="15"/>
                <w:szCs w:val="15"/>
                <w:color w:val="auto"/>
              </w:rPr>
              <w:t>SUPPLEMENTAL SCHEDULES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Schedule of Assets</w:t>
            </w:r>
          </w:p>
        </w:tc>
        <w:tc>
          <w:tcPr>
            <w:tcW w:w="4360" w:type="dxa"/>
            <w:vAlign w:val="bottom"/>
          </w:tcPr>
          <w:p>
            <w:pPr>
              <w:ind w:left="80"/>
              <w:spacing w:after="0"/>
              <w:rPr>
                <w:sz w:val="20"/>
                <w:szCs w:val="20"/>
                <w:color w:val="auto"/>
              </w:rPr>
            </w:pPr>
            <w:r>
              <w:rPr>
                <w:rFonts w:ascii="Courier New" w:cs="Courier New" w:eastAsia="Courier New" w:hAnsi="Courier New"/>
                <w:sz w:val="15"/>
                <w:szCs w:val="15"/>
                <w:color w:val="auto"/>
              </w:rPr>
              <w:t>Held for Investment Purposes,</w:t>
            </w:r>
          </w:p>
        </w:tc>
        <w:tc>
          <w:tcPr>
            <w:tcW w:w="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246"/>
        </w:trPr>
        <w:tc>
          <w:tcPr>
            <w:tcW w:w="1580" w:type="dxa"/>
            <w:vAlign w:val="bottom"/>
          </w:tcPr>
          <w:p>
            <w:pPr>
              <w:ind w:left="80"/>
              <w:spacing w:after="0"/>
              <w:rPr>
                <w:sz w:val="20"/>
                <w:szCs w:val="20"/>
                <w:color w:val="auto"/>
              </w:rPr>
            </w:pPr>
            <w:r>
              <w:rPr>
                <w:rFonts w:ascii="Courier New" w:cs="Courier New" w:eastAsia="Courier New" w:hAnsi="Courier New"/>
                <w:sz w:val="15"/>
                <w:szCs w:val="15"/>
                <w:color w:val="auto"/>
                <w:w w:val="96"/>
              </w:rPr>
              <w:t>December 31, 1998</w:t>
            </w:r>
          </w:p>
        </w:tc>
        <w:tc>
          <w:tcPr>
            <w:tcW w:w="4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Schedule of Reportable Transactions,</w:t>
            </w:r>
          </w:p>
        </w:tc>
        <w:tc>
          <w:tcPr>
            <w:tcW w:w="66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246"/>
        </w:trPr>
        <w:tc>
          <w:tcPr>
            <w:tcW w:w="59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 December 31, 1998...................................</w:t>
            </w: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179"/>
        <w:spacing w:after="0" w:line="347" w:lineRule="auto"/>
        <w:rPr>
          <w:sz w:val="20"/>
          <w:szCs w:val="20"/>
          <w:color w:val="auto"/>
        </w:rPr>
      </w:pPr>
      <w:r>
        <w:rPr>
          <w:rFonts w:ascii="Courier New" w:cs="Courier New" w:eastAsia="Courier New" w:hAnsi="Courier New"/>
          <w:sz w:val="15"/>
          <w:szCs w:val="15"/>
          <w:color w:val="auto"/>
        </w:rPr>
        <w:t>All other schedules are omitted because they are not applicable, not required or the information is included in the Notes to Financial Statements.</w:t>
      </w:r>
    </w:p>
    <w:p>
      <w:pPr>
        <w:spacing w:after="0" w:line="1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w:t>
      </w:r>
    </w:p>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right="3439"/>
        <w:spacing w:after="0" w:line="275" w:lineRule="auto"/>
        <w:rPr>
          <w:sz w:val="20"/>
          <w:szCs w:val="20"/>
          <w:color w:val="auto"/>
        </w:rPr>
      </w:pPr>
      <w:r>
        <w:rPr>
          <w:rFonts w:ascii="Courier New" w:cs="Courier New" w:eastAsia="Courier New" w:hAnsi="Courier New"/>
          <w:sz w:val="15"/>
          <w:szCs w:val="15"/>
          <w:color w:val="auto"/>
        </w:rPr>
        <w:t>THE PLAN. Pursuant to the requirement of the Securities Exchange Act of 1934, the trustees (or other persons who administer the employee benefit plan) have caused this annual report to be signed on their behalf by the undersigned hereunto duly authorized.</w:t>
      </w:r>
    </w:p>
    <w:p>
      <w:pPr>
        <w:spacing w:after="0" w:line="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REED HOURLY THRIFT PLAN</w:t>
      </w:r>
    </w:p>
    <w:p>
      <w:pPr>
        <w:spacing w:after="0" w:line="33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J. CHRISTOPHER HOLLAND</w:t>
      </w:r>
    </w:p>
    <w:p>
      <w:pPr>
        <w:spacing w:after="0" w:line="2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ind w:left="3340"/>
        <w:spacing w:after="0"/>
        <w:rPr>
          <w:sz w:val="20"/>
          <w:szCs w:val="20"/>
          <w:color w:val="auto"/>
        </w:rPr>
      </w:pPr>
      <w:r>
        <w:rPr>
          <w:rFonts w:ascii="Courier New" w:cs="Courier New" w:eastAsia="Courier New" w:hAnsi="Courier New"/>
          <w:sz w:val="15"/>
          <w:szCs w:val="15"/>
          <w:color w:val="auto"/>
        </w:rPr>
        <w:t>J. Christopher Holland</w:t>
      </w:r>
    </w:p>
    <w:p>
      <w:pPr>
        <w:ind w:left="2820"/>
        <w:spacing w:after="0"/>
        <w:rPr>
          <w:sz w:val="20"/>
          <w:szCs w:val="20"/>
          <w:color w:val="auto"/>
        </w:rPr>
      </w:pPr>
      <w:r>
        <w:rPr>
          <w:rFonts w:ascii="Courier New" w:cs="Courier New" w:eastAsia="Courier New" w:hAnsi="Courier New"/>
          <w:sz w:val="15"/>
          <w:szCs w:val="15"/>
          <w:color w:val="auto"/>
        </w:rPr>
        <w:t>Secretary, Retirement Plan Committee</w:t>
      </w: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June 11, 1999</w:t>
      </w:r>
    </w:p>
    <w:p>
      <w:pPr>
        <w:sectPr>
          <w:pgSz w:w="11900" w:h="16838" w:orient="portrait"/>
          <w:cols w:equalWidth="0" w:num="1">
            <w:col w:w="10219"/>
          </w:cols>
          <w:pgMar w:left="240" w:top="601"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INDEPENDENT AUDITORS' REPORT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Retirement Plan Committee of the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Reed Hourly Thrift Plan:</w:t>
      </w:r>
    </w:p>
    <w:p>
      <w:pPr>
        <w:spacing w:after="0" w:line="143"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We have audited the accompanying statements of net assets available for benefits of the Reed Hourly Thrift Plan as of December 31, 1998 and 1997, and the related statement of changes in net assets available for benefits for the year ended December 31, 1998. These financial statements are the responsibility of the Plan's management. Our responsibility is to express an opinion on these financial statements based on our audits.</w:t>
      </w:r>
    </w:p>
    <w:p>
      <w:pPr>
        <w:spacing w:after="0" w:line="78"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2"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net assets available for benefits of the Reed Hourly Thrift Plan as of December 31, 1998 and 1997, and the changes in net assets available for benefits for the year ended December 31, 1998, in conformity with generally accepted accounting principles.</w:t>
      </w:r>
    </w:p>
    <w:p>
      <w:pPr>
        <w:spacing w:after="0" w:line="75" w:lineRule="exact"/>
        <w:rPr>
          <w:sz w:val="20"/>
          <w:szCs w:val="20"/>
          <w:color w:val="auto"/>
        </w:rPr>
      </w:pPr>
    </w:p>
    <w:p>
      <w:pPr>
        <w:ind w:right="3179"/>
        <w:spacing w:after="0" w:line="247" w:lineRule="auto"/>
        <w:rPr>
          <w:sz w:val="20"/>
          <w:szCs w:val="20"/>
          <w:color w:val="auto"/>
        </w:rPr>
      </w:pPr>
      <w:r>
        <w:rPr>
          <w:rFonts w:ascii="Courier New" w:cs="Courier New" w:eastAsia="Courier New" w:hAnsi="Courier New"/>
          <w:sz w:val="15"/>
          <w:szCs w:val="15"/>
          <w:color w:val="auto"/>
        </w:rPr>
        <w:t>Our audits were conducted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Fund Information in the statement of changes in net assets available for benefits is presented for purposes of additional analysis rather than to present the changes in net assets available for plan benefits of each fund. The supplemental schedules and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200" w:lineRule="exact"/>
        <w:rPr>
          <w:sz w:val="20"/>
          <w:szCs w:val="20"/>
          <w:color w:val="auto"/>
        </w:rPr>
      </w:pPr>
    </w:p>
    <w:p>
      <w:pPr>
        <w:spacing w:after="0" w:line="22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LARKIN, ERVIN &amp; SHIRLEY,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11, 1999</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01" w:right="1440" w:bottom="1440" w:gutter="0" w:footer="0" w:header="0"/>
        </w:sectPr>
      </w:pPr>
    </w:p>
    <w:bookmarkStart w:id="3" w:name="page4"/>
    <w:bookmarkEnd w:id="3"/>
    <w:p>
      <w:pPr>
        <w:jc w:val="center"/>
        <w:ind w:right="3279"/>
        <w:spacing w:after="0"/>
        <w:rPr>
          <w:sz w:val="20"/>
          <w:szCs w:val="20"/>
          <w:color w:val="auto"/>
        </w:rPr>
      </w:pPr>
      <w:r>
        <w:rPr>
          <w:rFonts w:ascii="Courier New" w:cs="Courier New" w:eastAsia="Courier New" w:hAnsi="Courier New"/>
          <w:sz w:val="15"/>
          <w:szCs w:val="15"/>
          <w:color w:val="auto"/>
        </w:rPr>
        <w:t>REED HOURLY THRIFT PLAN</w:t>
      </w:r>
    </w:p>
    <w:p>
      <w:pPr>
        <w:spacing w:after="0" w:line="2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Statements of Net Assets Available for Benefits</w:t>
      </w:r>
    </w:p>
    <w:p>
      <w:pPr>
        <w:jc w:val="center"/>
        <w:ind w:right="3279"/>
        <w:spacing w:after="0"/>
        <w:rPr>
          <w:sz w:val="20"/>
          <w:szCs w:val="20"/>
          <w:color w:val="auto"/>
        </w:rPr>
      </w:pPr>
      <w:r>
        <w:rPr>
          <w:rFonts w:ascii="Courier New" w:cs="Courier New" w:eastAsia="Courier New" w:hAnsi="Courier New"/>
          <w:sz w:val="15"/>
          <w:szCs w:val="15"/>
          <w:color w:val="auto"/>
        </w:rPr>
        <w:t>December 31</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4"/>
              </w:rPr>
              <w:t>1998</w:t>
            </w:r>
          </w:p>
        </w:tc>
        <w:tc>
          <w:tcPr>
            <w:tcW w:w="800" w:type="dxa"/>
            <w:vAlign w:val="bottom"/>
          </w:tcPr>
          <w:p>
            <w:pPr>
              <w:spacing w:after="0"/>
              <w:rPr>
                <w:sz w:val="14"/>
                <w:szCs w:val="14"/>
                <w:color w:val="auto"/>
              </w:rPr>
            </w:pP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2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00" w:type="dxa"/>
            <w:vAlign w:val="bottom"/>
          </w:tcPr>
          <w:p>
            <w:pPr>
              <w:ind w:left="2200"/>
              <w:spacing w:after="0"/>
              <w:rPr>
                <w:sz w:val="20"/>
                <w:szCs w:val="20"/>
                <w:color w:val="auto"/>
              </w:rPr>
            </w:pPr>
            <w:r>
              <w:rPr>
                <w:rFonts w:ascii="Courier New" w:cs="Courier New" w:eastAsia="Courier New" w:hAnsi="Courier New"/>
                <w:sz w:val="15"/>
                <w:szCs w:val="15"/>
                <w:color w:val="auto"/>
              </w:rPr>
              <w:t>Assets</w:t>
            </w:r>
          </w:p>
        </w:tc>
        <w:tc>
          <w:tcPr>
            <w:tcW w:w="15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At fair value -</w:t>
            </w:r>
          </w:p>
        </w:tc>
        <w:tc>
          <w:tcPr>
            <w:tcW w:w="1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tcPr>
          <w:p>
            <w:pPr>
              <w:ind w:left="80"/>
              <w:spacing w:after="0"/>
              <w:rPr>
                <w:sz w:val="20"/>
                <w:szCs w:val="20"/>
                <w:color w:val="auto"/>
              </w:rPr>
            </w:pPr>
            <w:r>
              <w:rPr>
                <w:rFonts w:ascii="Courier New" w:cs="Courier New" w:eastAsia="Courier New" w:hAnsi="Courier New"/>
                <w:sz w:val="15"/>
                <w:szCs w:val="15"/>
                <w:color w:val="auto"/>
              </w:rPr>
              <w:t>Registered investment company shares:</w:t>
            </w:r>
          </w:p>
        </w:tc>
        <w:tc>
          <w:tcPr>
            <w:tcW w:w="15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50,498</w:t>
            </w:r>
          </w:p>
        </w:tc>
        <w:tc>
          <w:tcPr>
            <w:tcW w:w="8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23,012</w:t>
            </w:r>
          </w:p>
        </w:tc>
        <w:tc>
          <w:tcPr>
            <w:tcW w:w="0" w:type="dxa"/>
            <w:vAlign w:val="bottom"/>
          </w:tcPr>
          <w:p>
            <w:pPr>
              <w:spacing w:after="0"/>
              <w:rPr>
                <w:sz w:val="1"/>
                <w:szCs w:val="1"/>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IDS International Fund</w:t>
            </w:r>
          </w:p>
        </w:tc>
        <w:tc>
          <w:tcPr>
            <w:tcW w:w="158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IDS New Dimensions Fund</w:t>
            </w:r>
          </w:p>
        </w:tc>
        <w:tc>
          <w:tcPr>
            <w:tcW w:w="1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1,180,049</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805,582</w:t>
            </w:r>
          </w:p>
        </w:tc>
        <w:tc>
          <w:tcPr>
            <w:tcW w:w="0" w:type="dxa"/>
            <w:vAlign w:val="bottom"/>
          </w:tcPr>
          <w:p>
            <w:pPr>
              <w:spacing w:after="0"/>
              <w:rPr>
                <w:sz w:val="1"/>
                <w:szCs w:val="1"/>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IDS Stock Fund</w:t>
            </w:r>
          </w:p>
        </w:tc>
        <w:tc>
          <w:tcPr>
            <w:tcW w:w="1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311,063</w:t>
            </w:r>
          </w:p>
        </w:tc>
        <w:tc>
          <w:tcPr>
            <w:tcW w:w="0" w:type="dxa"/>
            <w:vAlign w:val="bottom"/>
          </w:tcPr>
          <w:p>
            <w:pPr>
              <w:spacing w:after="0"/>
              <w:rPr>
                <w:sz w:val="1"/>
                <w:szCs w:val="1"/>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IDS Mutual Fund</w:t>
            </w:r>
          </w:p>
        </w:tc>
        <w:tc>
          <w:tcPr>
            <w:tcW w:w="1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151,108</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131,895</w:t>
            </w:r>
          </w:p>
        </w:tc>
        <w:tc>
          <w:tcPr>
            <w:tcW w:w="0" w:type="dxa"/>
            <w:vAlign w:val="bottom"/>
          </w:tcPr>
          <w:p>
            <w:pPr>
              <w:spacing w:after="0"/>
              <w:rPr>
                <w:sz w:val="1"/>
                <w:szCs w:val="1"/>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IDS Federal Income Fund</w:t>
            </w:r>
          </w:p>
        </w:tc>
        <w:tc>
          <w:tcPr>
            <w:tcW w:w="1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1,571,334</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1,426,026</w:t>
            </w:r>
          </w:p>
        </w:tc>
        <w:tc>
          <w:tcPr>
            <w:tcW w:w="0" w:type="dxa"/>
            <w:vAlign w:val="bottom"/>
          </w:tcPr>
          <w:p>
            <w:pPr>
              <w:spacing w:after="0"/>
              <w:rPr>
                <w:sz w:val="1"/>
                <w:szCs w:val="1"/>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AIM Constellation Fund</w:t>
            </w:r>
          </w:p>
        </w:tc>
        <w:tc>
          <w:tcPr>
            <w:tcW w:w="1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98,432</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Camco/Schlumberger Stock Fund</w:t>
            </w:r>
          </w:p>
        </w:tc>
        <w:tc>
          <w:tcPr>
            <w:tcW w:w="1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35,413</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13,758</w:t>
            </w:r>
          </w:p>
        </w:tc>
        <w:tc>
          <w:tcPr>
            <w:tcW w:w="0" w:type="dxa"/>
            <w:vAlign w:val="bottom"/>
          </w:tcPr>
          <w:p>
            <w:pPr>
              <w:spacing w:after="0"/>
              <w:rPr>
                <w:sz w:val="1"/>
                <w:szCs w:val="1"/>
                <w:color w:val="auto"/>
              </w:rPr>
            </w:pPr>
          </w:p>
        </w:tc>
      </w:tr>
      <w:tr>
        <w:trPr>
          <w:trHeight w:val="170"/>
        </w:trPr>
        <w:tc>
          <w:tcPr>
            <w:tcW w:w="4400" w:type="dxa"/>
            <w:vAlign w:val="bottom"/>
          </w:tcPr>
          <w:p>
            <w:pPr>
              <w:ind w:left="340"/>
              <w:spacing w:after="0"/>
              <w:rPr>
                <w:sz w:val="20"/>
                <w:szCs w:val="20"/>
                <w:color w:val="auto"/>
              </w:rPr>
            </w:pPr>
            <w:r>
              <w:rPr>
                <w:rFonts w:ascii="Courier New" w:cs="Courier New" w:eastAsia="Courier New" w:hAnsi="Courier New"/>
                <w:sz w:val="15"/>
                <w:szCs w:val="15"/>
                <w:color w:val="auto"/>
              </w:rPr>
              <w:t>Participant notes receivable</w:t>
            </w:r>
          </w:p>
        </w:tc>
        <w:tc>
          <w:tcPr>
            <w:tcW w:w="1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536,384</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372,997</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2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3,623,218</w:t>
            </w:r>
          </w:p>
        </w:tc>
        <w:tc>
          <w:tcPr>
            <w:tcW w:w="8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3,084,333</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2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00" w:type="dxa"/>
            <w:vAlign w:val="bottom"/>
          </w:tcPr>
          <w:p>
            <w:pPr>
              <w:ind w:left="160"/>
              <w:spacing w:after="0"/>
              <w:rPr>
                <w:sz w:val="20"/>
                <w:szCs w:val="20"/>
                <w:color w:val="auto"/>
              </w:rPr>
            </w:pPr>
            <w:r>
              <w:rPr>
                <w:rFonts w:ascii="Courier New" w:cs="Courier New" w:eastAsia="Courier New" w:hAnsi="Courier New"/>
                <w:sz w:val="15"/>
                <w:szCs w:val="15"/>
                <w:color w:val="auto"/>
              </w:rPr>
              <w:t>At contract value -</w:t>
            </w:r>
          </w:p>
        </w:tc>
        <w:tc>
          <w:tcPr>
            <w:tcW w:w="1580" w:type="dxa"/>
            <w:vAlign w:val="bottom"/>
          </w:tcPr>
          <w:p>
            <w:pPr>
              <w:spacing w:after="0"/>
              <w:rPr>
                <w:sz w:val="22"/>
                <w:szCs w:val="22"/>
                <w:color w:val="auto"/>
              </w:rPr>
            </w:pP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301,662</w:t>
            </w:r>
          </w:p>
        </w:tc>
        <w:tc>
          <w:tcPr>
            <w:tcW w:w="800" w:type="dxa"/>
            <w:vAlign w:val="bottom"/>
          </w:tcPr>
          <w:p>
            <w:pPr>
              <w:spacing w:after="0"/>
              <w:rPr>
                <w:sz w:val="22"/>
                <w:szCs w:val="22"/>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AET Equity Index Fund I</w:t>
            </w:r>
          </w:p>
        </w:tc>
        <w:tc>
          <w:tcPr>
            <w:tcW w:w="15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AET Income Fund II</w:t>
            </w:r>
          </w:p>
        </w:tc>
        <w:tc>
          <w:tcPr>
            <w:tcW w:w="158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1,597,335</w:t>
            </w:r>
          </w:p>
        </w:tc>
        <w:tc>
          <w:tcPr>
            <w:tcW w:w="8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1,551,701</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2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1,898,997</w:t>
            </w:r>
          </w:p>
        </w:tc>
        <w:tc>
          <w:tcPr>
            <w:tcW w:w="8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1,551,701</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2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Total investments</w:t>
            </w:r>
          </w:p>
        </w:tc>
        <w:tc>
          <w:tcPr>
            <w:tcW w:w="158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5,522,215</w:t>
            </w:r>
          </w:p>
        </w:tc>
        <w:tc>
          <w:tcPr>
            <w:tcW w:w="8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4,636,034</w:t>
            </w: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80" w:type="dxa"/>
            <w:vAlign w:val="bottom"/>
          </w:tcPr>
          <w:p>
            <w:pPr>
              <w:spacing w:after="0"/>
              <w:rPr>
                <w:sz w:val="22"/>
                <w:szCs w:val="22"/>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2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Total assets</w:t>
            </w:r>
          </w:p>
        </w:tc>
        <w:tc>
          <w:tcPr>
            <w:tcW w:w="1580" w:type="dxa"/>
            <w:vAlign w:val="bottom"/>
          </w:tcPr>
          <w:p>
            <w:pPr>
              <w:spacing w:after="0"/>
              <w:rPr>
                <w:sz w:val="24"/>
                <w:szCs w:val="2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5,522,215</w:t>
            </w:r>
          </w:p>
        </w:tc>
        <w:tc>
          <w:tcPr>
            <w:tcW w:w="8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4,636,034</w:t>
            </w:r>
          </w:p>
        </w:tc>
        <w:tc>
          <w:tcPr>
            <w:tcW w:w="0" w:type="dxa"/>
            <w:vAlign w:val="bottom"/>
          </w:tcPr>
          <w:p>
            <w:pPr>
              <w:spacing w:after="0"/>
              <w:rPr>
                <w:sz w:val="1"/>
                <w:szCs w:val="1"/>
                <w:color w:val="auto"/>
              </w:rPr>
            </w:pPr>
          </w:p>
        </w:tc>
      </w:tr>
      <w:tr>
        <w:trPr>
          <w:trHeight w:val="262"/>
        </w:trPr>
        <w:tc>
          <w:tcPr>
            <w:tcW w:w="44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80" w:type="dxa"/>
            <w:vAlign w:val="bottom"/>
          </w:tcPr>
          <w:p>
            <w:pPr>
              <w:spacing w:after="0"/>
              <w:rPr>
                <w:sz w:val="22"/>
                <w:szCs w:val="22"/>
                <w:color w:val="auto"/>
              </w:rPr>
            </w:pPr>
          </w:p>
        </w:tc>
        <w:tc>
          <w:tcPr>
            <w:tcW w:w="13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2"/>
                <w:szCs w:val="22"/>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5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2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400" w:type="dxa"/>
            <w:vAlign w:val="bottom"/>
          </w:tcPr>
          <w:p>
            <w:pPr>
              <w:ind w:left="520"/>
              <w:spacing w:after="0"/>
              <w:rPr>
                <w:sz w:val="20"/>
                <w:szCs w:val="20"/>
                <w:color w:val="auto"/>
              </w:rPr>
            </w:pPr>
            <w:r>
              <w:rPr>
                <w:rFonts w:ascii="Courier New" w:cs="Courier New" w:eastAsia="Courier New" w:hAnsi="Courier New"/>
                <w:sz w:val="15"/>
                <w:szCs w:val="15"/>
                <w:color w:val="auto"/>
              </w:rPr>
              <w:t>Net assets available for benefits</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5,522,215</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4,636,034</w:t>
            </w: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1"/>
                <w:szCs w:val="21"/>
                <w:color w:val="auto"/>
              </w:rPr>
            </w:pPr>
          </w:p>
        </w:tc>
        <w:tc>
          <w:tcPr>
            <w:tcW w:w="29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accompanying notes are an integral</w:t>
      </w:r>
    </w:p>
    <w:p>
      <w:pPr>
        <w:spacing w:after="0" w:line="2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part of these financial statements.</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01" w:right="1440" w:bottom="1440" w:gutter="0" w:footer="0" w:header="0"/>
        </w:sectPr>
      </w:pPr>
    </w:p>
    <w:bookmarkStart w:id="4" w:name="page5"/>
    <w:bookmarkEnd w:id="4"/>
    <w:p>
      <w:pPr>
        <w:jc w:val="center"/>
        <w:ind w:right="3360"/>
        <w:spacing w:after="0"/>
        <w:rPr>
          <w:sz w:val="20"/>
          <w:szCs w:val="20"/>
          <w:color w:val="auto"/>
        </w:rPr>
      </w:pPr>
      <w:r>
        <w:rPr>
          <w:rFonts w:ascii="Courier New" w:cs="Courier New" w:eastAsia="Courier New" w:hAnsi="Courier New"/>
          <w:sz w:val="15"/>
          <w:szCs w:val="15"/>
          <w:color w:val="auto"/>
        </w:rPr>
        <w:t>REED HOURLY THRIFT PLAN</w:t>
      </w:r>
    </w:p>
    <w:p>
      <w:pPr>
        <w:spacing w:after="0" w:line="25"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jc w:val="center"/>
        <w:ind w:right="3360"/>
        <w:spacing w:after="0"/>
        <w:rPr>
          <w:sz w:val="20"/>
          <w:szCs w:val="20"/>
          <w:color w:val="auto"/>
        </w:rPr>
      </w:pPr>
      <w:r>
        <w:rPr>
          <w:rFonts w:ascii="Courier New" w:cs="Courier New" w:eastAsia="Courier New" w:hAnsi="Courier New"/>
          <w:sz w:val="15"/>
          <w:szCs w:val="15"/>
          <w:color w:val="auto"/>
        </w:rPr>
        <w:t>with Fund Information</w:t>
      </w:r>
    </w:p>
    <w:tbl>
      <w:tblPr>
        <w:tblLayout w:type="fixed"/>
        <w:tblInd w:w="0" w:type="dxa"/>
        <w:tblCellMar>
          <w:top w:w="0" w:type="dxa"/>
          <w:left w:w="0" w:type="dxa"/>
          <w:bottom w:w="0" w:type="dxa"/>
          <w:right w:w="0" w:type="dxa"/>
        </w:tblCellMar>
      </w:tblPr>
      <w:tr>
        <w:trPr>
          <w:trHeight w:val="246"/>
        </w:trPr>
        <w:tc>
          <w:tcPr>
            <w:tcW w:w="568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For the Year Ended December 31, 1998</w:t>
            </w: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5"/>
        </w:trPr>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IDS</w:t>
            </w:r>
          </w:p>
        </w:tc>
        <w:tc>
          <w:tcPr>
            <w:tcW w:w="440" w:type="dxa"/>
            <w:vAlign w:val="bottom"/>
          </w:tcPr>
          <w:p>
            <w:pPr>
              <w:spacing w:after="0"/>
              <w:rPr>
                <w:sz w:val="24"/>
                <w:szCs w:val="24"/>
                <w:color w:val="auto"/>
              </w:rPr>
            </w:pPr>
          </w:p>
        </w:tc>
        <w:tc>
          <w:tcPr>
            <w:tcW w:w="12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IDS New</w:t>
            </w:r>
          </w:p>
        </w:tc>
        <w:tc>
          <w:tcPr>
            <w:tcW w:w="380" w:type="dxa"/>
            <w:vAlign w:val="bottom"/>
          </w:tcPr>
          <w:p>
            <w:pPr>
              <w:spacing w:after="0"/>
              <w:rPr>
                <w:sz w:val="24"/>
                <w:szCs w:val="24"/>
                <w:color w:val="auto"/>
              </w:rPr>
            </w:pPr>
          </w:p>
        </w:tc>
        <w:tc>
          <w:tcPr>
            <w:tcW w:w="11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IDS</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IDS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International</w:t>
            </w:r>
          </w:p>
        </w:tc>
        <w:tc>
          <w:tcPr>
            <w:tcW w:w="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9"/>
              </w:rPr>
              <w:t>Dimensions</w:t>
            </w:r>
          </w:p>
        </w:tc>
        <w:tc>
          <w:tcPr>
            <w:tcW w:w="38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Mutual</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Fund</w:t>
            </w:r>
          </w:p>
        </w:tc>
        <w:tc>
          <w:tcPr>
            <w:tcW w:w="440" w:type="dxa"/>
            <w:vAlign w:val="bottom"/>
          </w:tcPr>
          <w:p>
            <w:pPr>
              <w:spacing w:after="0"/>
              <w:rPr>
                <w:sz w:val="14"/>
                <w:szCs w:val="14"/>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Fund</w:t>
            </w:r>
          </w:p>
        </w:tc>
        <w:tc>
          <w:tcPr>
            <w:tcW w:w="38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Fund</w:t>
            </w:r>
          </w:p>
        </w:tc>
        <w:tc>
          <w:tcPr>
            <w:tcW w:w="780" w:type="dxa"/>
            <w:vAlign w:val="bottom"/>
          </w:tcPr>
          <w:p>
            <w:pPr>
              <w:ind w:left="340"/>
              <w:spacing w:after="0"/>
              <w:rPr>
                <w:sz w:val="20"/>
                <w:szCs w:val="20"/>
                <w:color w:val="auto"/>
              </w:rPr>
            </w:pPr>
            <w:r>
              <w:rPr>
                <w:rFonts w:ascii="Courier New" w:cs="Courier New" w:eastAsia="Courier New" w:hAnsi="Courier New"/>
                <w:sz w:val="15"/>
                <w:szCs w:val="15"/>
                <w:color w:val="auto"/>
              </w:rPr>
              <w:t>Fund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Additions to net assets attributed to:</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Net appreciation/(depreciation) in</w:t>
            </w:r>
          </w:p>
        </w:tc>
        <w:tc>
          <w:tcPr>
            <w:tcW w:w="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(567)</w:t>
            </w:r>
          </w:p>
        </w:tc>
        <w:tc>
          <w:tcPr>
            <w:tcW w:w="44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163,933</w:t>
            </w:r>
          </w:p>
        </w:tc>
        <w:tc>
          <w:tcPr>
            <w:tcW w:w="3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12,074</w:t>
            </w:r>
          </w:p>
        </w:tc>
        <w:tc>
          <w:tcPr>
            <w:tcW w:w="1400" w:type="dxa"/>
            <w:vAlign w:val="bottom"/>
            <w:gridSpan w:val="2"/>
            <w:vMerge w:val="restart"/>
          </w:tcPr>
          <w:p>
            <w:pPr>
              <w:jc w:val="right"/>
              <w:ind w:right="447"/>
              <w:spacing w:after="0"/>
              <w:rPr>
                <w:sz w:val="20"/>
                <w:szCs w:val="20"/>
                <w:color w:val="auto"/>
              </w:rPr>
            </w:pPr>
            <w:r>
              <w:rPr>
                <w:rFonts w:ascii="Courier New" w:cs="Courier New" w:eastAsia="Courier New" w:hAnsi="Courier New"/>
                <w:sz w:val="15"/>
                <w:szCs w:val="15"/>
                <w:color w:val="auto"/>
                <w:w w:val="95"/>
              </w:rPr>
              <w:t>$  (7,290)</w:t>
            </w:r>
          </w:p>
        </w:tc>
        <w:tc>
          <w:tcPr>
            <w:tcW w:w="0" w:type="dxa"/>
            <w:vAlign w:val="bottom"/>
          </w:tcPr>
          <w:p>
            <w:pPr>
              <w:spacing w:after="0"/>
              <w:rPr>
                <w:sz w:val="1"/>
                <w:szCs w:val="1"/>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fair value of investments</w:t>
            </w:r>
          </w:p>
        </w:tc>
        <w:tc>
          <w:tcPr>
            <w:tcW w:w="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340" w:type="dxa"/>
            <w:vAlign w:val="bottom"/>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Dividends</w:t>
            </w:r>
          </w:p>
        </w:tc>
        <w:tc>
          <w:tcPr>
            <w:tcW w:w="340" w:type="dxa"/>
            <w:vAlign w:val="bottom"/>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838</w:t>
            </w:r>
          </w:p>
        </w:tc>
        <w:tc>
          <w:tcPr>
            <w:tcW w:w="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67,534</w:t>
            </w:r>
          </w:p>
        </w:tc>
        <w:tc>
          <w:tcPr>
            <w:tcW w:w="38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2,686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20,226</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271</w:t>
            </w:r>
          </w:p>
        </w:tc>
        <w:tc>
          <w:tcPr>
            <w:tcW w:w="440" w:type="dxa"/>
            <w:vAlign w:val="bottom"/>
          </w:tcPr>
          <w:p>
            <w:pPr>
              <w:spacing w:after="0"/>
              <w:rPr>
                <w:sz w:val="22"/>
                <w:szCs w:val="22"/>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231,467</w:t>
            </w:r>
          </w:p>
        </w:tc>
        <w:tc>
          <w:tcPr>
            <w:tcW w:w="380" w:type="dxa"/>
            <w:vAlign w:val="bottom"/>
          </w:tcPr>
          <w:p>
            <w:pPr>
              <w:spacing w:after="0"/>
              <w:rPr>
                <w:sz w:val="22"/>
                <w:szCs w:val="22"/>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14,760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12,936</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Contributions</w:t>
            </w:r>
          </w:p>
        </w:tc>
        <w:tc>
          <w:tcPr>
            <w:tcW w:w="340" w:type="dxa"/>
            <w:vAlign w:val="bottom"/>
          </w:tcPr>
          <w:p>
            <w:pPr>
              <w:spacing w:after="0"/>
              <w:rPr>
                <w:sz w:val="22"/>
                <w:szCs w:val="22"/>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7,663</w:t>
            </w:r>
          </w:p>
        </w:tc>
        <w:tc>
          <w:tcPr>
            <w:tcW w:w="440" w:type="dxa"/>
            <w:vAlign w:val="bottom"/>
          </w:tcPr>
          <w:p>
            <w:pPr>
              <w:spacing w:after="0"/>
              <w:rPr>
                <w:sz w:val="22"/>
                <w:szCs w:val="22"/>
                <w:color w:val="auto"/>
              </w:rPr>
            </w:pPr>
          </w:p>
        </w:tc>
        <w:tc>
          <w:tcPr>
            <w:tcW w:w="12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116,697</w:t>
            </w:r>
          </w:p>
        </w:tc>
        <w:tc>
          <w:tcPr>
            <w:tcW w:w="380" w:type="dxa"/>
            <w:vAlign w:val="bottom"/>
          </w:tcPr>
          <w:p>
            <w:pPr>
              <w:spacing w:after="0"/>
              <w:rPr>
                <w:sz w:val="22"/>
                <w:szCs w:val="22"/>
                <w:color w:val="auto"/>
              </w:rPr>
            </w:pPr>
          </w:p>
        </w:tc>
        <w:tc>
          <w:tcPr>
            <w:tcW w:w="11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29,476</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18,766</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Participants'</w:t>
            </w:r>
          </w:p>
        </w:tc>
        <w:tc>
          <w:tcPr>
            <w:tcW w:w="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Employer's</w:t>
            </w:r>
          </w:p>
        </w:tc>
        <w:tc>
          <w:tcPr>
            <w:tcW w:w="340" w:type="dxa"/>
            <w:vAlign w:val="bottom"/>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3,522</w:t>
            </w:r>
          </w:p>
        </w:tc>
        <w:tc>
          <w:tcPr>
            <w:tcW w:w="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39,558</w:t>
            </w:r>
          </w:p>
        </w:tc>
        <w:tc>
          <w:tcPr>
            <w:tcW w:w="38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11,362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8,269</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11,185</w:t>
            </w:r>
          </w:p>
        </w:tc>
        <w:tc>
          <w:tcPr>
            <w:tcW w:w="440" w:type="dxa"/>
            <w:vAlign w:val="bottom"/>
          </w:tcPr>
          <w:p>
            <w:pPr>
              <w:spacing w:after="0"/>
              <w:rPr>
                <w:sz w:val="22"/>
                <w:szCs w:val="22"/>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156,255</w:t>
            </w:r>
          </w:p>
        </w:tc>
        <w:tc>
          <w:tcPr>
            <w:tcW w:w="380" w:type="dxa"/>
            <w:vAlign w:val="bottom"/>
          </w:tcPr>
          <w:p>
            <w:pPr>
              <w:spacing w:after="0"/>
              <w:rPr>
                <w:sz w:val="22"/>
                <w:szCs w:val="22"/>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40,838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27,035</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340" w:type="dxa"/>
            <w:vAlign w:val="bottom"/>
          </w:tcPr>
          <w:p>
            <w:pPr>
              <w:spacing w:after="0"/>
              <w:rPr>
                <w:sz w:val="22"/>
                <w:szCs w:val="22"/>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11,456</w:t>
            </w:r>
          </w:p>
        </w:tc>
        <w:tc>
          <w:tcPr>
            <w:tcW w:w="440" w:type="dxa"/>
            <w:vAlign w:val="bottom"/>
          </w:tcPr>
          <w:p>
            <w:pPr>
              <w:spacing w:after="0"/>
              <w:rPr>
                <w:sz w:val="22"/>
                <w:szCs w:val="22"/>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387,722</w:t>
            </w:r>
          </w:p>
        </w:tc>
        <w:tc>
          <w:tcPr>
            <w:tcW w:w="380" w:type="dxa"/>
            <w:vAlign w:val="bottom"/>
          </w:tcPr>
          <w:p>
            <w:pPr>
              <w:spacing w:after="0"/>
              <w:rPr>
                <w:sz w:val="22"/>
                <w:szCs w:val="22"/>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55,598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39,971</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Deductions from net assets attributable to:</w:t>
            </w:r>
          </w:p>
        </w:tc>
        <w:tc>
          <w:tcPr>
            <w:tcW w:w="340" w:type="dxa"/>
            <w:vAlign w:val="bottom"/>
          </w:tcPr>
          <w:p>
            <w:pPr>
              <w:spacing w:after="0"/>
              <w:rPr>
                <w:sz w:val="14"/>
                <w:szCs w:val="14"/>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302</w:t>
            </w:r>
          </w:p>
        </w:tc>
        <w:tc>
          <w:tcPr>
            <w:tcW w:w="440" w:type="dxa"/>
            <w:vAlign w:val="bottom"/>
          </w:tcPr>
          <w:p>
            <w:pPr>
              <w:spacing w:after="0"/>
              <w:rPr>
                <w:sz w:val="14"/>
                <w:szCs w:val="14"/>
                <w:color w:val="auto"/>
              </w:rPr>
            </w:pPr>
          </w:p>
        </w:tc>
        <w:tc>
          <w:tcPr>
            <w:tcW w:w="12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29,422</w:t>
            </w:r>
          </w:p>
        </w:tc>
        <w:tc>
          <w:tcPr>
            <w:tcW w:w="380" w:type="dxa"/>
            <w:vAlign w:val="bottom"/>
          </w:tcPr>
          <w:p>
            <w:pPr>
              <w:spacing w:after="0"/>
              <w:rPr>
                <w:sz w:val="14"/>
                <w:szCs w:val="14"/>
                <w:color w:val="auto"/>
              </w:rPr>
            </w:pPr>
          </w:p>
        </w:tc>
        <w:tc>
          <w:tcPr>
            <w:tcW w:w="11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6,180</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5,434</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Benefits paid to participants</w:t>
            </w:r>
          </w:p>
        </w:tc>
        <w:tc>
          <w:tcPr>
            <w:tcW w:w="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w:t>
            </w:r>
          </w:p>
        </w:tc>
        <w:tc>
          <w:tcPr>
            <w:tcW w:w="340" w:type="dxa"/>
            <w:vAlign w:val="bottom"/>
          </w:tcPr>
          <w:p>
            <w:pPr>
              <w:spacing w:after="0"/>
              <w:rPr>
                <w:sz w:val="14"/>
                <w:szCs w:val="1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326</w:t>
            </w:r>
          </w:p>
        </w:tc>
        <w:tc>
          <w:tcPr>
            <w:tcW w:w="380" w:type="dxa"/>
            <w:vAlign w:val="bottom"/>
          </w:tcPr>
          <w:p>
            <w:pPr>
              <w:spacing w:after="0"/>
              <w:rPr>
                <w:sz w:val="14"/>
                <w:szCs w:val="1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340" w:type="dxa"/>
            <w:vAlign w:val="bottom"/>
          </w:tcPr>
          <w:p>
            <w:pPr>
              <w:spacing w:after="0"/>
              <w:rPr>
                <w:sz w:val="22"/>
                <w:szCs w:val="22"/>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332</w:t>
            </w:r>
          </w:p>
        </w:tc>
        <w:tc>
          <w:tcPr>
            <w:tcW w:w="440" w:type="dxa"/>
            <w:vAlign w:val="bottom"/>
          </w:tcPr>
          <w:p>
            <w:pPr>
              <w:spacing w:after="0"/>
              <w:rPr>
                <w:sz w:val="22"/>
                <w:szCs w:val="22"/>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29,748</w:t>
            </w:r>
          </w:p>
        </w:tc>
        <w:tc>
          <w:tcPr>
            <w:tcW w:w="380" w:type="dxa"/>
            <w:vAlign w:val="bottom"/>
          </w:tcPr>
          <w:p>
            <w:pPr>
              <w:spacing w:after="0"/>
              <w:rPr>
                <w:sz w:val="22"/>
                <w:szCs w:val="22"/>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6,271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5,543</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increase prior to interfund transfers</w:t>
            </w:r>
          </w:p>
        </w:tc>
        <w:tc>
          <w:tcPr>
            <w:tcW w:w="340" w:type="dxa"/>
            <w:vAlign w:val="bottom"/>
          </w:tcPr>
          <w:p>
            <w:pPr>
              <w:spacing w:after="0"/>
              <w:rPr>
                <w:sz w:val="24"/>
                <w:szCs w:val="2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11,124</w:t>
            </w:r>
          </w:p>
        </w:tc>
        <w:tc>
          <w:tcPr>
            <w:tcW w:w="440" w:type="dxa"/>
            <w:vAlign w:val="bottom"/>
          </w:tcPr>
          <w:p>
            <w:pPr>
              <w:spacing w:after="0"/>
              <w:rPr>
                <w:sz w:val="24"/>
                <w:szCs w:val="2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357,974</w:t>
            </w:r>
          </w:p>
        </w:tc>
        <w:tc>
          <w:tcPr>
            <w:tcW w:w="380" w:type="dxa"/>
            <w:vAlign w:val="bottom"/>
          </w:tcPr>
          <w:p>
            <w:pPr>
              <w:spacing w:after="0"/>
              <w:rPr>
                <w:sz w:val="24"/>
                <w:szCs w:val="24"/>
                <w:color w:val="auto"/>
              </w:rPr>
            </w:pP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49,327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34,428</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Interfund transfers</w:t>
            </w:r>
          </w:p>
        </w:tc>
        <w:tc>
          <w:tcPr>
            <w:tcW w:w="340" w:type="dxa"/>
            <w:vAlign w:val="bottom"/>
          </w:tcPr>
          <w:p>
            <w:pPr>
              <w:spacing w:after="0"/>
              <w:rPr>
                <w:sz w:val="22"/>
                <w:szCs w:val="22"/>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16,362</w:t>
            </w:r>
          </w:p>
        </w:tc>
        <w:tc>
          <w:tcPr>
            <w:tcW w:w="440" w:type="dxa"/>
            <w:vAlign w:val="bottom"/>
          </w:tcPr>
          <w:p>
            <w:pPr>
              <w:spacing w:after="0"/>
              <w:rPr>
                <w:sz w:val="22"/>
                <w:szCs w:val="22"/>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16,493</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(360,390)</w:t>
            </w:r>
          </w:p>
        </w:tc>
        <w:tc>
          <w:tcPr>
            <w:tcW w:w="14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(15,215)</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increase/(decrease)</w:t>
            </w:r>
          </w:p>
        </w:tc>
        <w:tc>
          <w:tcPr>
            <w:tcW w:w="340" w:type="dxa"/>
            <w:vAlign w:val="bottom"/>
          </w:tcPr>
          <w:p>
            <w:pPr>
              <w:spacing w:after="0"/>
              <w:rPr>
                <w:sz w:val="24"/>
                <w:szCs w:val="24"/>
                <w:color w:val="auto"/>
              </w:rPr>
            </w:pP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27,486</w:t>
            </w:r>
          </w:p>
        </w:tc>
        <w:tc>
          <w:tcPr>
            <w:tcW w:w="440" w:type="dxa"/>
            <w:vAlign w:val="bottom"/>
          </w:tcPr>
          <w:p>
            <w:pPr>
              <w:spacing w:after="0"/>
              <w:rPr>
                <w:sz w:val="24"/>
                <w:szCs w:val="2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374,467</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(311,063)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19,213</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340" w:type="dxa"/>
            <w:vAlign w:val="bottom"/>
          </w:tcPr>
          <w:p>
            <w:pPr>
              <w:spacing w:after="0"/>
              <w:rPr>
                <w:sz w:val="22"/>
                <w:szCs w:val="22"/>
                <w:color w:val="auto"/>
              </w:rPr>
            </w:pPr>
          </w:p>
        </w:tc>
        <w:tc>
          <w:tcPr>
            <w:tcW w:w="13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23,012</w:t>
            </w:r>
          </w:p>
        </w:tc>
        <w:tc>
          <w:tcPr>
            <w:tcW w:w="440" w:type="dxa"/>
            <w:vAlign w:val="bottom"/>
          </w:tcPr>
          <w:p>
            <w:pPr>
              <w:spacing w:after="0"/>
              <w:rPr>
                <w:sz w:val="22"/>
                <w:szCs w:val="22"/>
                <w:color w:val="auto"/>
              </w:rPr>
            </w:pPr>
          </w:p>
        </w:tc>
        <w:tc>
          <w:tcPr>
            <w:tcW w:w="124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805,582</w:t>
            </w:r>
          </w:p>
        </w:tc>
        <w:tc>
          <w:tcPr>
            <w:tcW w:w="380" w:type="dxa"/>
            <w:vAlign w:val="bottom"/>
          </w:tcPr>
          <w:p>
            <w:pPr>
              <w:spacing w:after="0"/>
              <w:rPr>
                <w:sz w:val="22"/>
                <w:szCs w:val="22"/>
                <w:color w:val="auto"/>
              </w:rPr>
            </w:pPr>
          </w:p>
        </w:tc>
        <w:tc>
          <w:tcPr>
            <w:tcW w:w="11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w w:val="95"/>
              </w:rPr>
              <w:t>311,063</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131,895</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End of year</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50,498</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1,180,049</w:t>
            </w:r>
          </w:p>
        </w:tc>
        <w:tc>
          <w:tcPr>
            <w:tcW w:w="3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$ 151,108</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IDS</w:t>
            </w:r>
          </w:p>
        </w:tc>
        <w:tc>
          <w:tcPr>
            <w:tcW w:w="440" w:type="dxa"/>
            <w:vAlign w:val="bottom"/>
          </w:tcPr>
          <w:p>
            <w:pPr>
              <w:spacing w:after="0"/>
              <w:rPr>
                <w:sz w:val="24"/>
                <w:szCs w:val="24"/>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AIM</w:t>
            </w:r>
          </w:p>
        </w:tc>
        <w:tc>
          <w:tcPr>
            <w:tcW w:w="38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AET</w:t>
            </w:r>
          </w:p>
        </w:tc>
        <w:tc>
          <w:tcPr>
            <w:tcW w:w="780" w:type="dxa"/>
            <w:vAlign w:val="bottom"/>
          </w:tcPr>
          <w:p>
            <w:pPr>
              <w:spacing w:after="0"/>
              <w:rPr>
                <w:sz w:val="24"/>
                <w:szCs w:val="2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AET</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Federal</w:t>
            </w:r>
          </w:p>
        </w:tc>
        <w:tc>
          <w:tcPr>
            <w:tcW w:w="16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Constellation</w:t>
            </w:r>
          </w:p>
        </w:tc>
        <w:tc>
          <w:tcPr>
            <w:tcW w:w="38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w w:val="96"/>
              </w:rPr>
              <w:t>Equity Index</w:t>
            </w:r>
          </w:p>
        </w:tc>
        <w:tc>
          <w:tcPr>
            <w:tcW w:w="7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Income</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Courier New" w:cs="Courier New" w:eastAsia="Courier New" w:hAnsi="Courier New"/>
                <w:sz w:val="15"/>
                <w:szCs w:val="15"/>
                <w:color w:val="auto"/>
              </w:rPr>
              <w:t>Income Fund</w:t>
            </w:r>
          </w:p>
        </w:tc>
        <w:tc>
          <w:tcPr>
            <w:tcW w:w="440" w:type="dxa"/>
            <w:vAlign w:val="bottom"/>
          </w:tcPr>
          <w:p>
            <w:pPr>
              <w:spacing w:after="0"/>
              <w:rPr>
                <w:sz w:val="14"/>
                <w:szCs w:val="14"/>
                <w:color w:val="auto"/>
              </w:rPr>
            </w:pP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Fund</w:t>
            </w:r>
          </w:p>
        </w:tc>
        <w:tc>
          <w:tcPr>
            <w:tcW w:w="3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Fund I</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Fund II</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Additions to net assets attributed to:</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Net appreciation/(depreciation) in</w:t>
            </w:r>
          </w:p>
        </w:tc>
        <w:tc>
          <w:tcPr>
            <w:tcW w:w="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(5,624)</w:t>
            </w:r>
          </w:p>
        </w:tc>
        <w:tc>
          <w:tcPr>
            <w:tcW w:w="4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67"/>
              <w:spacing w:after="0"/>
              <w:rPr>
                <w:sz w:val="20"/>
                <w:szCs w:val="20"/>
                <w:color w:val="auto"/>
              </w:rPr>
            </w:pPr>
            <w:r>
              <w:rPr>
                <w:rFonts w:ascii="Courier New" w:cs="Courier New" w:eastAsia="Courier New" w:hAnsi="Courier New"/>
                <w:sz w:val="15"/>
                <w:szCs w:val="15"/>
                <w:color w:val="auto"/>
              </w:rPr>
              <w:t>(373)</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36,669</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93,621</w:t>
            </w:r>
          </w:p>
        </w:tc>
        <w:tc>
          <w:tcPr>
            <w:tcW w:w="0" w:type="dxa"/>
            <w:vAlign w:val="bottom"/>
          </w:tcPr>
          <w:p>
            <w:pPr>
              <w:spacing w:after="0"/>
              <w:rPr>
                <w:sz w:val="1"/>
                <w:szCs w:val="1"/>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fair value of investments</w:t>
            </w:r>
          </w:p>
        </w:tc>
        <w:tc>
          <w:tcPr>
            <w:tcW w:w="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34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Dividends</w:t>
            </w:r>
          </w:p>
        </w:tc>
        <w:tc>
          <w:tcPr>
            <w:tcW w:w="34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104,938</w:t>
            </w:r>
          </w:p>
        </w:tc>
        <w:tc>
          <w:tcPr>
            <w:tcW w:w="4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2,414</w:t>
            </w: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99,314</w:t>
            </w:r>
          </w:p>
        </w:tc>
        <w:tc>
          <w:tcPr>
            <w:tcW w:w="440" w:type="dxa"/>
            <w:vAlign w:val="bottom"/>
          </w:tcPr>
          <w:p>
            <w:pPr>
              <w:spacing w:after="0"/>
              <w:rPr>
                <w:sz w:val="22"/>
                <w:szCs w:val="22"/>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2,041</w:t>
            </w: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36,669</w:t>
            </w:r>
          </w:p>
        </w:tc>
        <w:tc>
          <w:tcPr>
            <w:tcW w:w="7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93,621</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Contributions</w:t>
            </w:r>
          </w:p>
        </w:tc>
        <w:tc>
          <w:tcPr>
            <w:tcW w:w="340" w:type="dxa"/>
            <w:vAlign w:val="bottom"/>
          </w:tcPr>
          <w:p>
            <w:pPr>
              <w:spacing w:after="0"/>
              <w:rPr>
                <w:sz w:val="22"/>
                <w:szCs w:val="22"/>
                <w:color w:val="auto"/>
              </w:rPr>
            </w:pPr>
          </w:p>
        </w:tc>
        <w:tc>
          <w:tcPr>
            <w:tcW w:w="13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128,086</w:t>
            </w:r>
          </w:p>
        </w:tc>
        <w:tc>
          <w:tcPr>
            <w:tcW w:w="440" w:type="dxa"/>
            <w:vAlign w:val="bottom"/>
          </w:tcPr>
          <w:p>
            <w:pPr>
              <w:spacing w:after="0"/>
              <w:rPr>
                <w:sz w:val="22"/>
                <w:szCs w:val="22"/>
                <w:color w:val="auto"/>
              </w:rPr>
            </w:pP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3,465</w:t>
            </w:r>
          </w:p>
        </w:tc>
        <w:tc>
          <w:tcPr>
            <w:tcW w:w="380" w:type="dxa"/>
            <w:vAlign w:val="bottom"/>
          </w:tcPr>
          <w:p>
            <w:pPr>
              <w:spacing w:after="0"/>
              <w:rPr>
                <w:sz w:val="22"/>
                <w:szCs w:val="22"/>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9,724</w:t>
            </w:r>
          </w:p>
        </w:tc>
        <w:tc>
          <w:tcPr>
            <w:tcW w:w="78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151,877</w:t>
            </w: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Participants'</w:t>
            </w:r>
          </w:p>
        </w:tc>
        <w:tc>
          <w:tcPr>
            <w:tcW w:w="3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Employer's</w:t>
            </w:r>
          </w:p>
        </w:tc>
        <w:tc>
          <w:tcPr>
            <w:tcW w:w="340" w:type="dxa"/>
            <w:vAlign w:val="bottom"/>
          </w:tcPr>
          <w:p>
            <w:pPr>
              <w:spacing w:after="0"/>
              <w:rPr>
                <w:sz w:val="14"/>
                <w:szCs w:val="14"/>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52,802</w:t>
            </w:r>
          </w:p>
        </w:tc>
        <w:tc>
          <w:tcPr>
            <w:tcW w:w="440" w:type="dxa"/>
            <w:vAlign w:val="bottom"/>
          </w:tcPr>
          <w:p>
            <w:pPr>
              <w:spacing w:after="0"/>
              <w:rPr>
                <w:sz w:val="14"/>
                <w:szCs w:val="1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762</w:t>
            </w: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2,230</w:t>
            </w:r>
          </w:p>
        </w:tc>
        <w:tc>
          <w:tcPr>
            <w:tcW w:w="7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61,341</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180,888</w:t>
            </w:r>
          </w:p>
        </w:tc>
        <w:tc>
          <w:tcPr>
            <w:tcW w:w="440" w:type="dxa"/>
            <w:vAlign w:val="bottom"/>
          </w:tcPr>
          <w:p>
            <w:pPr>
              <w:spacing w:after="0"/>
              <w:rPr>
                <w:sz w:val="22"/>
                <w:szCs w:val="22"/>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4,227</w:t>
            </w: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11,954</w:t>
            </w:r>
          </w:p>
        </w:tc>
        <w:tc>
          <w:tcPr>
            <w:tcW w:w="7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213,218</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340" w:type="dxa"/>
            <w:vAlign w:val="bottom"/>
          </w:tcPr>
          <w:p>
            <w:pPr>
              <w:spacing w:after="0"/>
              <w:rPr>
                <w:sz w:val="22"/>
                <w:szCs w:val="22"/>
                <w:color w:val="auto"/>
              </w:rPr>
            </w:pP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280,202</w:t>
            </w:r>
          </w:p>
        </w:tc>
        <w:tc>
          <w:tcPr>
            <w:tcW w:w="440" w:type="dxa"/>
            <w:vAlign w:val="bottom"/>
          </w:tcPr>
          <w:p>
            <w:pPr>
              <w:spacing w:after="0"/>
              <w:rPr>
                <w:sz w:val="22"/>
                <w:szCs w:val="22"/>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6,268</w:t>
            </w: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48,623</w:t>
            </w:r>
          </w:p>
        </w:tc>
        <w:tc>
          <w:tcPr>
            <w:tcW w:w="7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306,839</w:t>
            </w:r>
          </w:p>
        </w:tc>
        <w:tc>
          <w:tcPr>
            <w:tcW w:w="0" w:type="dxa"/>
            <w:vAlign w:val="bottom"/>
          </w:tcPr>
          <w:p>
            <w:pPr>
              <w:spacing w:after="0"/>
              <w:rPr>
                <w:sz w:val="1"/>
                <w:szCs w:val="1"/>
                <w:color w:val="auto"/>
              </w:rPr>
            </w:pPr>
          </w:p>
        </w:tc>
      </w:tr>
      <w:tr>
        <w:trPr>
          <w:trHeight w:val="246"/>
        </w:trPr>
        <w:tc>
          <w:tcPr>
            <w:tcW w:w="3960" w:type="dxa"/>
            <w:vAlign w:val="bottom"/>
          </w:tcPr>
          <w:p>
            <w:pPr>
              <w:spacing w:after="0"/>
              <w:rPr>
                <w:sz w:val="21"/>
                <w:szCs w:val="21"/>
                <w:color w:val="auto"/>
              </w:rPr>
            </w:pPr>
          </w:p>
        </w:tc>
        <w:tc>
          <w:tcPr>
            <w:tcW w:w="17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Deductions from net assets attributable to:</w:t>
            </w:r>
          </w:p>
        </w:tc>
        <w:tc>
          <w:tcPr>
            <w:tcW w:w="340" w:type="dxa"/>
            <w:vAlign w:val="bottom"/>
          </w:tcPr>
          <w:p>
            <w:pPr>
              <w:spacing w:after="0"/>
              <w:rPr>
                <w:sz w:val="14"/>
                <w:szCs w:val="14"/>
                <w:color w:val="auto"/>
              </w:rPr>
            </w:pPr>
          </w:p>
        </w:tc>
        <w:tc>
          <w:tcPr>
            <w:tcW w:w="13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80,378</w:t>
            </w:r>
          </w:p>
        </w:tc>
        <w:tc>
          <w:tcPr>
            <w:tcW w:w="440" w:type="dxa"/>
            <w:vAlign w:val="bottom"/>
          </w:tcPr>
          <w:p>
            <w:pPr>
              <w:spacing w:after="0"/>
              <w:rPr>
                <w:sz w:val="14"/>
                <w:szCs w:val="14"/>
                <w:color w:val="auto"/>
              </w:rPr>
            </w:pP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3,592</w:t>
            </w:r>
          </w:p>
        </w:tc>
        <w:tc>
          <w:tcPr>
            <w:tcW w:w="7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134,799</w:t>
            </w:r>
          </w:p>
        </w:tc>
        <w:tc>
          <w:tcPr>
            <w:tcW w:w="0" w:type="dxa"/>
            <w:vAlign w:val="bottom"/>
          </w:tcPr>
          <w:p>
            <w:pPr>
              <w:spacing w:after="0"/>
              <w:rPr>
                <w:sz w:val="1"/>
                <w:szCs w:val="1"/>
                <w:color w:val="auto"/>
              </w:rPr>
            </w:pPr>
          </w:p>
        </w:tc>
      </w:tr>
      <w:tr>
        <w:trPr>
          <w:trHeight w:val="246"/>
        </w:trPr>
        <w:tc>
          <w:tcPr>
            <w:tcW w:w="3960" w:type="dxa"/>
            <w:vAlign w:val="bottom"/>
          </w:tcPr>
          <w:p>
            <w:pPr>
              <w:ind w:left="80"/>
              <w:spacing w:after="0"/>
              <w:rPr>
                <w:sz w:val="20"/>
                <w:szCs w:val="20"/>
                <w:color w:val="auto"/>
              </w:rPr>
            </w:pPr>
            <w:r>
              <w:rPr>
                <w:rFonts w:ascii="Courier New" w:cs="Courier New" w:eastAsia="Courier New" w:hAnsi="Courier New"/>
                <w:sz w:val="15"/>
                <w:szCs w:val="15"/>
                <w:color w:val="auto"/>
              </w:rPr>
              <w:t>Benefits paid to participants</w:t>
            </w:r>
          </w:p>
        </w:tc>
        <w:tc>
          <w:tcPr>
            <w:tcW w:w="34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240" w:top="601" w:right="135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w:t>
            </w: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759</w:t>
            </w:r>
          </w:p>
        </w:tc>
        <w:tc>
          <w:tcPr>
            <w:tcW w:w="66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c>
          <w:tcPr>
            <w:tcW w:w="6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803</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81,137</w:t>
            </w:r>
          </w:p>
        </w:tc>
        <w:tc>
          <w:tcPr>
            <w:tcW w:w="66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w:t>
            </w:r>
          </w:p>
        </w:tc>
        <w:tc>
          <w:tcPr>
            <w:tcW w:w="620" w:type="dxa"/>
            <w:vAlign w:val="bottom"/>
          </w:tcPr>
          <w:p>
            <w:pPr>
              <w:spacing w:after="0"/>
              <w:rPr>
                <w:sz w:val="22"/>
                <w:szCs w:val="22"/>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3,630</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135,602</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increase prior to interfund transfers</w:t>
            </w: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199,065</w:t>
            </w:r>
          </w:p>
        </w:tc>
        <w:tc>
          <w:tcPr>
            <w:tcW w:w="660" w:type="dxa"/>
            <w:vAlign w:val="bottom"/>
          </w:tcPr>
          <w:p>
            <w:pPr>
              <w:spacing w:after="0"/>
              <w:rPr>
                <w:sz w:val="24"/>
                <w:szCs w:val="2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6,261</w:t>
            </w:r>
          </w:p>
        </w:tc>
        <w:tc>
          <w:tcPr>
            <w:tcW w:w="6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44,993</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171,237</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Interfund transfers</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(53,757)</w:t>
            </w:r>
          </w:p>
        </w:tc>
        <w:tc>
          <w:tcPr>
            <w:tcW w:w="660" w:type="dxa"/>
            <w:vAlign w:val="bottom"/>
          </w:tcPr>
          <w:p>
            <w:pPr>
              <w:spacing w:after="0"/>
              <w:rPr>
                <w:sz w:val="22"/>
                <w:szCs w:val="22"/>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92,171</w:t>
            </w:r>
          </w:p>
        </w:tc>
        <w:tc>
          <w:tcPr>
            <w:tcW w:w="620" w:type="dxa"/>
            <w:vAlign w:val="bottom"/>
          </w:tcPr>
          <w:p>
            <w:pPr>
              <w:spacing w:after="0"/>
              <w:rPr>
                <w:sz w:val="22"/>
                <w:szCs w:val="22"/>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256,669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(125,603)</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increase/(decrease)</w:t>
            </w: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145,308</w:t>
            </w:r>
          </w:p>
        </w:tc>
        <w:tc>
          <w:tcPr>
            <w:tcW w:w="660" w:type="dxa"/>
            <w:vAlign w:val="bottom"/>
          </w:tcPr>
          <w:p>
            <w:pPr>
              <w:spacing w:after="0"/>
              <w:rPr>
                <w:sz w:val="24"/>
                <w:szCs w:val="2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98,432</w:t>
            </w:r>
          </w:p>
        </w:tc>
        <w:tc>
          <w:tcPr>
            <w:tcW w:w="6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301,662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45,634</w:t>
            </w:r>
          </w:p>
        </w:tc>
        <w:tc>
          <w:tcPr>
            <w:tcW w:w="0" w:type="dxa"/>
            <w:vAlign w:val="bottom"/>
          </w:tcPr>
          <w:p>
            <w:pPr>
              <w:spacing w:after="0"/>
              <w:rPr>
                <w:sz w:val="1"/>
                <w:szCs w:val="1"/>
                <w:color w:val="auto"/>
              </w:rPr>
            </w:pPr>
          </w:p>
        </w:tc>
      </w:tr>
      <w:tr>
        <w:trPr>
          <w:trHeight w:val="262"/>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7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1,426,026</w:t>
            </w:r>
          </w:p>
        </w:tc>
        <w:tc>
          <w:tcPr>
            <w:tcW w:w="660" w:type="dxa"/>
            <w:vAlign w:val="bottom"/>
          </w:tcPr>
          <w:p>
            <w:pPr>
              <w:spacing w:after="0"/>
              <w:rPr>
                <w:sz w:val="22"/>
                <w:szCs w:val="22"/>
                <w:color w:val="auto"/>
              </w:rPr>
            </w:pPr>
          </w:p>
        </w:tc>
        <w:tc>
          <w:tcPr>
            <w:tcW w:w="11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2"/>
                <w:szCs w:val="22"/>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1,551,701</w:t>
            </w:r>
          </w:p>
        </w:tc>
        <w:tc>
          <w:tcPr>
            <w:tcW w:w="0" w:type="dxa"/>
            <w:vAlign w:val="bottom"/>
          </w:tcPr>
          <w:p>
            <w:pPr>
              <w:spacing w:after="0"/>
              <w:rPr>
                <w:sz w:val="1"/>
                <w:szCs w:val="1"/>
                <w:color w:val="auto"/>
              </w:rPr>
            </w:pPr>
          </w:p>
        </w:tc>
      </w:tr>
      <w:tr>
        <w:trPr>
          <w:trHeight w:val="170"/>
        </w:trPr>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17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End of year</w:t>
            </w: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1,571,334</w:t>
            </w: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98,432</w:t>
            </w: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301,662</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$ 1,597,335</w:t>
            </w:r>
          </w:p>
        </w:tc>
        <w:tc>
          <w:tcPr>
            <w:tcW w:w="0" w:type="dxa"/>
            <w:vAlign w:val="bottom"/>
          </w:tcPr>
          <w:p>
            <w:pPr>
              <w:spacing w:after="0"/>
              <w:rPr>
                <w:sz w:val="1"/>
                <w:szCs w:val="1"/>
                <w:color w:val="auto"/>
              </w:rPr>
            </w:pPr>
          </w:p>
        </w:tc>
      </w:tr>
      <w:tr>
        <w:trPr>
          <w:trHeight w:val="246"/>
        </w:trPr>
        <w:tc>
          <w:tcPr>
            <w:tcW w:w="3860" w:type="dxa"/>
            <w:vAlign w:val="bottom"/>
          </w:tcPr>
          <w:p>
            <w:pPr>
              <w:spacing w:after="0"/>
              <w:rPr>
                <w:sz w:val="21"/>
                <w:szCs w:val="21"/>
                <w:color w:val="auto"/>
              </w:rPr>
            </w:pPr>
          </w:p>
        </w:tc>
        <w:tc>
          <w:tcPr>
            <w:tcW w:w="17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accompanying notes are an integral</w:t>
      </w:r>
    </w:p>
    <w:p>
      <w:pPr>
        <w:spacing w:after="0" w:line="2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part of these financial statements.</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400"/>
          </w:cols>
          <w:pgMar w:left="240" w:top="115" w:right="1259" w:bottom="1440" w:gutter="0" w:footer="0" w:header="0"/>
        </w:sectPr>
      </w:pPr>
    </w:p>
    <w:bookmarkStart w:id="6" w:name="page7"/>
    <w:bookmarkEnd w:id="6"/>
    <w:p>
      <w:pPr>
        <w:jc w:val="center"/>
        <w:ind w:right="3800"/>
        <w:spacing w:after="0"/>
        <w:rPr>
          <w:sz w:val="20"/>
          <w:szCs w:val="20"/>
          <w:color w:val="auto"/>
        </w:rPr>
      </w:pPr>
      <w:r>
        <w:rPr>
          <w:rFonts w:ascii="Courier New" w:cs="Courier New" w:eastAsia="Courier New" w:hAnsi="Courier New"/>
          <w:sz w:val="15"/>
          <w:szCs w:val="15"/>
          <w:color w:val="auto"/>
        </w:rPr>
        <w:t>REED HOURLY THRIFT PLAN</w:t>
      </w:r>
    </w:p>
    <w:p>
      <w:pPr>
        <w:spacing w:after="0" w:line="25" w:lineRule="exact"/>
        <w:rPr>
          <w:sz w:val="20"/>
          <w:szCs w:val="20"/>
          <w:color w:val="auto"/>
        </w:rPr>
      </w:pPr>
    </w:p>
    <w:p>
      <w:pPr>
        <w:jc w:val="center"/>
        <w:ind w:right="3800"/>
        <w:spacing w:after="0"/>
        <w:rPr>
          <w:sz w:val="20"/>
          <w:szCs w:val="20"/>
          <w:color w:val="auto"/>
        </w:rPr>
      </w:pPr>
      <w:r>
        <w:rPr>
          <w:rFonts w:ascii="Courier New" w:cs="Courier New" w:eastAsia="Courier New" w:hAnsi="Courier New"/>
          <w:sz w:val="15"/>
          <w:szCs w:val="15"/>
          <w:color w:val="auto"/>
        </w:rPr>
        <w:t>Statement of Changes in Net Assets Available for Benefits</w:t>
      </w:r>
    </w:p>
    <w:p>
      <w:pPr>
        <w:jc w:val="center"/>
        <w:ind w:right="3800"/>
        <w:spacing w:after="0"/>
        <w:rPr>
          <w:sz w:val="20"/>
          <w:szCs w:val="20"/>
          <w:color w:val="auto"/>
        </w:rPr>
      </w:pPr>
      <w:r>
        <w:rPr>
          <w:rFonts w:ascii="Courier New" w:cs="Courier New" w:eastAsia="Courier New" w:hAnsi="Courier New"/>
          <w:sz w:val="15"/>
          <w:szCs w:val="15"/>
          <w:color w:val="auto"/>
        </w:rPr>
        <w:t>with Fund Information</w:t>
      </w:r>
    </w:p>
    <w:tbl>
      <w:tblPr>
        <w:tblLayout w:type="fixed"/>
        <w:tblInd w:w="0" w:type="dxa"/>
        <w:tblCellMar>
          <w:top w:w="0" w:type="dxa"/>
          <w:left w:w="0" w:type="dxa"/>
          <w:bottom w:w="0" w:type="dxa"/>
          <w:right w:w="0" w:type="dxa"/>
        </w:tblCellMar>
      </w:tblPr>
      <w:tr>
        <w:trPr>
          <w:trHeight w:val="246"/>
        </w:trPr>
        <w:tc>
          <w:tcPr>
            <w:tcW w:w="6340" w:type="dxa"/>
            <w:vAlign w:val="bottom"/>
            <w:gridSpan w:val="3"/>
          </w:tcPr>
          <w:p>
            <w:pPr>
              <w:jc w:val="right"/>
              <w:ind w:right="1167"/>
              <w:spacing w:after="0"/>
              <w:rPr>
                <w:sz w:val="20"/>
                <w:szCs w:val="20"/>
                <w:color w:val="auto"/>
              </w:rPr>
            </w:pPr>
            <w:r>
              <w:rPr>
                <w:rFonts w:ascii="Courier New" w:cs="Courier New" w:eastAsia="Courier New" w:hAnsi="Courier New"/>
                <w:sz w:val="15"/>
                <w:szCs w:val="15"/>
                <w:color w:val="auto"/>
              </w:rPr>
              <w:t>For the Year Ended December 31, 1998</w:t>
            </w:r>
          </w:p>
        </w:tc>
        <w:tc>
          <w:tcPr>
            <w:tcW w:w="6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5"/>
        </w:trPr>
        <w:tc>
          <w:tcPr>
            <w:tcW w:w="4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8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9"/>
              </w:rPr>
              <w:t>Camco/</w:t>
            </w:r>
          </w:p>
        </w:tc>
        <w:tc>
          <w:tcPr>
            <w:tcW w:w="620" w:type="dxa"/>
            <w:vAlign w:val="bottom"/>
          </w:tcPr>
          <w:p>
            <w:pPr>
              <w:spacing w:after="0"/>
              <w:rPr>
                <w:sz w:val="24"/>
                <w:szCs w:val="24"/>
                <w:color w:val="auto"/>
              </w:rPr>
            </w:pPr>
          </w:p>
        </w:tc>
        <w:tc>
          <w:tcPr>
            <w:tcW w:w="176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Participant</w:t>
            </w: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8"/>
              </w:rPr>
              <w:t>Schlumberger</w:t>
            </w:r>
          </w:p>
        </w:tc>
        <w:tc>
          <w:tcPr>
            <w:tcW w:w="6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center"/>
              <w:ind w:right="527"/>
              <w:spacing w:after="0"/>
              <w:rPr>
                <w:sz w:val="20"/>
                <w:szCs w:val="20"/>
                <w:color w:val="auto"/>
              </w:rPr>
            </w:pPr>
            <w:r>
              <w:rPr>
                <w:rFonts w:ascii="Courier New" w:cs="Courier New" w:eastAsia="Courier New" w:hAnsi="Courier New"/>
                <w:sz w:val="15"/>
                <w:szCs w:val="15"/>
                <w:color w:val="auto"/>
                <w:w w:val="97"/>
              </w:rPr>
              <w:t>Stock Fund</w:t>
            </w:r>
          </w:p>
        </w:tc>
        <w:tc>
          <w:tcPr>
            <w:tcW w:w="620" w:type="dxa"/>
            <w:vAlign w:val="bottom"/>
          </w:tcPr>
          <w:p>
            <w:pPr>
              <w:spacing w:after="0"/>
              <w:rPr>
                <w:sz w:val="14"/>
                <w:szCs w:val="14"/>
                <w:color w:val="auto"/>
              </w:rPr>
            </w:pP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Notes</w:t>
            </w:r>
          </w:p>
        </w:tc>
        <w:tc>
          <w:tcPr>
            <w:tcW w:w="7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6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Additions to net assets attributed to:</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Investment income</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Net appreciation/(depreciation) in</w:t>
            </w:r>
          </w:p>
        </w:tc>
        <w:tc>
          <w:tcPr>
            <w:tcW w:w="6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(6,035)</w:t>
            </w: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286,408</w:t>
            </w:r>
          </w:p>
        </w:tc>
        <w:tc>
          <w:tcPr>
            <w:tcW w:w="0" w:type="dxa"/>
            <w:vAlign w:val="bottom"/>
          </w:tcPr>
          <w:p>
            <w:pPr>
              <w:spacing w:after="0"/>
              <w:rPr>
                <w:sz w:val="1"/>
                <w:szCs w:val="1"/>
                <w:color w:val="auto"/>
              </w:rPr>
            </w:pPr>
          </w:p>
        </w:tc>
      </w:tr>
      <w:tr>
        <w:trPr>
          <w:trHeight w:val="170"/>
        </w:trPr>
        <w:tc>
          <w:tcPr>
            <w:tcW w:w="4000" w:type="dxa"/>
            <w:vAlign w:val="bottom"/>
          </w:tcPr>
          <w:p>
            <w:pPr>
              <w:ind w:left="260"/>
              <w:spacing w:after="0"/>
              <w:rPr>
                <w:sz w:val="20"/>
                <w:szCs w:val="20"/>
                <w:color w:val="auto"/>
              </w:rPr>
            </w:pPr>
            <w:r>
              <w:rPr>
                <w:rFonts w:ascii="Courier New" w:cs="Courier New" w:eastAsia="Courier New" w:hAnsi="Courier New"/>
                <w:sz w:val="15"/>
                <w:szCs w:val="15"/>
                <w:color w:val="auto"/>
              </w:rPr>
              <w:t>fair value of investments</w:t>
            </w:r>
          </w:p>
        </w:tc>
        <w:tc>
          <w:tcPr>
            <w:tcW w:w="6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66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37,351</w:t>
            </w:r>
          </w:p>
        </w:tc>
        <w:tc>
          <w:tcPr>
            <w:tcW w:w="7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37,351</w:t>
            </w:r>
          </w:p>
        </w:tc>
        <w:tc>
          <w:tcPr>
            <w:tcW w:w="0" w:type="dxa"/>
            <w:vAlign w:val="bottom"/>
          </w:tcPr>
          <w:p>
            <w:pPr>
              <w:spacing w:after="0"/>
              <w:rPr>
                <w:sz w:val="1"/>
                <w:szCs w:val="1"/>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Dividends</w:t>
            </w:r>
          </w:p>
        </w:tc>
        <w:tc>
          <w:tcPr>
            <w:tcW w:w="66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149</w:t>
            </w:r>
          </w:p>
        </w:tc>
        <w:tc>
          <w:tcPr>
            <w:tcW w:w="620" w:type="dxa"/>
            <w:vAlign w:val="bottom"/>
          </w:tcPr>
          <w:p>
            <w:pPr>
              <w:spacing w:after="0"/>
              <w:rPr>
                <w:sz w:val="14"/>
                <w:szCs w:val="14"/>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198,785</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(5,886)</w:t>
            </w:r>
          </w:p>
        </w:tc>
        <w:tc>
          <w:tcPr>
            <w:tcW w:w="620" w:type="dxa"/>
            <w:vAlign w:val="bottom"/>
          </w:tcPr>
          <w:p>
            <w:pPr>
              <w:spacing w:after="0"/>
              <w:rPr>
                <w:sz w:val="22"/>
                <w:szCs w:val="22"/>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37,351</w:t>
            </w:r>
          </w:p>
        </w:tc>
        <w:tc>
          <w:tcPr>
            <w:tcW w:w="7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522,544</w:t>
            </w:r>
          </w:p>
        </w:tc>
        <w:tc>
          <w:tcPr>
            <w:tcW w:w="0" w:type="dxa"/>
            <w:vAlign w:val="bottom"/>
          </w:tcPr>
          <w:p>
            <w:pPr>
              <w:spacing w:after="0"/>
              <w:rPr>
                <w:sz w:val="1"/>
                <w:szCs w:val="1"/>
                <w:color w:val="auto"/>
              </w:rPr>
            </w:pPr>
          </w:p>
        </w:tc>
      </w:tr>
      <w:tr>
        <w:trPr>
          <w:trHeight w:val="246"/>
        </w:trPr>
        <w:tc>
          <w:tcPr>
            <w:tcW w:w="40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Contributions</w:t>
            </w: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6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4,791</w:t>
            </w:r>
          </w:p>
        </w:tc>
        <w:tc>
          <w:tcPr>
            <w:tcW w:w="620" w:type="dxa"/>
            <w:vAlign w:val="bottom"/>
          </w:tcPr>
          <w:p>
            <w:pPr>
              <w:spacing w:after="0"/>
              <w:rPr>
                <w:sz w:val="8"/>
                <w:szCs w:val="8"/>
                <w:color w:val="auto"/>
              </w:rPr>
            </w:pPr>
          </w:p>
        </w:tc>
        <w:tc>
          <w:tcPr>
            <w:tcW w:w="17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8"/>
                <w:szCs w:val="8"/>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470,545</w:t>
            </w:r>
          </w:p>
        </w:tc>
        <w:tc>
          <w:tcPr>
            <w:tcW w:w="0" w:type="dxa"/>
            <w:vAlign w:val="bottom"/>
          </w:tcPr>
          <w:p>
            <w:pPr>
              <w:spacing w:after="0"/>
              <w:rPr>
                <w:sz w:val="1"/>
                <w:szCs w:val="1"/>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Participants'</w:t>
            </w:r>
          </w:p>
        </w:tc>
        <w:tc>
          <w:tcPr>
            <w:tcW w:w="6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160"/>
              <w:spacing w:after="0"/>
              <w:rPr>
                <w:sz w:val="20"/>
                <w:szCs w:val="20"/>
                <w:color w:val="auto"/>
              </w:rPr>
            </w:pPr>
            <w:r>
              <w:rPr>
                <w:rFonts w:ascii="Courier New" w:cs="Courier New" w:eastAsia="Courier New" w:hAnsi="Courier New"/>
                <w:sz w:val="15"/>
                <w:szCs w:val="15"/>
                <w:color w:val="auto"/>
              </w:rPr>
              <w:t>Employer's</w:t>
            </w:r>
          </w:p>
        </w:tc>
        <w:tc>
          <w:tcPr>
            <w:tcW w:w="66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1,838</w:t>
            </w:r>
          </w:p>
        </w:tc>
        <w:tc>
          <w:tcPr>
            <w:tcW w:w="620" w:type="dxa"/>
            <w:vAlign w:val="bottom"/>
          </w:tcPr>
          <w:p>
            <w:pPr>
              <w:spacing w:after="0"/>
              <w:rPr>
                <w:sz w:val="14"/>
                <w:szCs w:val="14"/>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181,684</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6,629</w:t>
            </w:r>
          </w:p>
        </w:tc>
        <w:tc>
          <w:tcPr>
            <w:tcW w:w="620" w:type="dxa"/>
            <w:vAlign w:val="bottom"/>
          </w:tcPr>
          <w:p>
            <w:pPr>
              <w:spacing w:after="0"/>
              <w:rPr>
                <w:sz w:val="22"/>
                <w:szCs w:val="22"/>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652,229</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ind w:left="440"/>
              <w:spacing w:after="0"/>
              <w:rPr>
                <w:sz w:val="20"/>
                <w:szCs w:val="20"/>
                <w:color w:val="auto"/>
              </w:rPr>
            </w:pPr>
            <w:r>
              <w:rPr>
                <w:rFonts w:ascii="Courier New" w:cs="Courier New" w:eastAsia="Courier New" w:hAnsi="Courier New"/>
                <w:sz w:val="15"/>
                <w:szCs w:val="15"/>
                <w:color w:val="auto"/>
              </w:rPr>
              <w:t>Total additions</w:t>
            </w:r>
          </w:p>
        </w:tc>
        <w:tc>
          <w:tcPr>
            <w:tcW w:w="660" w:type="dxa"/>
            <w:vAlign w:val="bottom"/>
          </w:tcPr>
          <w:p>
            <w:pPr>
              <w:spacing w:after="0"/>
              <w:rPr>
                <w:sz w:val="22"/>
                <w:szCs w:val="22"/>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743</w:t>
            </w:r>
          </w:p>
        </w:tc>
        <w:tc>
          <w:tcPr>
            <w:tcW w:w="620" w:type="dxa"/>
            <w:vAlign w:val="bottom"/>
          </w:tcPr>
          <w:p>
            <w:pPr>
              <w:spacing w:after="0"/>
              <w:rPr>
                <w:sz w:val="22"/>
                <w:szCs w:val="22"/>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37,351</w:t>
            </w:r>
          </w:p>
        </w:tc>
        <w:tc>
          <w:tcPr>
            <w:tcW w:w="7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1,174,773</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Deductions</w:t>
            </w:r>
          </w:p>
        </w:tc>
        <w:tc>
          <w:tcPr>
            <w:tcW w:w="6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Deductions from net assets attributable to:</w:t>
            </w:r>
          </w:p>
        </w:tc>
        <w:tc>
          <w:tcPr>
            <w:tcW w:w="660" w:type="dxa"/>
            <w:vAlign w:val="bottom"/>
          </w:tcPr>
          <w:p>
            <w:pPr>
              <w:spacing w:after="0"/>
              <w:rPr>
                <w:sz w:val="14"/>
                <w:szCs w:val="14"/>
                <w:color w:val="auto"/>
              </w:rPr>
            </w:pPr>
          </w:p>
        </w:tc>
        <w:tc>
          <w:tcPr>
            <w:tcW w:w="16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rPr>
                <w:sz w:val="14"/>
                <w:szCs w:val="14"/>
                <w:color w:val="auto"/>
              </w:rPr>
            </w:pPr>
          </w:p>
        </w:tc>
        <w:tc>
          <w:tcPr>
            <w:tcW w:w="17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26,301</w:t>
            </w:r>
          </w:p>
        </w:tc>
        <w:tc>
          <w:tcPr>
            <w:tcW w:w="7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286,420</w:t>
            </w: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Benefits paid to participants</w:t>
            </w:r>
          </w:p>
        </w:tc>
        <w:tc>
          <w:tcPr>
            <w:tcW w:w="6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Administrative expenses</w:t>
            </w:r>
          </w:p>
        </w:tc>
        <w:tc>
          <w:tcPr>
            <w:tcW w:w="660" w:type="dxa"/>
            <w:vAlign w:val="bottom"/>
          </w:tcPr>
          <w:p>
            <w:pPr>
              <w:spacing w:after="0"/>
              <w:rPr>
                <w:sz w:val="14"/>
                <w:szCs w:val="1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620" w:type="dxa"/>
            <w:vAlign w:val="bottom"/>
          </w:tcPr>
          <w:p>
            <w:pPr>
              <w:spacing w:after="0"/>
              <w:rPr>
                <w:sz w:val="14"/>
                <w:szCs w:val="14"/>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2,172</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ind w:left="440"/>
              <w:spacing w:after="0"/>
              <w:rPr>
                <w:sz w:val="20"/>
                <w:szCs w:val="20"/>
                <w:color w:val="auto"/>
              </w:rPr>
            </w:pPr>
            <w:r>
              <w:rPr>
                <w:rFonts w:ascii="Courier New" w:cs="Courier New" w:eastAsia="Courier New" w:hAnsi="Courier New"/>
                <w:sz w:val="15"/>
                <w:szCs w:val="15"/>
                <w:color w:val="auto"/>
              </w:rPr>
              <w:t>Total deductions</w:t>
            </w:r>
          </w:p>
        </w:tc>
        <w:tc>
          <w:tcPr>
            <w:tcW w:w="660" w:type="dxa"/>
            <w:vAlign w:val="bottom"/>
          </w:tcPr>
          <w:p>
            <w:pPr>
              <w:spacing w:after="0"/>
              <w:rPr>
                <w:sz w:val="22"/>
                <w:szCs w:val="22"/>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w:t>
            </w:r>
          </w:p>
        </w:tc>
        <w:tc>
          <w:tcPr>
            <w:tcW w:w="620" w:type="dxa"/>
            <w:vAlign w:val="bottom"/>
          </w:tcPr>
          <w:p>
            <w:pPr>
              <w:spacing w:after="0"/>
              <w:rPr>
                <w:sz w:val="22"/>
                <w:szCs w:val="22"/>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26,301</w:t>
            </w:r>
          </w:p>
        </w:tc>
        <w:tc>
          <w:tcPr>
            <w:tcW w:w="7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288,592</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increase prior to interfund transfers</w:t>
            </w:r>
          </w:p>
        </w:tc>
        <w:tc>
          <w:tcPr>
            <w:tcW w:w="660" w:type="dxa"/>
            <w:vAlign w:val="bottom"/>
          </w:tcPr>
          <w:p>
            <w:pPr>
              <w:spacing w:after="0"/>
              <w:rPr>
                <w:sz w:val="24"/>
                <w:szCs w:val="2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722</w:t>
            </w:r>
          </w:p>
        </w:tc>
        <w:tc>
          <w:tcPr>
            <w:tcW w:w="620" w:type="dxa"/>
            <w:vAlign w:val="bottom"/>
          </w:tcPr>
          <w:p>
            <w:pPr>
              <w:spacing w:after="0"/>
              <w:rPr>
                <w:sz w:val="24"/>
                <w:szCs w:val="24"/>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11,050</w:t>
            </w:r>
          </w:p>
        </w:tc>
        <w:tc>
          <w:tcPr>
            <w:tcW w:w="7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886,181</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Interfund transfers</w:t>
            </w:r>
          </w:p>
        </w:tc>
        <w:tc>
          <w:tcPr>
            <w:tcW w:w="660" w:type="dxa"/>
            <w:vAlign w:val="bottom"/>
          </w:tcPr>
          <w:p>
            <w:pPr>
              <w:spacing w:after="0"/>
              <w:rPr>
                <w:sz w:val="22"/>
                <w:szCs w:val="22"/>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20,933</w:t>
            </w:r>
          </w:p>
        </w:tc>
        <w:tc>
          <w:tcPr>
            <w:tcW w:w="620" w:type="dxa"/>
            <w:vAlign w:val="bottom"/>
          </w:tcPr>
          <w:p>
            <w:pPr>
              <w:spacing w:after="0"/>
              <w:rPr>
                <w:sz w:val="22"/>
                <w:szCs w:val="22"/>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152,337</w:t>
            </w:r>
          </w:p>
        </w:tc>
        <w:tc>
          <w:tcPr>
            <w:tcW w:w="7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increase/(decrease)</w:t>
            </w:r>
          </w:p>
        </w:tc>
        <w:tc>
          <w:tcPr>
            <w:tcW w:w="660" w:type="dxa"/>
            <w:vAlign w:val="bottom"/>
          </w:tcPr>
          <w:p>
            <w:pPr>
              <w:spacing w:after="0"/>
              <w:rPr>
                <w:sz w:val="24"/>
                <w:szCs w:val="24"/>
                <w:color w:val="auto"/>
              </w:rPr>
            </w:pP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21,655</w:t>
            </w:r>
          </w:p>
        </w:tc>
        <w:tc>
          <w:tcPr>
            <w:tcW w:w="620" w:type="dxa"/>
            <w:vAlign w:val="bottom"/>
          </w:tcPr>
          <w:p>
            <w:pPr>
              <w:spacing w:after="0"/>
              <w:rPr>
                <w:sz w:val="24"/>
                <w:szCs w:val="24"/>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163,387</w:t>
            </w:r>
          </w:p>
        </w:tc>
        <w:tc>
          <w:tcPr>
            <w:tcW w:w="7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886,181</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660" w:type="dxa"/>
            <w:vAlign w:val="bottom"/>
          </w:tcPr>
          <w:p>
            <w:pPr>
              <w:spacing w:after="0"/>
              <w:rPr>
                <w:sz w:val="22"/>
                <w:szCs w:val="22"/>
                <w:color w:val="auto"/>
              </w:rPr>
            </w:pPr>
          </w:p>
        </w:tc>
        <w:tc>
          <w:tcPr>
            <w:tcW w:w="16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13,758</w:t>
            </w:r>
          </w:p>
        </w:tc>
        <w:tc>
          <w:tcPr>
            <w:tcW w:w="620" w:type="dxa"/>
            <w:vAlign w:val="bottom"/>
          </w:tcPr>
          <w:p>
            <w:pPr>
              <w:spacing w:after="0"/>
              <w:rPr>
                <w:sz w:val="22"/>
                <w:szCs w:val="22"/>
                <w:color w:val="auto"/>
              </w:rPr>
            </w:pPr>
          </w:p>
        </w:tc>
        <w:tc>
          <w:tcPr>
            <w:tcW w:w="17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372,997</w:t>
            </w:r>
          </w:p>
        </w:tc>
        <w:tc>
          <w:tcPr>
            <w:tcW w:w="740" w:type="dxa"/>
            <w:vAlign w:val="bottom"/>
          </w:tcPr>
          <w:p>
            <w:pPr>
              <w:spacing w:after="0"/>
              <w:rPr>
                <w:sz w:val="22"/>
                <w:szCs w:val="22"/>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4,636,034</w:t>
            </w:r>
          </w:p>
        </w:tc>
        <w:tc>
          <w:tcPr>
            <w:tcW w:w="0" w:type="dxa"/>
            <w:vAlign w:val="bottom"/>
          </w:tcPr>
          <w:p>
            <w:pPr>
              <w:spacing w:after="0"/>
              <w:rPr>
                <w:sz w:val="1"/>
                <w:szCs w:val="1"/>
                <w:color w:val="auto"/>
              </w:rPr>
            </w:pPr>
          </w:p>
        </w:tc>
      </w:tr>
      <w:tr>
        <w:trPr>
          <w:trHeight w:val="170"/>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Beginning of year</w:t>
            </w:r>
          </w:p>
        </w:tc>
        <w:tc>
          <w:tcPr>
            <w:tcW w:w="66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4000" w:type="dxa"/>
            <w:vAlign w:val="bottom"/>
          </w:tcPr>
          <w:p>
            <w:pPr>
              <w:ind w:left="80"/>
              <w:spacing w:after="0"/>
              <w:rPr>
                <w:sz w:val="20"/>
                <w:szCs w:val="20"/>
                <w:color w:val="auto"/>
              </w:rPr>
            </w:pPr>
            <w:r>
              <w:rPr>
                <w:rFonts w:ascii="Courier New" w:cs="Courier New" w:eastAsia="Courier New" w:hAnsi="Courier New"/>
                <w:sz w:val="15"/>
                <w:szCs w:val="15"/>
                <w:color w:val="auto"/>
              </w:rPr>
              <w:t>End of year</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35,413</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536,384</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5,522,215</w:t>
            </w:r>
          </w:p>
        </w:tc>
        <w:tc>
          <w:tcPr>
            <w:tcW w:w="0" w:type="dxa"/>
            <w:vAlign w:val="bottom"/>
          </w:tcPr>
          <w:p>
            <w:pPr>
              <w:spacing w:after="0"/>
              <w:rPr>
                <w:sz w:val="1"/>
                <w:szCs w:val="1"/>
                <w:color w:val="auto"/>
              </w:rPr>
            </w:pPr>
          </w:p>
        </w:tc>
      </w:tr>
      <w:tr>
        <w:trPr>
          <w:trHeight w:val="246"/>
        </w:trPr>
        <w:tc>
          <w:tcPr>
            <w:tcW w:w="4000" w:type="dxa"/>
            <w:vAlign w:val="bottom"/>
          </w:tcPr>
          <w:p>
            <w:pPr>
              <w:spacing w:after="0"/>
              <w:rPr>
                <w:sz w:val="21"/>
                <w:szCs w:val="21"/>
                <w:color w:val="auto"/>
              </w:rPr>
            </w:pPr>
          </w:p>
        </w:tc>
        <w:tc>
          <w:tcPr>
            <w:tcW w:w="2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The accompanying notes are an integral</w:t>
      </w:r>
    </w:p>
    <w:p>
      <w:pPr>
        <w:spacing w:after="0" w:line="2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part of these financial statements.</w:t>
      </w:r>
    </w:p>
    <w:p>
      <w:pPr>
        <w:spacing w:after="0" w:line="14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740"/>
          </w:cols>
          <w:pgMar w:left="240" w:top="601" w:right="919" w:bottom="1440" w:gutter="0" w:footer="0" w:header="0"/>
        </w:sectPr>
      </w:pPr>
    </w:p>
    <w:bookmarkStart w:id="7" w:name="page8"/>
    <w:bookmarkEnd w:id="7"/>
    <w:p>
      <w:pPr>
        <w:jc w:val="center"/>
        <w:ind w:right="3259"/>
        <w:spacing w:after="0"/>
        <w:rPr>
          <w:sz w:val="20"/>
          <w:szCs w:val="20"/>
          <w:color w:val="auto"/>
        </w:rPr>
      </w:pPr>
      <w:r>
        <w:rPr>
          <w:rFonts w:ascii="Courier New" w:cs="Courier New" w:eastAsia="Courier New" w:hAnsi="Courier New"/>
          <w:sz w:val="15"/>
          <w:szCs w:val="15"/>
          <w:color w:val="auto"/>
        </w:rPr>
        <w:t>REED HOURLY THRIFT PLAN</w:t>
      </w:r>
    </w:p>
    <w:p>
      <w:pPr>
        <w:spacing w:after="0" w:line="2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Notes to Financial Statements</w:t>
      </w:r>
    </w:p>
    <w:p>
      <w:pPr>
        <w:jc w:val="center"/>
        <w:ind w:right="3259"/>
        <w:spacing w:after="0"/>
        <w:rPr>
          <w:sz w:val="20"/>
          <w:szCs w:val="20"/>
          <w:color w:val="auto"/>
        </w:rPr>
      </w:pPr>
      <w:r>
        <w:rPr>
          <w:rFonts w:ascii="Courier New" w:cs="Courier New" w:eastAsia="Courier New" w:hAnsi="Courier New"/>
          <w:sz w:val="15"/>
          <w:szCs w:val="15"/>
          <w:color w:val="auto"/>
        </w:rPr>
        <w:t>December 31, 1998</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Description of the Plan</w:t>
      </w:r>
    </w:p>
    <w:p>
      <w:pPr>
        <w:spacing w:after="0" w:line="169" w:lineRule="exact"/>
        <w:rPr>
          <w:sz w:val="20"/>
          <w:szCs w:val="20"/>
          <w:color w:val="auto"/>
        </w:rPr>
      </w:pPr>
    </w:p>
    <w:p>
      <w:pPr>
        <w:ind w:right="3539"/>
        <w:spacing w:after="0" w:line="261" w:lineRule="auto"/>
        <w:rPr>
          <w:sz w:val="20"/>
          <w:szCs w:val="20"/>
          <w:color w:val="auto"/>
        </w:rPr>
      </w:pPr>
      <w:r>
        <w:rPr>
          <w:rFonts w:ascii="Courier New" w:cs="Courier New" w:eastAsia="Courier New" w:hAnsi="Courier New"/>
          <w:sz w:val="15"/>
          <w:szCs w:val="15"/>
          <w:color w:val="auto"/>
        </w:rPr>
        <w:t>The Reed Hourly Thrift Plan (the "Plan"), a defined contribution plan, was established on January 1, 1991. It covers substantially all bargaining unit employees of the Reed Tool Company Division of Camco International Inc. (the "Company"). The following description of the Plan and Plan Amendments is provided for general purposes only. Participants should refer to the Plan Document, as amended, for more complete information.</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69"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Administration of the Plan is conducted by a committee consisting of no less than three members appointed by the board of directors of the Company. The board of directors has appointed two officers of the Company as Trustees for the Plan. American Express Trust Company ("American Express") is asset custodian and record keeper for the Plan.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and Vesting</w:t>
      </w:r>
    </w:p>
    <w:p>
      <w:pPr>
        <w:spacing w:after="0" w:line="169" w:lineRule="exact"/>
        <w:rPr>
          <w:sz w:val="20"/>
          <w:szCs w:val="20"/>
          <w:color w:val="auto"/>
        </w:rPr>
      </w:pPr>
    </w:p>
    <w:p>
      <w:pPr>
        <w:ind w:right="3259"/>
        <w:spacing w:after="0" w:line="283" w:lineRule="auto"/>
        <w:rPr>
          <w:sz w:val="20"/>
          <w:szCs w:val="20"/>
          <w:color w:val="auto"/>
        </w:rPr>
      </w:pPr>
      <w:r>
        <w:rPr>
          <w:rFonts w:ascii="Courier New" w:cs="Courier New" w:eastAsia="Courier New" w:hAnsi="Courier New"/>
          <w:sz w:val="14"/>
          <w:szCs w:val="14"/>
          <w:color w:val="auto"/>
        </w:rPr>
        <w:t>Employees are eligible to participate in the Plan after completing one hour of service. Participants are fully vested in their contributions and the related earnings/losses. Participants vest in Company matching contributions and related earnings/losses at 20% per year, becoming fully vested after five years of service. In the event the Plan is partially or completely terminated, all participants will become 100% vested in their account balances.</w:t>
      </w:r>
    </w:p>
    <w:p>
      <w:pPr>
        <w:spacing w:after="0" w:line="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Contributions</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Participants may elect to defer from 1% to 15% of their compensation on a pre-tax basis, subject to maximum annual contributions of $10,000 ($9,500 in 1997), and have the Company contribute to the Plan on their behalf the amount so deferred. After-tax contributions of up to 10% of compensation are also permitted. The Company makes matching contributions of 50% of participants' pre-tax contributions up to a maximum contribution amount of $1,500 per year.</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69"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accounts of participants are charged fees of $2.50 per quarter, which are applied to the cost of administering the Plan. Transaction fees are also charged for participant loans, withdrawals and distributions. For the years ending December 31, 1998 and 1997, the Company elected to pay all administrative expenses in excess of these fees.</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0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Withdrawals</w:t>
      </w:r>
    </w:p>
    <w:p>
      <w:pPr>
        <w:spacing w:after="0" w:line="169" w:lineRule="exact"/>
        <w:rPr>
          <w:sz w:val="20"/>
          <w:szCs w:val="20"/>
          <w:color w:val="auto"/>
        </w:rPr>
      </w:pPr>
    </w:p>
    <w:p>
      <w:pPr>
        <w:ind w:right="3359"/>
        <w:spacing w:after="0" w:line="252" w:lineRule="auto"/>
        <w:rPr>
          <w:sz w:val="20"/>
          <w:szCs w:val="20"/>
          <w:color w:val="auto"/>
        </w:rPr>
      </w:pPr>
      <w:r>
        <w:rPr>
          <w:rFonts w:ascii="Courier New" w:cs="Courier New" w:eastAsia="Courier New" w:hAnsi="Courier New"/>
          <w:sz w:val="15"/>
          <w:szCs w:val="15"/>
          <w:color w:val="auto"/>
        </w:rPr>
        <w:t>All after-tax contributions may be withdrawn by participants by making written application to the Plan's record keeper. Company matching contributions, pre-tax contributions and rollover contributions may be withdrawn after the participant has attained age 59-1/2 or if the participant suffers an immediate and heavy financial hardship that cannot be satisfied from other reasonably available resources. Additionally, Company matching contributions may be withdrawn only if they have been credited to a participant's account for more than two years. No more than one withdrawal may be made during any calendar quarter.</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w:t>
      </w:r>
    </w:p>
    <w:p>
      <w:pPr>
        <w:spacing w:after="0" w:line="169" w:lineRule="exact"/>
        <w:rPr>
          <w:sz w:val="20"/>
          <w:szCs w:val="20"/>
          <w:color w:val="auto"/>
        </w:rPr>
      </w:pPr>
    </w:p>
    <w:p>
      <w:pPr>
        <w:ind w:right="3259"/>
        <w:spacing w:after="0" w:line="289" w:lineRule="auto"/>
        <w:rPr>
          <w:sz w:val="20"/>
          <w:szCs w:val="20"/>
          <w:color w:val="auto"/>
        </w:rPr>
      </w:pPr>
      <w:r>
        <w:rPr>
          <w:rFonts w:ascii="Courier New" w:cs="Courier New" w:eastAsia="Courier New" w:hAnsi="Courier New"/>
          <w:sz w:val="14"/>
          <w:szCs w:val="14"/>
          <w:color w:val="auto"/>
        </w:rPr>
        <w:t>Participants may borrow a portion of their account balance to relieve a financial hardship or for any other suitable purpose. Loan amounts are limited in accordance with a formula based on 50% of the present value of a participant's vested account balance, not to exceed $50,000. Loans must be repaid within five years and are secured by the participant's account balance.</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Forfeitures</w:t>
      </w:r>
    </w:p>
    <w:p>
      <w:pPr>
        <w:spacing w:after="0" w:line="169" w:lineRule="exact"/>
        <w:rPr>
          <w:sz w:val="20"/>
          <w:szCs w:val="20"/>
          <w:color w:val="auto"/>
        </w:rPr>
      </w:pPr>
    </w:p>
    <w:p>
      <w:pPr>
        <w:ind w:right="3259"/>
        <w:spacing w:after="0" w:line="266" w:lineRule="auto"/>
        <w:rPr>
          <w:sz w:val="20"/>
          <w:szCs w:val="20"/>
          <w:color w:val="auto"/>
        </w:rPr>
      </w:pPr>
      <w:r>
        <w:rPr>
          <w:rFonts w:ascii="Courier New" w:cs="Courier New" w:eastAsia="Courier New" w:hAnsi="Courier New"/>
          <w:sz w:val="15"/>
          <w:szCs w:val="15"/>
          <w:color w:val="auto"/>
        </w:rPr>
        <w:t>Participants who terminate employment forfeit the non-vested portion of their account. Forfeited amounts will be restored for former participants who resume employment if they repay, within five years, the full amount of termination distribution they received. Amounts forfeited are used first to restore accounts, as above, and then to reduce Company contributions.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Corporate Structure and Continuation of Plan</w:t>
      </w:r>
    </w:p>
    <w:p>
      <w:pPr>
        <w:spacing w:after="0" w:line="169"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5"/>
          <w:szCs w:val="15"/>
          <w:color w:val="auto"/>
        </w:rPr>
        <w:t>On August 31, 1998, the Company merged into Schlumberger Technology Corporation ("STC"), a wholly owned subsidiary of Schlumberger Limited ("Schlumberger"). Schlumberger maintains defined contribution plans similar to the Plan and expects to merge the Plan into a Schlumberger plan before the end of 2001. Nevertheless, the Company has reserved the right to terminate the Plan at any time by resolution of the board of directors.</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Summary of Significant Accounting Policies</w:t>
      </w:r>
    </w:p>
    <w:p>
      <w:pPr>
        <w:spacing w:after="0" w:line="169" w:lineRule="exact"/>
        <w:rPr>
          <w:sz w:val="20"/>
          <w:szCs w:val="20"/>
          <w:color w:val="auto"/>
        </w:rPr>
      </w:pPr>
    </w:p>
    <w:p>
      <w:pPr>
        <w:ind w:right="3179"/>
        <w:spacing w:after="0" w:line="275" w:lineRule="auto"/>
        <w:rPr>
          <w:sz w:val="20"/>
          <w:szCs w:val="20"/>
          <w:color w:val="auto"/>
        </w:rPr>
      </w:pPr>
      <w:r>
        <w:rPr>
          <w:rFonts w:ascii="Courier New" w:cs="Courier New" w:eastAsia="Courier New" w:hAnsi="Courier New"/>
          <w:sz w:val="15"/>
          <w:szCs w:val="15"/>
          <w:color w:val="auto"/>
        </w:rPr>
        <w:t>The financial statements of the Plan are presented on the accrual basis of accounting in compliance with generally accepted accounting principles. Certain reclassifications have been made to prior year balances to conform to current year financial statement presentation.</w:t>
      </w:r>
    </w:p>
    <w:p>
      <w:pPr>
        <w:spacing w:after="0" w:line="69" w:lineRule="exact"/>
        <w:rPr>
          <w:sz w:val="20"/>
          <w:szCs w:val="20"/>
          <w:color w:val="auto"/>
        </w:rPr>
      </w:pPr>
    </w:p>
    <w:p>
      <w:pPr>
        <w:ind w:right="3259"/>
        <w:spacing w:after="0" w:line="275"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the Plan administrator to make estimates and assumptions that affect certain reported amounts and disclosures. Accordingly, actual results may differ from those estimates.</w:t>
      </w:r>
    </w:p>
    <w:p>
      <w:pPr>
        <w:spacing w:after="0" w:line="69"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Investments in registered investment companies (mutual funds) are valued at quoted market prices. American Express Trust Equity Index Fund I and American Express Trust Income Fund II are collective trusts stated at contract value. Units of the Camco/Schlumberger Stock Fund, invested primarily in common stock of Camco before September 1, 1998, and common stock of Schlumberger after August 31, 1998, but also in cash or cash equivalents to provide liquidity, are valued using quoted market prices for the common stock. Effective January 1, 1998, American Express changed its method of computing</w:t>
      </w:r>
    </w:p>
    <w:p>
      <w:pPr>
        <w:spacing w:after="0" w:line="8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01" w:right="1440" w:bottom="1440" w:gutter="0" w:footer="0" w:header="0"/>
        </w:sectPr>
      </w:pPr>
    </w:p>
    <w:bookmarkStart w:id="9" w:name="page10"/>
    <w:bookmarkEnd w:id="9"/>
    <w:p>
      <w:pPr>
        <w:ind w:right="3259"/>
        <w:spacing w:after="0" w:line="293" w:lineRule="auto"/>
        <w:rPr>
          <w:sz w:val="20"/>
          <w:szCs w:val="20"/>
          <w:color w:val="auto"/>
        </w:rPr>
      </w:pPr>
      <w:r>
        <w:rPr>
          <w:rFonts w:ascii="Courier New" w:cs="Courier New" w:eastAsia="Courier New" w:hAnsi="Courier New"/>
          <w:sz w:val="15"/>
          <w:szCs w:val="15"/>
          <w:color w:val="auto"/>
        </w:rPr>
        <w:t>gains and losses on the sale of investments from the average cost method to the first-in-first-out (FIFO) method. This change in method had no effect on the accompanying financial statements.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Investment Programs</w:t>
      </w:r>
    </w:p>
    <w:p>
      <w:pPr>
        <w:spacing w:after="0" w:line="169"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Participants may invest their account balances and all contributions made to their accounts in the investment choices described below. Investments may be made in one or more of the funds in 1% increments and choices may be changed any business day. The number of participants investing in each fund at December 31, 1998, is shown parenthetically.</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IDS International Fund (18 participants)</w:t>
      </w:r>
    </w:p>
    <w:p>
      <w:pPr>
        <w:spacing w:after="0" w:line="169" w:lineRule="exact"/>
        <w:rPr>
          <w:sz w:val="20"/>
          <w:szCs w:val="20"/>
          <w:color w:val="auto"/>
        </w:rPr>
      </w:pPr>
    </w:p>
    <w:p>
      <w:pPr>
        <w:jc w:val="both"/>
        <w:ind w:left="880" w:right="3359"/>
        <w:spacing w:after="0" w:line="293" w:lineRule="auto"/>
        <w:rPr>
          <w:sz w:val="20"/>
          <w:szCs w:val="20"/>
          <w:color w:val="auto"/>
        </w:rPr>
      </w:pPr>
      <w:r>
        <w:rPr>
          <w:rFonts w:ascii="Courier New" w:cs="Courier New" w:eastAsia="Courier New" w:hAnsi="Courier New"/>
          <w:sz w:val="15"/>
          <w:szCs w:val="15"/>
          <w:color w:val="auto"/>
        </w:rPr>
        <w:t>A specialty growth fund for aggressive investors whose objective is long-term growth of capital that invests in common stocks of foreign companies.</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IDS New Dimensions Fund (66 participants)</w:t>
      </w:r>
    </w:p>
    <w:p>
      <w:pPr>
        <w:spacing w:after="0" w:line="169" w:lineRule="exact"/>
        <w:rPr>
          <w:sz w:val="20"/>
          <w:szCs w:val="20"/>
          <w:color w:val="auto"/>
        </w:rPr>
      </w:pPr>
    </w:p>
    <w:p>
      <w:pPr>
        <w:ind w:left="880" w:right="3439"/>
        <w:spacing w:after="0" w:line="322" w:lineRule="auto"/>
        <w:rPr>
          <w:sz w:val="20"/>
          <w:szCs w:val="20"/>
          <w:color w:val="auto"/>
        </w:rPr>
      </w:pPr>
      <w:r>
        <w:rPr>
          <w:rFonts w:ascii="Courier New" w:cs="Courier New" w:eastAsia="Courier New" w:hAnsi="Courier New"/>
          <w:sz w:val="14"/>
          <w:szCs w:val="14"/>
          <w:color w:val="auto"/>
        </w:rPr>
        <w:t>A growth fund for aggressive investors whose objective is long-term growth of capital that invests in a portfolio of company stocks in which powerful economic and/or technical changes may take place.</w:t>
      </w:r>
    </w:p>
    <w:p>
      <w:pPr>
        <w:spacing w:after="0" w:line="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IDS Mutual Fund (32 participants)</w:t>
      </w:r>
    </w:p>
    <w:p>
      <w:pPr>
        <w:spacing w:after="0" w:line="169" w:lineRule="exact"/>
        <w:rPr>
          <w:sz w:val="20"/>
          <w:szCs w:val="20"/>
          <w:color w:val="auto"/>
        </w:rPr>
      </w:pPr>
    </w:p>
    <w:p>
      <w:pPr>
        <w:ind w:left="880" w:right="3259"/>
        <w:spacing w:after="0" w:line="275" w:lineRule="auto"/>
        <w:rPr>
          <w:sz w:val="20"/>
          <w:szCs w:val="20"/>
          <w:color w:val="auto"/>
        </w:rPr>
      </w:pPr>
      <w:r>
        <w:rPr>
          <w:rFonts w:ascii="Courier New" w:cs="Courier New" w:eastAsia="Courier New" w:hAnsi="Courier New"/>
          <w:sz w:val="15"/>
          <w:szCs w:val="15"/>
          <w:color w:val="auto"/>
        </w:rPr>
        <w:t>A growth and income fund for investors with moderate tolerance for risk whose objective is balance of growth of capital and current income that invests in a portfolio of common and preferred stocks and bonds.</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IDS Federal Income Fund (135 participants)</w:t>
      </w:r>
    </w:p>
    <w:p>
      <w:pPr>
        <w:spacing w:after="0" w:line="169" w:lineRule="exact"/>
        <w:rPr>
          <w:sz w:val="20"/>
          <w:szCs w:val="20"/>
          <w:color w:val="auto"/>
        </w:rPr>
      </w:pPr>
    </w:p>
    <w:p>
      <w:pPr>
        <w:jc w:val="both"/>
        <w:ind w:left="880" w:right="3359"/>
        <w:spacing w:after="0" w:line="293" w:lineRule="auto"/>
        <w:rPr>
          <w:sz w:val="20"/>
          <w:szCs w:val="20"/>
          <w:color w:val="auto"/>
        </w:rPr>
      </w:pPr>
      <w:r>
        <w:rPr>
          <w:rFonts w:ascii="Courier New" w:cs="Courier New" w:eastAsia="Courier New" w:hAnsi="Courier New"/>
          <w:sz w:val="15"/>
          <w:szCs w:val="15"/>
          <w:color w:val="auto"/>
        </w:rPr>
        <w:t>An income fund for conservative investors whose objective is current income and preservation of capital that invests in a portfolio of U. S. government and government agency securities.</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AIM Constellation Fund (5 participants)</w:t>
      </w:r>
    </w:p>
    <w:p>
      <w:pPr>
        <w:spacing w:after="0" w:line="169" w:lineRule="exact"/>
        <w:rPr>
          <w:sz w:val="20"/>
          <w:szCs w:val="20"/>
          <w:color w:val="auto"/>
        </w:rPr>
      </w:pPr>
    </w:p>
    <w:p>
      <w:pPr>
        <w:jc w:val="both"/>
        <w:ind w:left="880" w:right="3619"/>
        <w:spacing w:after="0" w:line="322" w:lineRule="auto"/>
        <w:rPr>
          <w:sz w:val="20"/>
          <w:szCs w:val="20"/>
          <w:color w:val="auto"/>
        </w:rPr>
      </w:pPr>
      <w:r>
        <w:rPr>
          <w:rFonts w:ascii="Courier New" w:cs="Courier New" w:eastAsia="Courier New" w:hAnsi="Courier New"/>
          <w:sz w:val="14"/>
          <w:szCs w:val="14"/>
          <w:color w:val="auto"/>
        </w:rPr>
        <w:t>A growth fund for aggressive investors whose objective is capital appreciation primarily through investments in common stocks with emphasis on medium-sized and smaller emerging growth companies.</w:t>
      </w:r>
    </w:p>
    <w:p>
      <w:pPr>
        <w:spacing w:after="0" w:line="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American Express Trust Equity Index Fund I (33 participants)</w:t>
      </w:r>
    </w:p>
    <w:p>
      <w:pPr>
        <w:spacing w:after="0" w:line="169" w:lineRule="exact"/>
        <w:rPr>
          <w:sz w:val="20"/>
          <w:szCs w:val="20"/>
          <w:color w:val="auto"/>
        </w:rPr>
      </w:pPr>
    </w:p>
    <w:p>
      <w:pPr>
        <w:ind w:left="880" w:right="3179"/>
        <w:spacing w:after="0" w:line="266" w:lineRule="auto"/>
        <w:rPr>
          <w:sz w:val="20"/>
          <w:szCs w:val="20"/>
          <w:color w:val="auto"/>
        </w:rPr>
      </w:pPr>
      <w:r>
        <w:rPr>
          <w:rFonts w:ascii="Courier New" w:cs="Courier New" w:eastAsia="Courier New" w:hAnsi="Courier New"/>
          <w:sz w:val="15"/>
          <w:szCs w:val="15"/>
          <w:color w:val="auto"/>
        </w:rPr>
        <w:t>A growth fund for aggressive investors whose objective is to achieve a rate of return as close as possible to the return of the Standard &amp; Poor's 500 Index that employs a passive portfolio structuring and stock selecting strategy by investing primarily in common stocks of the S&amp;P 500 Index.</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0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American Express Trust Income Fund II (135 participants)</w:t>
      </w:r>
    </w:p>
    <w:p>
      <w:pPr>
        <w:spacing w:after="0" w:line="169" w:lineRule="exact"/>
        <w:rPr>
          <w:sz w:val="20"/>
          <w:szCs w:val="20"/>
          <w:color w:val="auto"/>
        </w:rPr>
      </w:pPr>
    </w:p>
    <w:p>
      <w:pPr>
        <w:ind w:left="880" w:right="3179"/>
        <w:spacing w:after="0" w:line="293" w:lineRule="auto"/>
        <w:rPr>
          <w:sz w:val="20"/>
          <w:szCs w:val="20"/>
          <w:color w:val="auto"/>
        </w:rPr>
      </w:pPr>
      <w:r>
        <w:rPr>
          <w:rFonts w:ascii="Courier New" w:cs="Courier New" w:eastAsia="Courier New" w:hAnsi="Courier New"/>
          <w:sz w:val="15"/>
          <w:szCs w:val="15"/>
          <w:color w:val="auto"/>
        </w:rPr>
        <w:t>A stable capital fund for conservative investors whose objective is to preserve principal and income while maximizing current income that invests in investment contracts and stable value contracts.</w:t>
      </w:r>
    </w:p>
    <w:p>
      <w:pPr>
        <w:spacing w:after="0" w:line="5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Camco/Schlumberger Stock Fund (12 participants)</w:t>
      </w:r>
    </w:p>
    <w:p>
      <w:pPr>
        <w:spacing w:after="0" w:line="169" w:lineRule="exact"/>
        <w:rPr>
          <w:sz w:val="20"/>
          <w:szCs w:val="20"/>
          <w:color w:val="auto"/>
        </w:rPr>
      </w:pPr>
    </w:p>
    <w:p>
      <w:pPr>
        <w:ind w:left="880" w:right="3179"/>
        <w:spacing w:after="0" w:line="289" w:lineRule="auto"/>
        <w:rPr>
          <w:sz w:val="20"/>
          <w:szCs w:val="20"/>
          <w:color w:val="auto"/>
        </w:rPr>
      </w:pPr>
      <w:r>
        <w:rPr>
          <w:rFonts w:ascii="Courier New" w:cs="Courier New" w:eastAsia="Courier New" w:hAnsi="Courier New"/>
          <w:sz w:val="14"/>
          <w:szCs w:val="14"/>
          <w:color w:val="auto"/>
        </w:rPr>
        <w:t>A stock fund for aggressive investors whose objective is growth of capital and dividend income that invests in Schlumberger common stock. On August 31, 1998, Camco shares previously held by this fund were exchanged for Schlumberger shares. Participants may invest no more than 25% of their account balances and/or contributions in this fund.</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Regulatory Status of the Plan</w:t>
      </w:r>
    </w:p>
    <w:p>
      <w:pPr>
        <w:spacing w:after="0" w:line="169"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Plan was amended and restated on April 21, 1998, to incorporate changes to the Internal Revenue Code and ERISA as a result of the Uniformed Services Employment and Reemployment Rights Act of 1994, the Small Business Job Protection Act of 1996 and the Taxpayer Relief Act of 1997. None of the changes had a material effect on the December 31, 1998 Financial Statements.</w:t>
      </w:r>
    </w:p>
    <w:p>
      <w:pPr>
        <w:spacing w:after="0" w:line="75" w:lineRule="exact"/>
        <w:rPr>
          <w:sz w:val="20"/>
          <w:szCs w:val="20"/>
          <w:color w:val="auto"/>
        </w:rPr>
      </w:pPr>
    </w:p>
    <w:p>
      <w:pPr>
        <w:ind w:right="3359"/>
        <w:spacing w:after="0" w:line="254" w:lineRule="auto"/>
        <w:rPr>
          <w:sz w:val="20"/>
          <w:szCs w:val="20"/>
          <w:color w:val="auto"/>
        </w:rPr>
      </w:pPr>
      <w:r>
        <w:rPr>
          <w:rFonts w:ascii="Courier New" w:cs="Courier New" w:eastAsia="Courier New" w:hAnsi="Courier New"/>
          <w:sz w:val="15"/>
          <w:szCs w:val="15"/>
          <w:color w:val="auto"/>
        </w:rPr>
        <w:t>The amended Plan was filed with the Internal Revenue Service (the "IRS") prior to its adoption. In a determination letter dated February 12, 1998, the IRS stated that the Plan met the requirements of Section 401(a) of the Internal Revenue Code of 1986, as amended (the "Code"), and that the trust established thereunder was entitled to exemption from federal income tax under the provisions of Section 501(a) of the Code. Company matching contributions will not be required to be included in participants' taxable income until they are distributed to the participants.</w:t>
      </w:r>
    </w:p>
    <w:p>
      <w:pPr>
        <w:spacing w:after="0" w:line="87"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The Plan administrator and the Plan's counsel believe that the Plan currently is designed and being operated in compliance with the applicable requirements of the Code. They believe, therefore, that the Plan was qualified and the related trust was tax-exempt as of the financial statement date. The Plan is also in compliance with the provisions of the ERISA.</w:t>
      </w:r>
    </w:p>
    <w:p>
      <w:pPr>
        <w:spacing w:after="0" w:line="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01" w:right="1440" w:bottom="1440" w:gutter="0" w:footer="0" w:header="0"/>
        </w:sectPr>
      </w:pPr>
    </w:p>
    <w:bookmarkStart w:id="11" w:name="page12"/>
    <w:bookmarkEnd w:id="11"/>
    <w:p>
      <w:pPr>
        <w:jc w:val="center"/>
        <w:ind w:right="3520"/>
        <w:spacing w:after="0"/>
        <w:rPr>
          <w:sz w:val="20"/>
          <w:szCs w:val="20"/>
          <w:color w:val="auto"/>
        </w:rPr>
      </w:pPr>
      <w:r>
        <w:rPr>
          <w:rFonts w:ascii="Courier New" w:cs="Courier New" w:eastAsia="Courier New" w:hAnsi="Courier New"/>
          <w:sz w:val="15"/>
          <w:szCs w:val="15"/>
          <w:color w:val="auto"/>
        </w:rPr>
        <w:t>Line 27a - Schedule of Assets Held for Investment Purposes</w:t>
      </w:r>
    </w:p>
    <w:p>
      <w:pPr>
        <w:spacing w:after="0" w:line="25"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Reed Hourly Thrift Plan</w:t>
      </w:r>
    </w:p>
    <w:p>
      <w:pPr>
        <w:jc w:val="center"/>
        <w:ind w:right="3600"/>
        <w:spacing w:after="0"/>
        <w:tabs>
          <w:tab w:leader="none" w:pos="160" w:val="left"/>
        </w:tabs>
        <w:rPr>
          <w:sz w:val="20"/>
          <w:szCs w:val="20"/>
          <w:color w:val="auto"/>
        </w:rPr>
      </w:pPr>
      <w:r>
        <w:rPr>
          <w:rFonts w:ascii="Courier New" w:cs="Courier New" w:eastAsia="Courier New" w:hAnsi="Courier New"/>
          <w:sz w:val="15"/>
          <w:szCs w:val="15"/>
          <w:color w:val="auto"/>
        </w:rPr>
        <w:t>EIN:</w:t>
      </w:r>
      <w:r>
        <w:rPr>
          <w:sz w:val="20"/>
          <w:szCs w:val="20"/>
          <w:color w:val="auto"/>
        </w:rPr>
        <w:tab/>
      </w:r>
      <w:r>
        <w:rPr>
          <w:rFonts w:ascii="Courier New" w:cs="Courier New" w:eastAsia="Courier New" w:hAnsi="Courier New"/>
          <w:sz w:val="14"/>
          <w:szCs w:val="14"/>
          <w:color w:val="auto"/>
        </w:rPr>
        <w:t>13-3517570; P/N 006</w:t>
      </w:r>
    </w:p>
    <w:p>
      <w:pPr>
        <w:jc w:val="center"/>
        <w:ind w:right="3620"/>
        <w:spacing w:after="0"/>
        <w:rPr>
          <w:sz w:val="20"/>
          <w:szCs w:val="20"/>
          <w:color w:val="auto"/>
        </w:rPr>
      </w:pPr>
      <w:r>
        <w:rPr>
          <w:rFonts w:ascii="Courier New" w:cs="Courier New" w:eastAsia="Courier New" w:hAnsi="Courier New"/>
          <w:sz w:val="15"/>
          <w:szCs w:val="15"/>
          <w:color w:val="auto"/>
        </w:rPr>
        <w:t>December 31, 1998</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0" w:type="dxa"/>
            <w:vAlign w:val="bottom"/>
          </w:tcPr>
          <w:p>
            <w:pPr>
              <w:jc w:val="center"/>
              <w:ind w:right="1467"/>
              <w:spacing w:after="0"/>
              <w:rPr>
                <w:sz w:val="20"/>
                <w:szCs w:val="20"/>
                <w:color w:val="auto"/>
              </w:rPr>
            </w:pPr>
            <w:r>
              <w:rPr>
                <w:rFonts w:ascii="Courier New" w:cs="Courier New" w:eastAsia="Courier New" w:hAnsi="Courier New"/>
                <w:sz w:val="15"/>
                <w:szCs w:val="15"/>
                <w:color w:val="auto"/>
                <w:w w:val="96"/>
              </w:rPr>
              <w:t>(c)</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3140" w:type="dxa"/>
            <w:vAlign w:val="bottom"/>
            <w:vMerge w:val="restart"/>
          </w:tcPr>
          <w:p>
            <w:pPr>
              <w:ind w:left="1320"/>
              <w:spacing w:after="0"/>
              <w:rPr>
                <w:sz w:val="20"/>
                <w:szCs w:val="20"/>
                <w:color w:val="auto"/>
              </w:rPr>
            </w:pPr>
            <w:r>
              <w:rPr>
                <w:rFonts w:ascii="Courier New" w:cs="Courier New" w:eastAsia="Courier New" w:hAnsi="Courier New"/>
                <w:sz w:val="15"/>
                <w:szCs w:val="15"/>
                <w:color w:val="auto"/>
              </w:rPr>
              <w:t>(b)</w:t>
            </w:r>
          </w:p>
        </w:tc>
        <w:tc>
          <w:tcPr>
            <w:tcW w:w="3080" w:type="dxa"/>
            <w:vAlign w:val="bottom"/>
            <w:gridSpan w:val="2"/>
          </w:tcPr>
          <w:p>
            <w:pPr>
              <w:jc w:val="center"/>
              <w:ind w:right="207"/>
              <w:spacing w:after="0"/>
              <w:rPr>
                <w:sz w:val="20"/>
                <w:szCs w:val="20"/>
                <w:color w:val="auto"/>
              </w:rPr>
            </w:pPr>
            <w:r>
              <w:rPr>
                <w:rFonts w:ascii="Courier New" w:cs="Courier New" w:eastAsia="Courier New" w:hAnsi="Courier New"/>
                <w:sz w:val="15"/>
                <w:szCs w:val="15"/>
                <w:color w:val="auto"/>
                <w:w w:val="97"/>
              </w:rPr>
              <w:t>Description of investment</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080" w:type="dxa"/>
            <w:vAlign w:val="bottom"/>
            <w:gridSpan w:val="2"/>
          </w:tcPr>
          <w:p>
            <w:pPr>
              <w:jc w:val="center"/>
              <w:ind w:right="287"/>
              <w:spacing w:after="0"/>
              <w:rPr>
                <w:sz w:val="20"/>
                <w:szCs w:val="20"/>
                <w:color w:val="auto"/>
              </w:rPr>
            </w:pPr>
            <w:r>
              <w:rPr>
                <w:rFonts w:ascii="Courier New" w:cs="Courier New" w:eastAsia="Courier New" w:hAnsi="Courier New"/>
                <w:sz w:val="15"/>
                <w:szCs w:val="15"/>
                <w:color w:val="auto"/>
                <w:w w:val="98"/>
              </w:rPr>
              <w:t>including maturity date,</w:t>
            </w: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(e)</w:t>
            </w: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3140" w:type="dxa"/>
            <w:vAlign w:val="bottom"/>
          </w:tcPr>
          <w:p>
            <w:pPr>
              <w:ind w:left="620"/>
              <w:spacing w:after="0"/>
              <w:rPr>
                <w:sz w:val="20"/>
                <w:szCs w:val="20"/>
                <w:color w:val="auto"/>
              </w:rPr>
            </w:pPr>
            <w:r>
              <w:rPr>
                <w:rFonts w:ascii="Courier New" w:cs="Courier New" w:eastAsia="Courier New" w:hAnsi="Courier New"/>
                <w:sz w:val="15"/>
                <w:szCs w:val="15"/>
                <w:color w:val="auto"/>
              </w:rPr>
              <w:t>Identity of issue,</w:t>
            </w:r>
          </w:p>
        </w:tc>
        <w:tc>
          <w:tcPr>
            <w:tcW w:w="3080" w:type="dxa"/>
            <w:vAlign w:val="bottom"/>
            <w:gridSpan w:val="2"/>
          </w:tcPr>
          <w:p>
            <w:pPr>
              <w:jc w:val="center"/>
              <w:ind w:right="187"/>
              <w:spacing w:after="0"/>
              <w:rPr>
                <w:sz w:val="20"/>
                <w:szCs w:val="20"/>
                <w:color w:val="auto"/>
              </w:rPr>
            </w:pPr>
            <w:r>
              <w:rPr>
                <w:rFonts w:ascii="Courier New" w:cs="Courier New" w:eastAsia="Courier New" w:hAnsi="Courier New"/>
                <w:sz w:val="15"/>
                <w:szCs w:val="15"/>
                <w:color w:val="auto"/>
                <w:w w:val="98"/>
              </w:rPr>
              <w:t>rate of interest,</w:t>
            </w:r>
          </w:p>
        </w:tc>
        <w:tc>
          <w:tcPr>
            <w:tcW w:w="440" w:type="dxa"/>
            <w:vAlign w:val="bottom"/>
          </w:tcPr>
          <w:p>
            <w:pPr>
              <w:spacing w:after="0"/>
              <w:rPr>
                <w:sz w:val="14"/>
                <w:szCs w:val="14"/>
                <w:color w:val="auto"/>
              </w:rPr>
            </w:pPr>
          </w:p>
        </w:tc>
        <w:tc>
          <w:tcPr>
            <w:tcW w:w="1580" w:type="dxa"/>
            <w:vAlign w:val="bottom"/>
            <w:vMerge w:val="restart"/>
          </w:tcPr>
          <w:p>
            <w:pPr>
              <w:jc w:val="right"/>
              <w:ind w:right="747"/>
              <w:spacing w:after="0"/>
              <w:rPr>
                <w:sz w:val="20"/>
                <w:szCs w:val="20"/>
                <w:color w:val="auto"/>
              </w:rPr>
            </w:pPr>
            <w:r>
              <w:rPr>
                <w:rFonts w:ascii="Courier New" w:cs="Courier New" w:eastAsia="Courier New" w:hAnsi="Courier New"/>
                <w:sz w:val="15"/>
                <w:szCs w:val="15"/>
                <w:color w:val="auto"/>
              </w:rPr>
              <w:t>(d)</w:t>
            </w:r>
          </w:p>
        </w:tc>
        <w:tc>
          <w:tcPr>
            <w:tcW w:w="4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00" w:type="dxa"/>
            <w:vAlign w:val="bottom"/>
            <w:vMerge w:val="restart"/>
          </w:tcPr>
          <w:p>
            <w:pPr>
              <w:spacing w:after="0"/>
              <w:rPr>
                <w:sz w:val="20"/>
                <w:szCs w:val="20"/>
                <w:color w:val="auto"/>
              </w:rPr>
            </w:pPr>
            <w:r>
              <w:rPr>
                <w:rFonts w:ascii="Courier New" w:cs="Courier New" w:eastAsia="Courier New" w:hAnsi="Courier New"/>
                <w:sz w:val="15"/>
                <w:szCs w:val="15"/>
                <w:color w:val="auto"/>
              </w:rPr>
              <w:t>(a)</w:t>
            </w:r>
          </w:p>
        </w:tc>
        <w:tc>
          <w:tcPr>
            <w:tcW w:w="3140" w:type="dxa"/>
            <w:vAlign w:val="bottom"/>
          </w:tcPr>
          <w:p>
            <w:pPr>
              <w:ind w:left="540"/>
              <w:spacing w:after="0"/>
              <w:rPr>
                <w:sz w:val="20"/>
                <w:szCs w:val="20"/>
                <w:color w:val="auto"/>
              </w:rPr>
            </w:pPr>
            <w:r>
              <w:rPr>
                <w:rFonts w:ascii="Courier New" w:cs="Courier New" w:eastAsia="Courier New" w:hAnsi="Courier New"/>
                <w:sz w:val="15"/>
                <w:szCs w:val="15"/>
                <w:color w:val="auto"/>
              </w:rPr>
              <w:t>borrower, lessor, or</w:t>
            </w:r>
          </w:p>
        </w:tc>
        <w:tc>
          <w:tcPr>
            <w:tcW w:w="3080" w:type="dxa"/>
            <w:vAlign w:val="bottom"/>
            <w:gridSpan w:val="2"/>
          </w:tcPr>
          <w:p>
            <w:pPr>
              <w:jc w:val="center"/>
              <w:ind w:right="287"/>
              <w:spacing w:after="0"/>
              <w:rPr>
                <w:sz w:val="20"/>
                <w:szCs w:val="20"/>
                <w:color w:val="auto"/>
              </w:rPr>
            </w:pPr>
            <w:r>
              <w:rPr>
                <w:rFonts w:ascii="Courier New" w:cs="Courier New" w:eastAsia="Courier New" w:hAnsi="Courier New"/>
                <w:sz w:val="15"/>
                <w:szCs w:val="15"/>
                <w:color w:val="auto"/>
                <w:w w:val="98"/>
              </w:rPr>
              <w:t>collateral, par or</w:t>
            </w:r>
          </w:p>
        </w:tc>
        <w:tc>
          <w:tcPr>
            <w:tcW w:w="44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Current</w:t>
            </w:r>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3140" w:type="dxa"/>
            <w:vAlign w:val="bottom"/>
          </w:tcPr>
          <w:p>
            <w:pPr>
              <w:ind w:left="880"/>
              <w:spacing w:after="0"/>
              <w:rPr>
                <w:sz w:val="20"/>
                <w:szCs w:val="20"/>
                <w:color w:val="auto"/>
              </w:rPr>
            </w:pPr>
            <w:r>
              <w:rPr>
                <w:rFonts w:ascii="Courier New" w:cs="Courier New" w:eastAsia="Courier New" w:hAnsi="Courier New"/>
                <w:sz w:val="15"/>
                <w:szCs w:val="15"/>
                <w:color w:val="auto"/>
              </w:rPr>
              <w:t>similar party</w:t>
            </w:r>
          </w:p>
        </w:tc>
        <w:tc>
          <w:tcPr>
            <w:tcW w:w="3080" w:type="dxa"/>
            <w:vAlign w:val="bottom"/>
            <w:gridSpan w:val="2"/>
          </w:tcPr>
          <w:p>
            <w:pPr>
              <w:jc w:val="center"/>
              <w:ind w:right="287"/>
              <w:spacing w:after="0"/>
              <w:rPr>
                <w:sz w:val="20"/>
                <w:szCs w:val="20"/>
                <w:color w:val="auto"/>
              </w:rPr>
            </w:pPr>
            <w:r>
              <w:rPr>
                <w:rFonts w:ascii="Courier New" w:cs="Courier New" w:eastAsia="Courier New" w:hAnsi="Courier New"/>
                <w:sz w:val="15"/>
                <w:szCs w:val="15"/>
                <w:color w:val="auto"/>
                <w:w w:val="98"/>
              </w:rPr>
              <w:t>maturity value</w:t>
            </w:r>
          </w:p>
        </w:tc>
        <w:tc>
          <w:tcPr>
            <w:tcW w:w="440" w:type="dxa"/>
            <w:vAlign w:val="bottom"/>
          </w:tcPr>
          <w:p>
            <w:pPr>
              <w:spacing w:after="0"/>
              <w:rPr>
                <w:sz w:val="14"/>
                <w:szCs w:val="14"/>
                <w:color w:val="auto"/>
              </w:rPr>
            </w:pPr>
          </w:p>
        </w:tc>
        <w:tc>
          <w:tcPr>
            <w:tcW w:w="158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Cost</w:t>
            </w:r>
          </w:p>
        </w:tc>
        <w:tc>
          <w:tcPr>
            <w:tcW w:w="4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value</w:t>
            </w:r>
          </w:p>
        </w:tc>
        <w:tc>
          <w:tcPr>
            <w:tcW w:w="0" w:type="dxa"/>
            <w:vAlign w:val="bottom"/>
          </w:tcPr>
          <w:p>
            <w:pPr>
              <w:spacing w:after="0"/>
              <w:rPr>
                <w:sz w:val="1"/>
                <w:szCs w:val="1"/>
                <w:color w:val="auto"/>
              </w:rPr>
            </w:pPr>
          </w:p>
        </w:tc>
      </w:tr>
      <w:tr>
        <w:trPr>
          <w:trHeight w:val="246"/>
        </w:trPr>
        <w:tc>
          <w:tcPr>
            <w:tcW w:w="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1"/>
                <w:szCs w:val="21"/>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339"/>
        </w:trPr>
        <w:tc>
          <w:tcPr>
            <w:tcW w:w="60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Participant loans</w:t>
            </w:r>
          </w:p>
        </w:tc>
        <w:tc>
          <w:tcPr>
            <w:tcW w:w="30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7.0% - 12.0% interest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536,384</w:t>
            </w:r>
          </w:p>
        </w:tc>
        <w:tc>
          <w:tcPr>
            <w:tcW w:w="0" w:type="dxa"/>
            <w:vAlign w:val="bottom"/>
          </w:tcPr>
          <w:p>
            <w:pPr>
              <w:spacing w:after="0"/>
              <w:rPr>
                <w:sz w:val="1"/>
                <w:szCs w:val="1"/>
                <w:color w:val="auto"/>
              </w:rPr>
            </w:pPr>
          </w:p>
        </w:tc>
      </w:tr>
      <w:tr>
        <w:trPr>
          <w:trHeight w:val="262"/>
        </w:trPr>
        <w:tc>
          <w:tcPr>
            <w:tcW w:w="600" w:type="dxa"/>
            <w:vAlign w:val="bottom"/>
          </w:tcPr>
          <w:p>
            <w:pPr>
              <w:spacing w:after="0"/>
              <w:rPr>
                <w:sz w:val="22"/>
                <w:szCs w:val="22"/>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Camco/Schlumberger Stock</w:t>
            </w:r>
          </w:p>
        </w:tc>
        <w:tc>
          <w:tcPr>
            <w:tcW w:w="30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Employer common stock</w:t>
            </w:r>
          </w:p>
        </w:tc>
        <w:tc>
          <w:tcPr>
            <w:tcW w:w="440" w:type="dxa"/>
            <w:vAlign w:val="bottom"/>
          </w:tcPr>
          <w:p>
            <w:pPr>
              <w:spacing w:after="0"/>
              <w:rPr>
                <w:sz w:val="22"/>
                <w:szCs w:val="22"/>
                <w:color w:val="auto"/>
              </w:rPr>
            </w:pPr>
          </w:p>
        </w:tc>
        <w:tc>
          <w:tcPr>
            <w:tcW w:w="15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38,945</w:t>
            </w:r>
          </w:p>
        </w:tc>
        <w:tc>
          <w:tcPr>
            <w:tcW w:w="440" w:type="dxa"/>
            <w:vAlign w:val="bottom"/>
          </w:tcPr>
          <w:p>
            <w:pPr>
              <w:spacing w:after="0"/>
              <w:rPr>
                <w:sz w:val="22"/>
                <w:szCs w:val="22"/>
                <w:color w:val="auto"/>
              </w:rPr>
            </w:pPr>
          </w:p>
        </w:tc>
        <w:tc>
          <w:tcPr>
            <w:tcW w:w="12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35,413</w:t>
            </w:r>
          </w:p>
        </w:tc>
        <w:tc>
          <w:tcPr>
            <w:tcW w:w="0" w:type="dxa"/>
            <w:vAlign w:val="bottom"/>
          </w:tcPr>
          <w:p>
            <w:pPr>
              <w:spacing w:after="0"/>
              <w:rPr>
                <w:sz w:val="1"/>
                <w:szCs w:val="1"/>
                <w:color w:val="auto"/>
              </w:rPr>
            </w:pPr>
          </w:p>
        </w:tc>
      </w:tr>
      <w:tr>
        <w:trPr>
          <w:trHeight w:val="246"/>
        </w:trPr>
        <w:tc>
          <w:tcPr>
            <w:tcW w:w="600" w:type="dxa"/>
            <w:vAlign w:val="bottom"/>
          </w:tcPr>
          <w:p>
            <w:pPr>
              <w:spacing w:after="0"/>
              <w:rPr>
                <w:sz w:val="21"/>
                <w:szCs w:val="21"/>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Fund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2,242</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units</w:t>
            </w:r>
          </w:p>
        </w:tc>
        <w:tc>
          <w:tcPr>
            <w:tcW w:w="44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31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AET Equity Index Fund I</w:t>
            </w:r>
          </w:p>
        </w:tc>
        <w:tc>
          <w:tcPr>
            <w:tcW w:w="30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Common/collective trusts:</w:t>
            </w:r>
          </w:p>
        </w:tc>
        <w:tc>
          <w:tcPr>
            <w:tcW w:w="440" w:type="dxa"/>
            <w:vAlign w:val="bottom"/>
          </w:tcPr>
          <w:p>
            <w:pPr>
              <w:spacing w:after="0"/>
              <w:rPr>
                <w:sz w:val="24"/>
                <w:szCs w:val="24"/>
                <w:color w:val="auto"/>
              </w:rPr>
            </w:pPr>
          </w:p>
        </w:tc>
        <w:tc>
          <w:tcPr>
            <w:tcW w:w="15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260,498</w:t>
            </w:r>
          </w:p>
        </w:tc>
        <w:tc>
          <w:tcPr>
            <w:tcW w:w="440" w:type="dxa"/>
            <w:vAlign w:val="bottom"/>
          </w:tcPr>
          <w:p>
            <w:pPr>
              <w:spacing w:after="0"/>
              <w:rPr>
                <w:sz w:val="24"/>
                <w:szCs w:val="24"/>
                <w:color w:val="auto"/>
              </w:rPr>
            </w:pPr>
          </w:p>
        </w:tc>
        <w:tc>
          <w:tcPr>
            <w:tcW w:w="12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301,662</w:t>
            </w:r>
          </w:p>
        </w:tc>
        <w:tc>
          <w:tcPr>
            <w:tcW w:w="0" w:type="dxa"/>
            <w:vAlign w:val="bottom"/>
          </w:tcPr>
          <w:p>
            <w:pPr>
              <w:spacing w:after="0"/>
              <w:rPr>
                <w:sz w:val="1"/>
                <w:szCs w:val="1"/>
                <w:color w:val="auto"/>
              </w:rPr>
            </w:pPr>
          </w:p>
        </w:tc>
      </w:tr>
      <w:tr>
        <w:trPr>
          <w:trHeight w:val="246"/>
        </w:trPr>
        <w:tc>
          <w:tcPr>
            <w:tcW w:w="600" w:type="dxa"/>
            <w:vAlign w:val="bottom"/>
          </w:tcPr>
          <w:p>
            <w:pPr>
              <w:spacing w:after="0"/>
              <w:rPr>
                <w:sz w:val="21"/>
                <w:szCs w:val="21"/>
                <w:color w:val="auto"/>
              </w:rPr>
            </w:pPr>
          </w:p>
        </w:tc>
        <w:tc>
          <w:tcPr>
            <w:tcW w:w="3140" w:type="dxa"/>
            <w:vAlign w:val="bottom"/>
            <w:vMerge w:val="continue"/>
          </w:tcPr>
          <w:p>
            <w:pPr>
              <w:spacing w:after="0"/>
              <w:rPr>
                <w:sz w:val="21"/>
                <w:szCs w:val="2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8,615</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60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AET Income Fund II</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86,614</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24"/>
                <w:szCs w:val="24"/>
                <w:color w:val="auto"/>
              </w:rPr>
            </w:pP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1,416,670</w:t>
            </w:r>
          </w:p>
        </w:tc>
        <w:tc>
          <w:tcPr>
            <w:tcW w:w="440" w:type="dxa"/>
            <w:vAlign w:val="bottom"/>
          </w:tcPr>
          <w:p>
            <w:pPr>
              <w:spacing w:after="0"/>
              <w:rPr>
                <w:sz w:val="24"/>
                <w:szCs w:val="24"/>
                <w:color w:val="auto"/>
              </w:rPr>
            </w:pP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1,597,335</w:t>
            </w:r>
          </w:p>
        </w:tc>
        <w:tc>
          <w:tcPr>
            <w:tcW w:w="0" w:type="dxa"/>
            <w:vAlign w:val="bottom"/>
          </w:tcPr>
          <w:p>
            <w:pPr>
              <w:spacing w:after="0"/>
              <w:rPr>
                <w:sz w:val="1"/>
                <w:szCs w:val="1"/>
                <w:color w:val="auto"/>
              </w:rPr>
            </w:pPr>
          </w:p>
        </w:tc>
      </w:tr>
      <w:tr>
        <w:trPr>
          <w:trHeight w:val="262"/>
        </w:trPr>
        <w:tc>
          <w:tcPr>
            <w:tcW w:w="60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0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Registered investment</w:t>
            </w:r>
          </w:p>
        </w:tc>
        <w:tc>
          <w:tcPr>
            <w:tcW w:w="4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31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IDS International Fund</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companies:</w:t>
            </w:r>
          </w:p>
        </w:tc>
        <w:tc>
          <w:tcPr>
            <w:tcW w:w="180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4"/>
                <w:szCs w:val="14"/>
                <w:color w:val="auto"/>
              </w:rPr>
            </w:pPr>
          </w:p>
        </w:tc>
        <w:tc>
          <w:tcPr>
            <w:tcW w:w="15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52,920</w:t>
            </w:r>
          </w:p>
        </w:tc>
        <w:tc>
          <w:tcPr>
            <w:tcW w:w="440" w:type="dxa"/>
            <w:vAlign w:val="bottom"/>
          </w:tcPr>
          <w:p>
            <w:pPr>
              <w:spacing w:after="0"/>
              <w:rPr>
                <w:sz w:val="14"/>
                <w:szCs w:val="14"/>
                <w:color w:val="auto"/>
              </w:rPr>
            </w:pPr>
          </w:p>
        </w:tc>
        <w:tc>
          <w:tcPr>
            <w:tcW w:w="12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50,498</w:t>
            </w:r>
          </w:p>
        </w:tc>
        <w:tc>
          <w:tcPr>
            <w:tcW w:w="0" w:type="dxa"/>
            <w:vAlign w:val="bottom"/>
          </w:tcPr>
          <w:p>
            <w:pPr>
              <w:spacing w:after="0"/>
              <w:rPr>
                <w:sz w:val="1"/>
                <w:szCs w:val="1"/>
                <w:color w:val="auto"/>
              </w:rPr>
            </w:pPr>
          </w:p>
        </w:tc>
      </w:tr>
      <w:tr>
        <w:trPr>
          <w:trHeight w:val="246"/>
        </w:trPr>
        <w:tc>
          <w:tcPr>
            <w:tcW w:w="600" w:type="dxa"/>
            <w:vAlign w:val="bottom"/>
          </w:tcPr>
          <w:p>
            <w:pPr>
              <w:spacing w:after="0"/>
              <w:rPr>
                <w:sz w:val="21"/>
                <w:szCs w:val="21"/>
                <w:color w:val="auto"/>
              </w:rPr>
            </w:pPr>
          </w:p>
        </w:tc>
        <w:tc>
          <w:tcPr>
            <w:tcW w:w="3140" w:type="dxa"/>
            <w:vAlign w:val="bottom"/>
            <w:vMerge w:val="continue"/>
          </w:tcPr>
          <w:p>
            <w:pPr>
              <w:spacing w:after="0"/>
              <w:rPr>
                <w:sz w:val="21"/>
                <w:szCs w:val="21"/>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4,364</w:t>
            </w:r>
          </w:p>
        </w:tc>
        <w:tc>
          <w:tcPr>
            <w:tcW w:w="18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60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IDS New Dimensions Fund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40,910</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24"/>
                <w:szCs w:val="24"/>
                <w:color w:val="auto"/>
              </w:rPr>
            </w:pP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1,001,051</w:t>
            </w:r>
          </w:p>
        </w:tc>
        <w:tc>
          <w:tcPr>
            <w:tcW w:w="440" w:type="dxa"/>
            <w:vAlign w:val="bottom"/>
          </w:tcPr>
          <w:p>
            <w:pPr>
              <w:spacing w:after="0"/>
              <w:rPr>
                <w:sz w:val="24"/>
                <w:szCs w:val="24"/>
                <w:color w:val="auto"/>
              </w:rPr>
            </w:pP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1,180,049</w:t>
            </w:r>
          </w:p>
        </w:tc>
        <w:tc>
          <w:tcPr>
            <w:tcW w:w="0" w:type="dxa"/>
            <w:vAlign w:val="bottom"/>
          </w:tcPr>
          <w:p>
            <w:pPr>
              <w:spacing w:after="0"/>
              <w:rPr>
                <w:sz w:val="1"/>
                <w:szCs w:val="1"/>
                <w:color w:val="auto"/>
              </w:rPr>
            </w:pPr>
          </w:p>
        </w:tc>
      </w:tr>
      <w:tr>
        <w:trPr>
          <w:trHeight w:val="339"/>
        </w:trPr>
        <w:tc>
          <w:tcPr>
            <w:tcW w:w="60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IDS Mutual Fund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11,602</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24"/>
                <w:szCs w:val="24"/>
                <w:color w:val="auto"/>
              </w:rPr>
            </w:pP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162,287</w:t>
            </w:r>
          </w:p>
        </w:tc>
        <w:tc>
          <w:tcPr>
            <w:tcW w:w="440" w:type="dxa"/>
            <w:vAlign w:val="bottom"/>
          </w:tcPr>
          <w:p>
            <w:pPr>
              <w:spacing w:after="0"/>
              <w:rPr>
                <w:sz w:val="24"/>
                <w:szCs w:val="24"/>
                <w:color w:val="auto"/>
              </w:rPr>
            </w:pP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151,108</w:t>
            </w:r>
          </w:p>
        </w:tc>
        <w:tc>
          <w:tcPr>
            <w:tcW w:w="0" w:type="dxa"/>
            <w:vAlign w:val="bottom"/>
          </w:tcPr>
          <w:p>
            <w:pPr>
              <w:spacing w:after="0"/>
              <w:rPr>
                <w:sz w:val="1"/>
                <w:szCs w:val="1"/>
                <w:color w:val="auto"/>
              </w:rPr>
            </w:pPr>
          </w:p>
        </w:tc>
      </w:tr>
      <w:tr>
        <w:trPr>
          <w:trHeight w:val="339"/>
        </w:trPr>
        <w:tc>
          <w:tcPr>
            <w:tcW w:w="600" w:type="dxa"/>
            <w:vAlign w:val="bottom"/>
          </w:tcPr>
          <w:p>
            <w:pPr>
              <w:spacing w:after="0"/>
              <w:rPr>
                <w:sz w:val="24"/>
                <w:szCs w:val="24"/>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IDS Federal Income Fund</w:t>
            </w:r>
          </w:p>
        </w:tc>
        <w:tc>
          <w:tcPr>
            <w:tcW w:w="3080" w:type="dxa"/>
            <w:vAlign w:val="bottom"/>
            <w:gridSpan w:val="2"/>
          </w:tcPr>
          <w:p>
            <w:pPr>
              <w:jc w:val="center"/>
              <w:ind w:right="287"/>
              <w:spacing w:after="0"/>
              <w:rPr>
                <w:sz w:val="20"/>
                <w:szCs w:val="20"/>
                <w:color w:val="auto"/>
              </w:rPr>
            </w:pPr>
            <w:r>
              <w:rPr>
                <w:rFonts w:ascii="Courier New" w:cs="Courier New" w:eastAsia="Courier New" w:hAnsi="Courier New"/>
                <w:sz w:val="15"/>
                <w:szCs w:val="15"/>
                <w:color w:val="auto"/>
                <w:w w:val="98"/>
              </w:rPr>
              <w:t>311,464 shares</w:t>
            </w:r>
          </w:p>
        </w:tc>
        <w:tc>
          <w:tcPr>
            <w:tcW w:w="440" w:type="dxa"/>
            <w:vAlign w:val="bottom"/>
          </w:tcPr>
          <w:p>
            <w:pPr>
              <w:spacing w:after="0"/>
              <w:rPr>
                <w:sz w:val="24"/>
                <w:szCs w:val="24"/>
                <w:color w:val="auto"/>
              </w:rPr>
            </w:pP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1,582,349</w:t>
            </w:r>
          </w:p>
        </w:tc>
        <w:tc>
          <w:tcPr>
            <w:tcW w:w="440" w:type="dxa"/>
            <w:vAlign w:val="bottom"/>
          </w:tcPr>
          <w:p>
            <w:pPr>
              <w:spacing w:after="0"/>
              <w:rPr>
                <w:sz w:val="24"/>
                <w:szCs w:val="24"/>
                <w:color w:val="auto"/>
              </w:rPr>
            </w:pP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1,571,334</w:t>
            </w:r>
          </w:p>
        </w:tc>
        <w:tc>
          <w:tcPr>
            <w:tcW w:w="0" w:type="dxa"/>
            <w:vAlign w:val="bottom"/>
          </w:tcPr>
          <w:p>
            <w:pPr>
              <w:spacing w:after="0"/>
              <w:rPr>
                <w:sz w:val="1"/>
                <w:szCs w:val="1"/>
                <w:color w:val="auto"/>
              </w:rPr>
            </w:pPr>
          </w:p>
        </w:tc>
      </w:tr>
      <w:tr>
        <w:trPr>
          <w:trHeight w:val="262"/>
        </w:trPr>
        <w:tc>
          <w:tcPr>
            <w:tcW w:w="600" w:type="dxa"/>
            <w:vAlign w:val="bottom"/>
          </w:tcPr>
          <w:p>
            <w:pPr>
              <w:spacing w:after="0"/>
              <w:rPr>
                <w:sz w:val="22"/>
                <w:szCs w:val="22"/>
                <w:color w:val="auto"/>
              </w:rPr>
            </w:pPr>
          </w:p>
        </w:tc>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AIM Constellation Fund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3,225</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22"/>
                <w:szCs w:val="22"/>
                <w:color w:val="auto"/>
              </w:rPr>
            </w:pP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96,800</w:t>
            </w:r>
          </w:p>
        </w:tc>
        <w:tc>
          <w:tcPr>
            <w:tcW w:w="440" w:type="dxa"/>
            <w:vAlign w:val="bottom"/>
          </w:tcPr>
          <w:p>
            <w:pPr>
              <w:spacing w:after="0"/>
              <w:rPr>
                <w:sz w:val="22"/>
                <w:szCs w:val="22"/>
                <w:color w:val="auto"/>
              </w:rPr>
            </w:pP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98,432</w:t>
            </w: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6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4,611,520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5,522,215</w:t>
            </w:r>
          </w:p>
        </w:tc>
        <w:tc>
          <w:tcPr>
            <w:tcW w:w="0" w:type="dxa"/>
            <w:vAlign w:val="bottom"/>
          </w:tcPr>
          <w:p>
            <w:pPr>
              <w:spacing w:after="0"/>
              <w:rPr>
                <w:sz w:val="1"/>
                <w:szCs w:val="1"/>
                <w:color w:val="auto"/>
              </w:rPr>
            </w:pPr>
          </w:p>
        </w:tc>
      </w:tr>
      <w:tr>
        <w:trPr>
          <w:trHeight w:val="246"/>
        </w:trPr>
        <w:tc>
          <w:tcPr>
            <w:tcW w:w="6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600" w:type="dxa"/>
            <w:vAlign w:val="bottom"/>
          </w:tcPr>
          <w:p>
            <w:pPr>
              <w:spacing w:after="0"/>
              <w:rPr>
                <w:sz w:val="24"/>
                <w:szCs w:val="24"/>
                <w:color w:val="auto"/>
              </w:rPr>
            </w:pPr>
          </w:p>
        </w:tc>
        <w:tc>
          <w:tcPr>
            <w:tcW w:w="3140" w:type="dxa"/>
            <w:vAlign w:val="bottom"/>
          </w:tcPr>
          <w:p>
            <w:pPr>
              <w:ind w:left="2740"/>
              <w:spacing w:after="0"/>
              <w:rPr>
                <w:sz w:val="20"/>
                <w:szCs w:val="20"/>
                <w:color w:val="auto"/>
              </w:rPr>
            </w:pPr>
            <w:r>
              <w:rPr>
                <w:rFonts w:ascii="Courier New" w:cs="Courier New" w:eastAsia="Courier New" w:hAnsi="Courier New"/>
                <w:sz w:val="15"/>
                <w:szCs w:val="15"/>
                <w:color w:val="auto"/>
              </w:rPr>
              <w:t>-9-</w:t>
            </w:r>
          </w:p>
        </w:tc>
        <w:tc>
          <w:tcPr>
            <w:tcW w:w="1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601" w:right="109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gridSpan w:val="5"/>
          </w:tcPr>
          <w:p>
            <w:pPr>
              <w:jc w:val="center"/>
              <w:ind w:left="1007"/>
              <w:spacing w:after="0"/>
              <w:rPr>
                <w:sz w:val="20"/>
                <w:szCs w:val="20"/>
                <w:color w:val="auto"/>
              </w:rPr>
            </w:pPr>
            <w:r>
              <w:rPr>
                <w:rFonts w:ascii="Courier New" w:cs="Courier New" w:eastAsia="Courier New" w:hAnsi="Courier New"/>
                <w:sz w:val="15"/>
                <w:szCs w:val="15"/>
                <w:color w:val="auto"/>
                <w:w w:val="98"/>
              </w:rPr>
              <w:t>Line 27d - Schedule of Reportable Transactions</w:t>
            </w: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Reed Hourly Thrift Plan</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ind w:left="2380"/>
              <w:spacing w:after="0"/>
              <w:rPr>
                <w:sz w:val="20"/>
                <w:szCs w:val="20"/>
                <w:color w:val="auto"/>
              </w:rPr>
            </w:pPr>
            <w:r>
              <w:rPr>
                <w:rFonts w:ascii="Courier New" w:cs="Courier New" w:eastAsia="Courier New" w:hAnsi="Courier New"/>
                <w:sz w:val="15"/>
                <w:szCs w:val="15"/>
                <w:color w:val="auto"/>
              </w:rPr>
              <w:t>EIN:</w:t>
            </w:r>
          </w:p>
        </w:tc>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13-3517570; P/N 006</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5200" w:type="dxa"/>
            <w:vAlign w:val="bottom"/>
            <w:gridSpan w:val="4"/>
          </w:tcPr>
          <w:p>
            <w:pPr>
              <w:jc w:val="center"/>
              <w:ind w:left="1747"/>
              <w:spacing w:after="0"/>
              <w:rPr>
                <w:sz w:val="20"/>
                <w:szCs w:val="20"/>
                <w:color w:val="auto"/>
              </w:rPr>
            </w:pPr>
            <w:r>
              <w:rPr>
                <w:rFonts w:ascii="Courier New" w:cs="Courier New" w:eastAsia="Courier New" w:hAnsi="Courier New"/>
                <w:sz w:val="15"/>
                <w:szCs w:val="15"/>
                <w:color w:val="auto"/>
                <w:w w:val="98"/>
              </w:rPr>
              <w:t>For the Year Ended December 31, 1998</w:t>
            </w: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1"/>
        </w:trPr>
        <w:tc>
          <w:tcPr>
            <w:tcW w:w="2900" w:type="dxa"/>
            <w:vAlign w:val="bottom"/>
          </w:tcPr>
          <w:p>
            <w:pPr>
              <w:ind w:left="1220"/>
              <w:spacing w:after="0"/>
              <w:rPr>
                <w:sz w:val="20"/>
                <w:szCs w:val="20"/>
                <w:color w:val="auto"/>
              </w:rPr>
            </w:pPr>
            <w:r>
              <w:rPr>
                <w:rFonts w:ascii="Courier New" w:cs="Courier New" w:eastAsia="Courier New" w:hAnsi="Courier New"/>
                <w:sz w:val="15"/>
                <w:szCs w:val="15"/>
                <w:color w:val="auto"/>
              </w:rPr>
              <w:t>(a)</w:t>
            </w:r>
          </w:p>
        </w:tc>
        <w:tc>
          <w:tcPr>
            <w:tcW w:w="960" w:type="dxa"/>
            <w:vAlign w:val="bottom"/>
          </w:tcPr>
          <w:p>
            <w:pPr>
              <w:spacing w:after="0"/>
              <w:rPr>
                <w:sz w:val="24"/>
                <w:szCs w:val="24"/>
                <w:color w:val="auto"/>
              </w:rPr>
            </w:pPr>
          </w:p>
        </w:tc>
        <w:tc>
          <w:tcPr>
            <w:tcW w:w="10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(b)</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(c)</w:t>
            </w:r>
          </w:p>
        </w:tc>
        <w:tc>
          <w:tcPr>
            <w:tcW w:w="360" w:type="dxa"/>
            <w:vAlign w:val="bottom"/>
          </w:tcPr>
          <w:p>
            <w:pPr>
              <w:spacing w:after="0"/>
              <w:rPr>
                <w:sz w:val="24"/>
                <w:szCs w:val="24"/>
                <w:color w:val="auto"/>
              </w:rPr>
            </w:pPr>
          </w:p>
        </w:tc>
        <w:tc>
          <w:tcPr>
            <w:tcW w:w="15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(d)</w:t>
            </w:r>
          </w:p>
        </w:tc>
        <w:tc>
          <w:tcPr>
            <w:tcW w:w="320" w:type="dxa"/>
            <w:vAlign w:val="bottom"/>
          </w:tcPr>
          <w:p>
            <w:pPr>
              <w:spacing w:after="0"/>
              <w:rPr>
                <w:sz w:val="24"/>
                <w:szCs w:val="24"/>
                <w:color w:val="auto"/>
              </w:rPr>
            </w:pPr>
          </w:p>
        </w:tc>
        <w:tc>
          <w:tcPr>
            <w:tcW w:w="13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(i)</w:t>
            </w:r>
          </w:p>
        </w:tc>
        <w:tc>
          <w:tcPr>
            <w:tcW w:w="0" w:type="dxa"/>
            <w:vAlign w:val="bottom"/>
          </w:tcPr>
          <w:p>
            <w:pPr>
              <w:spacing w:after="0"/>
              <w:rPr>
                <w:sz w:val="1"/>
                <w:szCs w:val="1"/>
                <w:color w:val="auto"/>
              </w:rPr>
            </w:pPr>
          </w:p>
        </w:tc>
      </w:tr>
      <w:tr>
        <w:trPr>
          <w:trHeight w:val="170"/>
        </w:trPr>
        <w:tc>
          <w:tcPr>
            <w:tcW w:w="2900" w:type="dxa"/>
            <w:vAlign w:val="bottom"/>
          </w:tcPr>
          <w:p>
            <w:pPr>
              <w:ind w:left="880"/>
              <w:spacing w:after="0"/>
              <w:rPr>
                <w:sz w:val="20"/>
                <w:szCs w:val="20"/>
                <w:color w:val="auto"/>
              </w:rPr>
            </w:pPr>
            <w:r>
              <w:rPr>
                <w:rFonts w:ascii="Courier New" w:cs="Courier New" w:eastAsia="Courier New" w:hAnsi="Courier New"/>
                <w:sz w:val="15"/>
                <w:szCs w:val="15"/>
                <w:color w:val="auto"/>
              </w:rPr>
              <w:t>Identity of</w:t>
            </w:r>
          </w:p>
        </w:tc>
        <w:tc>
          <w:tcPr>
            <w:tcW w:w="9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Purchase</w:t>
            </w:r>
          </w:p>
        </w:tc>
        <w:tc>
          <w:tcPr>
            <w:tcW w:w="360" w:type="dxa"/>
            <w:vAlign w:val="bottom"/>
          </w:tcPr>
          <w:p>
            <w:pPr>
              <w:spacing w:after="0"/>
              <w:rPr>
                <w:sz w:val="14"/>
                <w:szCs w:val="14"/>
                <w:color w:val="auto"/>
              </w:rPr>
            </w:pPr>
          </w:p>
        </w:tc>
        <w:tc>
          <w:tcPr>
            <w:tcW w:w="15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8"/>
              </w:rPr>
              <w:t>Selling</w:t>
            </w:r>
          </w:p>
        </w:tc>
        <w:tc>
          <w:tcPr>
            <w:tcW w:w="320" w:type="dxa"/>
            <w:vAlign w:val="bottom"/>
          </w:tcPr>
          <w:p>
            <w:pPr>
              <w:spacing w:after="0"/>
              <w:rPr>
                <w:sz w:val="14"/>
                <w:szCs w:val="14"/>
                <w:color w:val="auto"/>
              </w:rPr>
            </w:pP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Net gain</w:t>
            </w:r>
          </w:p>
        </w:tc>
        <w:tc>
          <w:tcPr>
            <w:tcW w:w="0" w:type="dxa"/>
            <w:vAlign w:val="bottom"/>
          </w:tcPr>
          <w:p>
            <w:pPr>
              <w:spacing w:after="0"/>
              <w:rPr>
                <w:sz w:val="1"/>
                <w:szCs w:val="1"/>
                <w:color w:val="auto"/>
              </w:rPr>
            </w:pPr>
          </w:p>
        </w:tc>
      </w:tr>
      <w:tr>
        <w:trPr>
          <w:trHeight w:val="170"/>
        </w:trPr>
        <w:tc>
          <w:tcPr>
            <w:tcW w:w="2900" w:type="dxa"/>
            <w:vAlign w:val="bottom"/>
          </w:tcPr>
          <w:p>
            <w:pPr>
              <w:ind w:left="700"/>
              <w:spacing w:after="0"/>
              <w:rPr>
                <w:sz w:val="20"/>
                <w:szCs w:val="20"/>
                <w:color w:val="auto"/>
              </w:rPr>
            </w:pPr>
            <w:r>
              <w:rPr>
                <w:rFonts w:ascii="Courier New" w:cs="Courier New" w:eastAsia="Courier New" w:hAnsi="Courier New"/>
                <w:sz w:val="15"/>
                <w:szCs w:val="15"/>
                <w:color w:val="auto"/>
              </w:rPr>
              <w:t>party involved</w:t>
            </w:r>
          </w:p>
        </w:tc>
        <w:tc>
          <w:tcPr>
            <w:tcW w:w="2300" w:type="dxa"/>
            <w:vAlign w:val="bottom"/>
            <w:gridSpan w:val="3"/>
          </w:tcPr>
          <w:p>
            <w:pPr>
              <w:jc w:val="center"/>
              <w:ind w:left="447"/>
              <w:spacing w:after="0"/>
              <w:rPr>
                <w:sz w:val="20"/>
                <w:szCs w:val="20"/>
                <w:color w:val="auto"/>
              </w:rPr>
            </w:pPr>
            <w:r>
              <w:rPr>
                <w:rFonts w:ascii="Courier New" w:cs="Courier New" w:eastAsia="Courier New" w:hAnsi="Courier New"/>
                <w:sz w:val="15"/>
                <w:szCs w:val="15"/>
                <w:color w:val="auto"/>
                <w:w w:val="98"/>
              </w:rPr>
              <w:t>Description of asset</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price</w:t>
            </w:r>
          </w:p>
        </w:tc>
        <w:tc>
          <w:tcPr>
            <w:tcW w:w="360" w:type="dxa"/>
            <w:vAlign w:val="bottom"/>
          </w:tcPr>
          <w:p>
            <w:pPr>
              <w:spacing w:after="0"/>
              <w:rPr>
                <w:sz w:val="14"/>
                <w:szCs w:val="14"/>
                <w:color w:val="auto"/>
              </w:rPr>
            </w:pPr>
          </w:p>
        </w:tc>
        <w:tc>
          <w:tcPr>
            <w:tcW w:w="15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price</w:t>
            </w:r>
          </w:p>
        </w:tc>
        <w:tc>
          <w:tcPr>
            <w:tcW w:w="320" w:type="dxa"/>
            <w:vAlign w:val="bottom"/>
          </w:tcPr>
          <w:p>
            <w:pPr>
              <w:spacing w:after="0"/>
              <w:rPr>
                <w:sz w:val="14"/>
                <w:szCs w:val="14"/>
                <w:color w:val="auto"/>
              </w:rPr>
            </w:pP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or (loss)</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304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1"/>
                <w:szCs w:val="21"/>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Camco/Schlumberger Stock Fund</w:t>
            </w:r>
          </w:p>
        </w:tc>
        <w:tc>
          <w:tcPr>
            <w:tcW w:w="19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Employer common stock</w:t>
            </w:r>
          </w:p>
        </w:tc>
        <w:tc>
          <w:tcPr>
            <w:tcW w:w="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7</w:t>
            </w:r>
          </w:p>
        </w:tc>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35,867</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8,176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(959)</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19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60 purchases,</w:t>
            </w:r>
          </w:p>
        </w:tc>
        <w:tc>
          <w:tcPr>
            <w:tcW w:w="32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36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AET Equity Index Fund I</w:t>
            </w:r>
          </w:p>
        </w:tc>
        <w:tc>
          <w:tcPr>
            <w:tcW w:w="23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Common/collective trusts:</w:t>
            </w:r>
          </w:p>
        </w:tc>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22"/>
                <w:szCs w:val="22"/>
                <w:color w:val="auto"/>
              </w:rPr>
            </w:pPr>
          </w:p>
        </w:tc>
        <w:tc>
          <w:tcPr>
            <w:tcW w:w="17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306,262</w:t>
            </w:r>
          </w:p>
        </w:tc>
        <w:tc>
          <w:tcPr>
            <w:tcW w:w="360" w:type="dxa"/>
            <w:vAlign w:val="bottom"/>
          </w:tcPr>
          <w:p>
            <w:pPr>
              <w:spacing w:after="0"/>
              <w:rPr>
                <w:sz w:val="22"/>
                <w:szCs w:val="22"/>
                <w:color w:val="auto"/>
              </w:rPr>
            </w:pP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41,269</w:t>
            </w:r>
          </w:p>
        </w:tc>
        <w:tc>
          <w:tcPr>
            <w:tcW w:w="320" w:type="dxa"/>
            <w:vAlign w:val="bottom"/>
          </w:tcPr>
          <w:p>
            <w:pPr>
              <w:spacing w:after="0"/>
              <w:rPr>
                <w:sz w:val="22"/>
                <w:szCs w:val="22"/>
                <w:color w:val="auto"/>
              </w:rPr>
            </w:pPr>
          </w:p>
        </w:tc>
        <w:tc>
          <w:tcPr>
            <w:tcW w:w="1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(4,496)</w:t>
            </w:r>
          </w:p>
        </w:tc>
        <w:tc>
          <w:tcPr>
            <w:tcW w:w="0" w:type="dxa"/>
            <w:vAlign w:val="bottom"/>
          </w:tcPr>
          <w:p>
            <w:pPr>
              <w:spacing w:after="0"/>
              <w:rPr>
                <w:sz w:val="1"/>
                <w:szCs w:val="1"/>
                <w:color w:val="auto"/>
              </w:rPr>
            </w:pPr>
          </w:p>
        </w:tc>
      </w:tr>
      <w:tr>
        <w:trPr>
          <w:trHeight w:val="246"/>
        </w:trPr>
        <w:tc>
          <w:tcPr>
            <w:tcW w:w="2900" w:type="dxa"/>
            <w:vAlign w:val="bottom"/>
            <w:vMerge w:val="continue"/>
          </w:tcPr>
          <w:p>
            <w:pPr>
              <w:spacing w:after="0"/>
              <w:rPr>
                <w:sz w:val="21"/>
                <w:szCs w:val="21"/>
                <w:color w:val="auto"/>
              </w:rPr>
            </w:pPr>
          </w:p>
        </w:tc>
        <w:tc>
          <w:tcPr>
            <w:tcW w:w="19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36 purchases,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c>
          <w:tcPr>
            <w:tcW w:w="7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AET Income Fund II</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purchases,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24"/>
                <w:szCs w:val="24"/>
                <w:color w:val="auto"/>
              </w:rPr>
            </w:pPr>
          </w:p>
        </w:tc>
        <w:tc>
          <w:tcPr>
            <w:tcW w:w="1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531,187</w:t>
            </w:r>
          </w:p>
        </w:tc>
        <w:tc>
          <w:tcPr>
            <w:tcW w:w="360" w:type="dxa"/>
            <w:vAlign w:val="bottom"/>
          </w:tcPr>
          <w:p>
            <w:pPr>
              <w:spacing w:after="0"/>
              <w:rPr>
                <w:sz w:val="24"/>
                <w:szCs w:val="2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579,173</w:t>
            </w:r>
          </w:p>
        </w:tc>
        <w:tc>
          <w:tcPr>
            <w:tcW w:w="320" w:type="dxa"/>
            <w:vAlign w:val="bottom"/>
          </w:tcPr>
          <w:p>
            <w:pPr>
              <w:spacing w:after="0"/>
              <w:rPr>
                <w:sz w:val="24"/>
                <w:szCs w:val="24"/>
                <w:color w:val="auto"/>
              </w:rPr>
            </w:pP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80,874</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2"/>
                <w:szCs w:val="22"/>
                <w:color w:val="auto"/>
              </w:rPr>
            </w:pPr>
          </w:p>
        </w:tc>
        <w:tc>
          <w:tcPr>
            <w:tcW w:w="19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Registered investment</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IDS International Fund</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w w:val="95"/>
              </w:rPr>
              <w:t>companies:</w:t>
            </w:r>
          </w:p>
        </w:tc>
        <w:tc>
          <w:tcPr>
            <w:tcW w:w="102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9"/>
              </w:rPr>
              <w:t>purchases,</w:t>
            </w:r>
          </w:p>
        </w:tc>
        <w:tc>
          <w:tcPr>
            <w:tcW w:w="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17</w:t>
            </w:r>
          </w:p>
        </w:tc>
        <w:tc>
          <w:tcPr>
            <w:tcW w:w="740" w:type="dxa"/>
            <w:vAlign w:val="bottom"/>
            <w:vMerge w:val="restart"/>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14"/>
                <w:szCs w:val="14"/>
                <w:color w:val="auto"/>
              </w:rPr>
            </w:pPr>
          </w:p>
        </w:tc>
        <w:tc>
          <w:tcPr>
            <w:tcW w:w="17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64,076</w:t>
            </w:r>
          </w:p>
        </w:tc>
        <w:tc>
          <w:tcPr>
            <w:tcW w:w="360" w:type="dxa"/>
            <w:vAlign w:val="bottom"/>
          </w:tcPr>
          <w:p>
            <w:pPr>
              <w:spacing w:after="0"/>
              <w:rPr>
                <w:sz w:val="14"/>
                <w:szCs w:val="14"/>
                <w:color w:val="auto"/>
              </w:rPr>
            </w:pPr>
          </w:p>
        </w:tc>
        <w:tc>
          <w:tcPr>
            <w:tcW w:w="15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36,023</w:t>
            </w:r>
          </w:p>
        </w:tc>
        <w:tc>
          <w:tcPr>
            <w:tcW w:w="320" w:type="dxa"/>
            <w:vAlign w:val="bottom"/>
          </w:tcPr>
          <w:p>
            <w:pPr>
              <w:spacing w:after="0"/>
              <w:rPr>
                <w:sz w:val="14"/>
                <w:szCs w:val="14"/>
                <w:color w:val="auto"/>
              </w:rPr>
            </w:pPr>
          </w:p>
        </w:tc>
        <w:tc>
          <w:tcPr>
            <w:tcW w:w="134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884</w:t>
            </w:r>
          </w:p>
        </w:tc>
        <w:tc>
          <w:tcPr>
            <w:tcW w:w="0" w:type="dxa"/>
            <w:vAlign w:val="bottom"/>
          </w:tcPr>
          <w:p>
            <w:pPr>
              <w:spacing w:after="0"/>
              <w:rPr>
                <w:sz w:val="1"/>
                <w:szCs w:val="1"/>
                <w:color w:val="auto"/>
              </w:rPr>
            </w:pPr>
          </w:p>
        </w:tc>
      </w:tr>
      <w:tr>
        <w:trPr>
          <w:trHeight w:val="246"/>
        </w:trPr>
        <w:tc>
          <w:tcPr>
            <w:tcW w:w="2900" w:type="dxa"/>
            <w:vAlign w:val="bottom"/>
            <w:vMerge w:val="continue"/>
          </w:tcPr>
          <w:p>
            <w:pPr>
              <w:spacing w:after="0"/>
              <w:rPr>
                <w:sz w:val="21"/>
                <w:szCs w:val="21"/>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c>
          <w:tcPr>
            <w:tcW w:w="102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IDS New Dimensions Fund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purchases,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24"/>
                <w:szCs w:val="24"/>
                <w:color w:val="auto"/>
              </w:rPr>
            </w:pPr>
          </w:p>
        </w:tc>
        <w:tc>
          <w:tcPr>
            <w:tcW w:w="1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632,405</w:t>
            </w:r>
          </w:p>
        </w:tc>
        <w:tc>
          <w:tcPr>
            <w:tcW w:w="360" w:type="dxa"/>
            <w:vAlign w:val="bottom"/>
          </w:tcPr>
          <w:p>
            <w:pPr>
              <w:spacing w:after="0"/>
              <w:rPr>
                <w:sz w:val="24"/>
                <w:szCs w:val="2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421,871</w:t>
            </w:r>
          </w:p>
        </w:tc>
        <w:tc>
          <w:tcPr>
            <w:tcW w:w="320" w:type="dxa"/>
            <w:vAlign w:val="bottom"/>
          </w:tcPr>
          <w:p>
            <w:pPr>
              <w:spacing w:after="0"/>
              <w:rPr>
                <w:sz w:val="24"/>
                <w:szCs w:val="24"/>
                <w:color w:val="auto"/>
              </w:rPr>
            </w:pP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76,595</w:t>
            </w:r>
          </w:p>
        </w:tc>
        <w:tc>
          <w:tcPr>
            <w:tcW w:w="0" w:type="dxa"/>
            <w:vAlign w:val="bottom"/>
          </w:tcPr>
          <w:p>
            <w:pPr>
              <w:spacing w:after="0"/>
              <w:rPr>
                <w:sz w:val="1"/>
                <w:szCs w:val="1"/>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IDS Stock Fund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purchases,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24"/>
                <w:szCs w:val="24"/>
                <w:color w:val="auto"/>
              </w:rPr>
            </w:pPr>
          </w:p>
        </w:tc>
        <w:tc>
          <w:tcPr>
            <w:tcW w:w="1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218,683</w:t>
            </w:r>
          </w:p>
        </w:tc>
        <w:tc>
          <w:tcPr>
            <w:tcW w:w="360" w:type="dxa"/>
            <w:vAlign w:val="bottom"/>
          </w:tcPr>
          <w:p>
            <w:pPr>
              <w:spacing w:after="0"/>
              <w:rPr>
                <w:sz w:val="24"/>
                <w:szCs w:val="2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541,820</w:t>
            </w:r>
          </w:p>
        </w:tc>
        <w:tc>
          <w:tcPr>
            <w:tcW w:w="320" w:type="dxa"/>
            <w:vAlign w:val="bottom"/>
          </w:tcPr>
          <w:p>
            <w:pPr>
              <w:spacing w:after="0"/>
              <w:rPr>
                <w:sz w:val="24"/>
                <w:szCs w:val="24"/>
                <w:color w:val="auto"/>
              </w:rPr>
            </w:pP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13,112</w:t>
            </w:r>
          </w:p>
        </w:tc>
        <w:tc>
          <w:tcPr>
            <w:tcW w:w="0" w:type="dxa"/>
            <w:vAlign w:val="bottom"/>
          </w:tcPr>
          <w:p>
            <w:pPr>
              <w:spacing w:after="0"/>
              <w:rPr>
                <w:sz w:val="1"/>
                <w:szCs w:val="1"/>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IDS Mutual Fund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purchases,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24"/>
                <w:szCs w:val="24"/>
                <w:color w:val="auto"/>
              </w:rPr>
            </w:pPr>
          </w:p>
        </w:tc>
        <w:tc>
          <w:tcPr>
            <w:tcW w:w="1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138,184</w:t>
            </w:r>
          </w:p>
        </w:tc>
        <w:tc>
          <w:tcPr>
            <w:tcW w:w="360" w:type="dxa"/>
            <w:vAlign w:val="bottom"/>
          </w:tcPr>
          <w:p>
            <w:pPr>
              <w:spacing w:after="0"/>
              <w:rPr>
                <w:sz w:val="24"/>
                <w:szCs w:val="2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111,681</w:t>
            </w:r>
          </w:p>
        </w:tc>
        <w:tc>
          <w:tcPr>
            <w:tcW w:w="320" w:type="dxa"/>
            <w:vAlign w:val="bottom"/>
          </w:tcPr>
          <w:p>
            <w:pPr>
              <w:spacing w:after="0"/>
              <w:rPr>
                <w:sz w:val="24"/>
                <w:szCs w:val="24"/>
                <w:color w:val="auto"/>
              </w:rPr>
            </w:pP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6,799</w:t>
            </w:r>
          </w:p>
        </w:tc>
        <w:tc>
          <w:tcPr>
            <w:tcW w:w="0" w:type="dxa"/>
            <w:vAlign w:val="bottom"/>
          </w:tcPr>
          <w:p>
            <w:pPr>
              <w:spacing w:after="0"/>
              <w:rPr>
                <w:sz w:val="1"/>
                <w:szCs w:val="1"/>
                <w:color w:val="auto"/>
              </w:rPr>
            </w:pP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IDS Federal Income Fund</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w:t>
            </w:r>
          </w:p>
        </w:tc>
        <w:tc>
          <w:tcPr>
            <w:tcW w:w="102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purchases,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24"/>
                <w:szCs w:val="24"/>
                <w:color w:val="auto"/>
              </w:rPr>
            </w:pPr>
          </w:p>
        </w:tc>
        <w:tc>
          <w:tcPr>
            <w:tcW w:w="1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728,442</w:t>
            </w:r>
          </w:p>
        </w:tc>
        <w:tc>
          <w:tcPr>
            <w:tcW w:w="360" w:type="dxa"/>
            <w:vAlign w:val="bottom"/>
          </w:tcPr>
          <w:p>
            <w:pPr>
              <w:spacing w:after="0"/>
              <w:rPr>
                <w:sz w:val="24"/>
                <w:szCs w:val="2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577,511</w:t>
            </w:r>
          </w:p>
        </w:tc>
        <w:tc>
          <w:tcPr>
            <w:tcW w:w="320" w:type="dxa"/>
            <w:vAlign w:val="bottom"/>
          </w:tcPr>
          <w:p>
            <w:pPr>
              <w:spacing w:after="0"/>
              <w:rPr>
                <w:sz w:val="24"/>
                <w:szCs w:val="24"/>
                <w:color w:val="auto"/>
              </w:rPr>
            </w:pP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1,002</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AIM Constellation Fund</w:t>
            </w:r>
          </w:p>
        </w:tc>
        <w:tc>
          <w:tcPr>
            <w:tcW w:w="19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28 purchases,</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spacing w:after="0"/>
              <w:rPr>
                <w:sz w:val="22"/>
                <w:szCs w:val="22"/>
                <w:color w:val="auto"/>
              </w:rPr>
            </w:pPr>
          </w:p>
        </w:tc>
        <w:tc>
          <w:tcPr>
            <w:tcW w:w="1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115,565</w:t>
            </w:r>
          </w:p>
        </w:tc>
        <w:tc>
          <w:tcPr>
            <w:tcW w:w="360" w:type="dxa"/>
            <w:vAlign w:val="bottom"/>
          </w:tcPr>
          <w:p>
            <w:pPr>
              <w:spacing w:after="0"/>
              <w:rPr>
                <w:sz w:val="22"/>
                <w:szCs w:val="22"/>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16,761</w:t>
            </w:r>
          </w:p>
        </w:tc>
        <w:tc>
          <w:tcPr>
            <w:tcW w:w="320" w:type="dxa"/>
            <w:vAlign w:val="bottom"/>
          </w:tcPr>
          <w:p>
            <w:pPr>
              <w:spacing w:after="0"/>
              <w:rPr>
                <w:sz w:val="22"/>
                <w:szCs w:val="22"/>
                <w:color w:val="auto"/>
              </w:rPr>
            </w:pP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(2,005)</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2,770,671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2,334,285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171,806</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9"/>
        </w:trPr>
        <w:tc>
          <w:tcPr>
            <w:tcW w:w="2900" w:type="dxa"/>
            <w:vAlign w:val="bottom"/>
          </w:tcPr>
          <w:p>
            <w:pPr>
              <w:spacing w:after="0"/>
              <w:rPr>
                <w:sz w:val="24"/>
                <w:szCs w:val="24"/>
                <w:color w:val="auto"/>
              </w:rPr>
            </w:pPr>
          </w:p>
        </w:tc>
        <w:tc>
          <w:tcPr>
            <w:tcW w:w="96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9"/>
              </w:rPr>
              <w:t>-10-</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601" w:right="1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20" w:type="dxa"/>
            <w:vAlign w:val="bottom"/>
          </w:tcPr>
          <w:p>
            <w:pPr>
              <w:spacing w:after="0"/>
              <w:rPr>
                <w:sz w:val="21"/>
                <w:szCs w:val="21"/>
                <w:color w:val="auto"/>
              </w:rPr>
            </w:pPr>
          </w:p>
        </w:tc>
        <w:tc>
          <w:tcPr>
            <w:tcW w:w="402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020" w:type="dxa"/>
            <w:vAlign w:val="bottom"/>
            <w:vMerge w:val="restart"/>
          </w:tcPr>
          <w:p>
            <w:pPr>
              <w:jc w:val="right"/>
              <w:ind w:right="1507"/>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0"/>
        </w:trPr>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No.</w:t>
            </w:r>
          </w:p>
        </w:tc>
        <w:tc>
          <w:tcPr>
            <w:tcW w:w="4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9"/>
        </w:trPr>
        <w:tc>
          <w:tcPr>
            <w:tcW w:w="820" w:type="dxa"/>
            <w:vAlign w:val="bottom"/>
          </w:tcPr>
          <w:p>
            <w:pPr>
              <w:ind w:left="160"/>
              <w:spacing w:after="0"/>
              <w:rPr>
                <w:sz w:val="20"/>
                <w:szCs w:val="20"/>
                <w:color w:val="auto"/>
              </w:rPr>
            </w:pPr>
            <w:r>
              <w:rPr>
                <w:rFonts w:ascii="Courier New" w:cs="Courier New" w:eastAsia="Courier New" w:hAnsi="Courier New"/>
                <w:sz w:val="15"/>
                <w:szCs w:val="15"/>
                <w:color w:val="auto"/>
              </w:rPr>
              <w:t>23</w:t>
            </w:r>
          </w:p>
        </w:tc>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w w:val="98"/>
              </w:rPr>
              <w:t>-- Consent of Larkin, Ervin &amp; Shirley, L.L.P.</w:t>
            </w:r>
          </w:p>
        </w:tc>
        <w:tc>
          <w:tcPr>
            <w:tcW w:w="0" w:type="dxa"/>
            <w:vAlign w:val="bottom"/>
          </w:tcPr>
          <w:p>
            <w:pPr>
              <w:spacing w:after="0"/>
              <w:rPr>
                <w:sz w:val="1"/>
                <w:szCs w:val="1"/>
                <w:color w:val="auto"/>
              </w:rPr>
            </w:pPr>
          </w:p>
        </w:tc>
      </w:tr>
    </w:tbl>
    <w:p>
      <w:pPr>
        <w:sectPr>
          <w:pgSz w:w="11900" w:h="16838" w:orient="portrait"/>
          <w:cols w:equalWidth="0" w:num="1">
            <w:col w:w="10219"/>
          </w:cols>
          <w:pgMar w:left="240" w:top="771" w:right="1440" w:bottom="1440" w:gutter="0" w:footer="0" w:header="0"/>
        </w:sectPr>
      </w:pPr>
    </w:p>
    <w:bookmarkStart w:id="14" w:name="page15"/>
    <w:bookmarkEnd w:id="14"/>
    <w:p>
      <w:pPr>
        <w:jc w:val="right"/>
        <w:ind w:right="3179"/>
        <w:spacing w:after="0"/>
        <w:rPr>
          <w:sz w:val="20"/>
          <w:szCs w:val="20"/>
          <w:color w:val="auto"/>
        </w:rPr>
      </w:pPr>
      <w:r>
        <w:rPr>
          <w:rFonts w:ascii="Courier New" w:cs="Courier New" w:eastAsia="Courier New" w:hAnsi="Courier New"/>
          <w:sz w:val="15"/>
          <w:szCs w:val="15"/>
          <w:color w:val="auto"/>
        </w:rPr>
        <w:t>EXHIBIT 23</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69" w:lineRule="exact"/>
        <w:rPr>
          <w:sz w:val="20"/>
          <w:szCs w:val="20"/>
          <w:color w:val="auto"/>
        </w:rPr>
      </w:pPr>
    </w:p>
    <w:p>
      <w:pPr>
        <w:ind w:right="3359"/>
        <w:spacing w:after="0" w:line="275" w:lineRule="auto"/>
        <w:rPr>
          <w:sz w:val="20"/>
          <w:szCs w:val="20"/>
          <w:color w:val="auto"/>
        </w:rPr>
      </w:pPr>
      <w:r>
        <w:rPr>
          <w:rFonts w:ascii="Courier New" w:cs="Courier New" w:eastAsia="Courier New" w:hAnsi="Courier New"/>
          <w:sz w:val="15"/>
          <w:szCs w:val="15"/>
          <w:color w:val="auto"/>
        </w:rPr>
        <w:t>We hereby consent to the incorporation by reference in Registration Statement No. 333-81715 of Schlumberger Limited on Form S-8 of our report dated June 11, 1999, appearing in this Annual Report on Form 11-K of the Reed Hourly Thrift Plan for the year ended December 31, 1998.</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LARKIN, ERVIN &amp; SHIRLEY,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28, 1999</w:t>
      </w:r>
    </w:p>
    <w:sectPr>
      <w:pgSz w:w="11900" w:h="16838" w:orient="portrait"/>
      <w:cols w:equalWidth="0" w:num="1">
        <w:col w:w="10219"/>
      </w:cols>
      <w:pgMar w:left="240" w:top="6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2020-02-22T13:51:09Z</dcterms:created>
  <dcterms:modified xsi:type="dcterms:W3CDTF">2020-02-22T13:51:09Z</dcterms:modified>
</cp:coreProperties>
</file>