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40"/>
        <w:spacing w:after="0"/>
        <w:rPr>
          <w:sz w:val="20"/>
          <w:szCs w:val="20"/>
          <w:color w:val="auto"/>
        </w:rPr>
      </w:pPr>
      <w:r>
        <w:rPr>
          <w:rFonts w:ascii="Courier New" w:cs="Courier New" w:eastAsia="Courier New" w:hAnsi="Courier New"/>
          <w:sz w:val="16"/>
          <w:szCs w:val="16"/>
          <w:color w:val="auto"/>
        </w:rPr>
        <w:t>SECURITIES AND EXCHANGE COMMISSION</w:t>
      </w:r>
    </w:p>
    <w:p>
      <w:pPr>
        <w:ind w:left="2600"/>
        <w:spacing w:after="0"/>
        <w:tabs>
          <w:tab w:leader="none" w:pos="4260" w:val="left"/>
        </w:tabs>
        <w:rPr>
          <w:sz w:val="20"/>
          <w:szCs w:val="20"/>
          <w:color w:val="auto"/>
        </w:rPr>
      </w:pPr>
      <w:r>
        <w:rPr>
          <w:rFonts w:ascii="Courier New" w:cs="Courier New" w:eastAsia="Courier New" w:hAnsi="Courier New"/>
          <w:sz w:val="16"/>
          <w:szCs w:val="16"/>
          <w:color w:val="auto"/>
        </w:rPr>
        <w:t>Washington, D.C.</w:t>
      </w:r>
      <w:r>
        <w:rPr>
          <w:sz w:val="20"/>
          <w:szCs w:val="20"/>
          <w:color w:val="auto"/>
        </w:rPr>
        <w:tab/>
      </w:r>
      <w:r>
        <w:rPr>
          <w:rFonts w:ascii="Courier New" w:cs="Courier New" w:eastAsia="Courier New" w:hAnsi="Courier New"/>
          <w:sz w:val="14"/>
          <w:szCs w:val="14"/>
          <w:color w:val="auto"/>
        </w:rPr>
        <w:t>20549</w:t>
      </w:r>
    </w:p>
    <w:p>
      <w:pPr>
        <w:ind w:left="2040"/>
        <w:spacing w:after="0" w:line="237" w:lineRule="auto"/>
        <w:rPr>
          <w:sz w:val="20"/>
          <w:szCs w:val="20"/>
          <w:color w:val="auto"/>
        </w:rPr>
      </w:pPr>
      <w:r>
        <w:rPr>
          <w:rFonts w:ascii="Courier New" w:cs="Courier New" w:eastAsia="Courier New" w:hAnsi="Courier New"/>
          <w:sz w:val="16"/>
          <w:szCs w:val="16"/>
          <w:color w:val="auto"/>
        </w:rPr>
        <w:t>----------------------------------</w:t>
      </w:r>
    </w:p>
    <w:p>
      <w:pPr>
        <w:spacing w:after="0" w:line="177" w:lineRule="exact"/>
        <w:rPr>
          <w:sz w:val="24"/>
          <w:szCs w:val="24"/>
          <w:color w:val="auto"/>
        </w:rPr>
      </w:pPr>
    </w:p>
    <w:p>
      <w:pPr>
        <w:ind w:left="3260"/>
        <w:spacing w:after="0"/>
        <w:rPr>
          <w:sz w:val="20"/>
          <w:szCs w:val="20"/>
          <w:color w:val="auto"/>
        </w:rPr>
      </w:pPr>
      <w:r>
        <w:rPr>
          <w:rFonts w:ascii="Courier New" w:cs="Courier New" w:eastAsia="Courier New" w:hAnsi="Courier New"/>
          <w:sz w:val="16"/>
          <w:szCs w:val="16"/>
          <w:color w:val="auto"/>
        </w:rPr>
        <w:t>FORM 10-Q</w:t>
      </w:r>
    </w:p>
    <w:p>
      <w:pPr>
        <w:ind w:left="3260"/>
        <w:spacing w:after="0" w:line="236" w:lineRule="auto"/>
        <w:rPr>
          <w:sz w:val="20"/>
          <w:szCs w:val="20"/>
          <w:color w:val="auto"/>
        </w:rPr>
      </w:pPr>
      <w:r>
        <w:rPr>
          <w:rFonts w:ascii="Courier New" w:cs="Courier New" w:eastAsia="Courier New" w:hAnsi="Courier New"/>
          <w:sz w:val="16"/>
          <w:szCs w:val="16"/>
          <w:color w:val="auto"/>
        </w:rPr>
        <w:t>---------</w:t>
      </w:r>
    </w:p>
    <w:p>
      <w:pPr>
        <w:spacing w:after="0" w:line="362" w:lineRule="exact"/>
        <w:rPr>
          <w:sz w:val="24"/>
          <w:szCs w:val="24"/>
          <w:color w:val="auto"/>
        </w:rPr>
      </w:pPr>
    </w:p>
    <w:p>
      <w:pPr>
        <w:jc w:val="center"/>
        <w:ind w:right="2979"/>
        <w:spacing w:after="0"/>
        <w:rPr>
          <w:sz w:val="20"/>
          <w:szCs w:val="20"/>
          <w:color w:val="auto"/>
        </w:rPr>
      </w:pPr>
      <w:r>
        <w:rPr>
          <w:rFonts w:ascii="Courier New" w:cs="Courier New" w:eastAsia="Courier New" w:hAnsi="Courier New"/>
          <w:sz w:val="14"/>
          <w:szCs w:val="14"/>
          <w:color w:val="auto"/>
        </w:rPr>
        <w:t>QUARTERLY REPORT UNDER SECTION 13 OR 15(d)</w:t>
      </w:r>
    </w:p>
    <w:p>
      <w:pPr>
        <w:spacing w:after="0" w:line="14" w:lineRule="exact"/>
        <w:rPr>
          <w:sz w:val="24"/>
          <w:szCs w:val="24"/>
          <w:color w:val="auto"/>
        </w:rPr>
      </w:pPr>
    </w:p>
    <w:p>
      <w:pPr>
        <w:jc w:val="center"/>
        <w:ind w:right="2979"/>
        <w:spacing w:after="0"/>
        <w:rPr>
          <w:sz w:val="20"/>
          <w:szCs w:val="20"/>
          <w:color w:val="auto"/>
        </w:rPr>
      </w:pPr>
      <w:r>
        <w:rPr>
          <w:rFonts w:ascii="Courier New" w:cs="Courier New" w:eastAsia="Courier New" w:hAnsi="Courier New"/>
          <w:sz w:val="16"/>
          <w:szCs w:val="16"/>
          <w:color w:val="auto"/>
        </w:rPr>
        <w:t>OF THE SECURITIES EXCHANGE ACT OF 1934</w:t>
      </w:r>
    </w:p>
    <w:p>
      <w:pPr>
        <w:spacing w:after="0" w:line="4" w:lineRule="exact"/>
        <w:rPr>
          <w:sz w:val="24"/>
          <w:szCs w:val="24"/>
          <w:color w:val="auto"/>
        </w:rPr>
      </w:pPr>
    </w:p>
    <w:p>
      <w:pPr>
        <w:ind w:left="16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589" w:right="1440" w:bottom="1440" w:gutter="0" w:footer="0" w:header="0"/>
        </w:sectPr>
      </w:pPr>
    </w:p>
    <w:p>
      <w:pPr>
        <w:spacing w:after="0" w:line="378" w:lineRule="exact"/>
        <w:rPr>
          <w:sz w:val="24"/>
          <w:szCs w:val="24"/>
          <w:color w:val="auto"/>
        </w:rPr>
      </w:pPr>
    </w:p>
    <w:p>
      <w:pPr>
        <w:jc w:val="center"/>
        <w:ind w:right="1980"/>
        <w:spacing w:after="0"/>
        <w:rPr>
          <w:sz w:val="20"/>
          <w:szCs w:val="20"/>
          <w:color w:val="auto"/>
        </w:rPr>
      </w:pPr>
      <w:r>
        <w:rPr>
          <w:rFonts w:ascii="Courier New" w:cs="Courier New" w:eastAsia="Courier New" w:hAnsi="Courier New"/>
          <w:sz w:val="14"/>
          <w:szCs w:val="14"/>
          <w:color w:val="auto"/>
        </w:rPr>
        <w:t>For the Quarter ended:</w:t>
      </w:r>
    </w:p>
    <w:p>
      <w:pPr>
        <w:spacing w:after="0" w:line="14" w:lineRule="exact"/>
        <w:rPr>
          <w:sz w:val="24"/>
          <w:szCs w:val="24"/>
          <w:color w:val="auto"/>
        </w:rPr>
      </w:pPr>
    </w:p>
    <w:p>
      <w:pPr>
        <w:jc w:val="center"/>
        <w:ind w:right="1880"/>
        <w:spacing w:after="0"/>
        <w:rPr>
          <w:sz w:val="20"/>
          <w:szCs w:val="20"/>
          <w:color w:val="auto"/>
        </w:rPr>
      </w:pPr>
      <w:r>
        <w:rPr>
          <w:rFonts w:ascii="Courier New" w:cs="Courier New" w:eastAsia="Courier New" w:hAnsi="Courier New"/>
          <w:sz w:val="16"/>
          <w:szCs w:val="16"/>
          <w:color w:val="auto"/>
        </w:rPr>
        <w:t>JUNE 30, 1998</w:t>
      </w:r>
    </w:p>
    <w:p>
      <w:pPr>
        <w:spacing w:after="0" w:line="4" w:lineRule="exact"/>
        <w:rPr>
          <w:sz w:val="24"/>
          <w:szCs w:val="24"/>
          <w:color w:val="auto"/>
        </w:rPr>
      </w:pPr>
    </w:p>
    <w:p>
      <w:pPr>
        <w:jc w:val="center"/>
        <w:ind w:right="1880"/>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4"/>
          <w:szCs w:val="24"/>
          <w:color w:val="auto"/>
        </w:rPr>
      </w:pPr>
      <w:r>
        <w:rPr>
          <w:sz w:val="24"/>
          <w:szCs w:val="24"/>
          <w:color w:val="auto"/>
        </w:rPr>
        <w:br w:type="column"/>
      </w:r>
    </w:p>
    <w:p>
      <w:pPr>
        <w:spacing w:after="0" w:line="35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No.:</w:t>
      </w:r>
    </w:p>
    <w:p>
      <w:pPr>
        <w:ind w:left="660"/>
        <w:spacing w:after="0" w:line="236" w:lineRule="auto"/>
        <w:rPr>
          <w:sz w:val="20"/>
          <w:szCs w:val="20"/>
          <w:color w:val="auto"/>
        </w:rPr>
      </w:pPr>
      <w:r>
        <w:rPr>
          <w:rFonts w:ascii="Courier New" w:cs="Courier New" w:eastAsia="Courier New" w:hAnsi="Courier New"/>
          <w:sz w:val="16"/>
          <w:szCs w:val="16"/>
          <w:color w:val="auto"/>
        </w:rPr>
        <w:t>1-4601</w:t>
      </w:r>
    </w:p>
    <w:p>
      <w:pPr>
        <w:spacing w:after="0" w:line="4"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ectPr>
          <w:pgSz w:w="11900" w:h="16838" w:orient="portrait"/>
          <w:cols w:equalWidth="0" w:num="2">
            <w:col w:w="4020" w:space="720"/>
            <w:col w:w="5479"/>
          </w:cols>
          <w:pgMar w:left="240" w:top="589" w:right="1440" w:bottom="1440" w:gutter="0" w:footer="0" w:header="0"/>
          <w:type w:val="continuous"/>
        </w:sectPr>
      </w:pPr>
    </w:p>
    <w:p>
      <w:pPr>
        <w:spacing w:after="0" w:line="351" w:lineRule="exact"/>
        <w:rPr>
          <w:sz w:val="24"/>
          <w:szCs w:val="24"/>
          <w:color w:val="auto"/>
        </w:rPr>
      </w:pPr>
    </w:p>
    <w:p>
      <w:pPr>
        <w:ind w:left="2880"/>
        <w:spacing w:after="0"/>
        <w:rPr>
          <w:sz w:val="20"/>
          <w:szCs w:val="20"/>
          <w:color w:val="auto"/>
        </w:rPr>
      </w:pPr>
      <w:r>
        <w:rPr>
          <w:rFonts w:ascii="Courier New" w:cs="Courier New" w:eastAsia="Courier New" w:hAnsi="Courier New"/>
          <w:sz w:val="16"/>
          <w:szCs w:val="16"/>
          <w:color w:val="auto"/>
        </w:rPr>
        <w:t>SCHLUMBERGER N.V.</w:t>
      </w:r>
    </w:p>
    <w:p>
      <w:pPr>
        <w:ind w:left="2600"/>
        <w:spacing w:after="0" w:line="236" w:lineRule="auto"/>
        <w:rPr>
          <w:sz w:val="20"/>
          <w:szCs w:val="20"/>
          <w:color w:val="auto"/>
        </w:rPr>
      </w:pPr>
      <w:r>
        <w:rPr>
          <w:rFonts w:ascii="Courier New" w:cs="Courier New" w:eastAsia="Courier New" w:hAnsi="Courier New"/>
          <w:sz w:val="16"/>
          <w:szCs w:val="16"/>
          <w:color w:val="auto"/>
        </w:rPr>
        <w:t>(SCHLUMBERGER LIMITED)</w:t>
      </w:r>
    </w:p>
    <w:p>
      <w:pPr>
        <w:spacing w:after="0" w:line="4" w:lineRule="exact"/>
        <w:rPr>
          <w:sz w:val="24"/>
          <w:szCs w:val="24"/>
          <w:color w:val="auto"/>
        </w:rPr>
      </w:pPr>
    </w:p>
    <w:p>
      <w:pPr>
        <w:ind w:left="11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p>
    <w:p>
      <w:pPr>
        <w:ind w:left="120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19"/>
          </w:cols>
          <w:pgMar w:left="240" w:top="589" w:right="1440" w:bottom="1440" w:gutter="0" w:footer="0" w:header="0"/>
          <w:type w:val="continuous"/>
        </w:sectPr>
      </w:pPr>
    </w:p>
    <w:p>
      <w:pPr>
        <w:spacing w:after="0" w:line="200" w:lineRule="exact"/>
        <w:rPr>
          <w:sz w:val="24"/>
          <w:szCs w:val="24"/>
          <w:color w:val="auto"/>
        </w:rPr>
      </w:pPr>
    </w:p>
    <w:p>
      <w:pPr>
        <w:spacing w:after="0" w:line="357" w:lineRule="exact"/>
        <w:rPr>
          <w:sz w:val="24"/>
          <w:szCs w:val="24"/>
          <w:color w:val="auto"/>
        </w:rPr>
      </w:pPr>
    </w:p>
    <w:p>
      <w:pPr>
        <w:ind w:right="1040" w:firstLine="372"/>
        <w:spacing w:after="0" w:line="279" w:lineRule="auto"/>
        <w:rPr>
          <w:sz w:val="20"/>
          <w:szCs w:val="20"/>
          <w:color w:val="auto"/>
        </w:rPr>
      </w:pPr>
      <w:r>
        <w:rPr>
          <w:rFonts w:ascii="Courier New" w:cs="Courier New" w:eastAsia="Courier New" w:hAnsi="Courier New"/>
          <w:sz w:val="14"/>
          <w:szCs w:val="14"/>
          <w:color w:val="auto"/>
        </w:rPr>
        <w:t>NETHERLANDS ANTILLES -------------------- (State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1" w:lineRule="exact"/>
        <w:rPr>
          <w:sz w:val="24"/>
          <w:szCs w:val="24"/>
          <w:color w:val="auto"/>
        </w:rPr>
      </w:pPr>
    </w:p>
    <w:p>
      <w:pPr>
        <w:ind w:left="280"/>
        <w:spacing w:after="0"/>
        <w:rPr>
          <w:sz w:val="20"/>
          <w:szCs w:val="20"/>
          <w:color w:val="auto"/>
        </w:rPr>
      </w:pPr>
      <w:r>
        <w:rPr>
          <w:rFonts w:ascii="Courier New" w:cs="Courier New" w:eastAsia="Courier New" w:hAnsi="Courier New"/>
          <w:sz w:val="16"/>
          <w:szCs w:val="16"/>
          <w:color w:val="auto"/>
        </w:rPr>
        <w:t>52-0684746</w:t>
      </w:r>
    </w:p>
    <w:p>
      <w:pPr>
        <w:ind w:left="280"/>
        <w:spacing w:after="0" w:line="236" w:lineRule="auto"/>
        <w:rPr>
          <w:sz w:val="20"/>
          <w:szCs w:val="20"/>
          <w:color w:val="auto"/>
        </w:rPr>
      </w:pPr>
      <w:r>
        <w:rPr>
          <w:rFonts w:ascii="Courier New" w:cs="Courier New" w:eastAsia="Courier New" w:hAnsi="Courier New"/>
          <w:sz w:val="16"/>
          <w:szCs w:val="16"/>
          <w:color w:val="auto"/>
        </w:rPr>
        <w:t>----------</w:t>
      </w:r>
    </w:p>
    <w:p>
      <w:pPr>
        <w:ind w:left="100"/>
        <w:spacing w:after="0" w:line="237" w:lineRule="auto"/>
        <w:rPr>
          <w:sz w:val="20"/>
          <w:szCs w:val="20"/>
          <w:color w:val="auto"/>
        </w:rPr>
      </w:pPr>
      <w:r>
        <w:rPr>
          <w:rFonts w:ascii="Courier New" w:cs="Courier New" w:eastAsia="Courier New" w:hAnsi="Courier New"/>
          <w:sz w:val="16"/>
          <w:szCs w:val="16"/>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42" w:lineRule="exact"/>
        <w:rPr>
          <w:sz w:val="24"/>
          <w:szCs w:val="24"/>
          <w:color w:val="auto"/>
        </w:rPr>
      </w:pPr>
    </w:p>
    <w:p>
      <w:pPr>
        <w:sectPr>
          <w:pgSz w:w="11900" w:h="16838" w:orient="portrait"/>
          <w:cols w:equalWidth="0" w:num="2">
            <w:col w:w="3920" w:space="720"/>
            <w:col w:w="5579"/>
          </w:cols>
          <w:pgMar w:left="240" w:top="589" w:right="1440" w:bottom="1440" w:gutter="0" w:footer="0" w:header="0"/>
          <w:type w:val="continuous"/>
        </w:sectPr>
      </w:pPr>
    </w:p>
    <w:p>
      <w:pPr>
        <w:spacing w:after="0" w:line="130" w:lineRule="exact"/>
        <w:rPr>
          <w:sz w:val="24"/>
          <w:szCs w:val="24"/>
          <w:color w:val="auto"/>
        </w:rPr>
      </w:pPr>
    </w:p>
    <w:p>
      <w:pPr>
        <w:ind w:left="180"/>
        <w:spacing w:after="0"/>
        <w:rPr>
          <w:sz w:val="20"/>
          <w:szCs w:val="20"/>
          <w:color w:val="auto"/>
        </w:rPr>
      </w:pPr>
      <w:r>
        <w:rPr>
          <w:rFonts w:ascii="Courier New" w:cs="Courier New" w:eastAsia="Courier New" w:hAnsi="Courier New"/>
          <w:sz w:val="16"/>
          <w:szCs w:val="16"/>
          <w:color w:val="auto"/>
        </w:rPr>
        <w:t>277 PARK AVENUE</w:t>
      </w:r>
    </w:p>
    <w:p>
      <w:pPr>
        <w:spacing w:after="0" w:line="4"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NEW YORK, NEW YORK, U.S.A.</w:t>
      </w:r>
    </w:p>
    <w:p>
      <w:pPr>
        <w:spacing w:after="0" w:line="20" w:lineRule="exact"/>
        <w:rPr>
          <w:sz w:val="24"/>
          <w:szCs w:val="24"/>
          <w:color w:val="auto"/>
        </w:rPr>
      </w:pPr>
      <w:r>
        <w:rPr>
          <w:sz w:val="24"/>
          <w:szCs w:val="24"/>
          <w:color w:val="auto"/>
        </w:rPr>
        <w:br w:type="column"/>
      </w:r>
    </w:p>
    <w:p>
      <w:pPr>
        <w:spacing w:after="0" w:line="29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10172</w:t>
      </w:r>
    </w:p>
    <w:p>
      <w:pPr>
        <w:spacing w:after="0" w:line="199" w:lineRule="exact"/>
        <w:rPr>
          <w:sz w:val="24"/>
          <w:szCs w:val="24"/>
          <w:color w:val="auto"/>
        </w:rPr>
      </w:pPr>
    </w:p>
    <w:p>
      <w:pPr>
        <w:sectPr>
          <w:pgSz w:w="11900" w:h="16838" w:orient="portrait"/>
          <w:cols w:equalWidth="0" w:num="2">
            <w:col w:w="4480" w:space="720"/>
            <w:col w:w="5019"/>
          </w:cols>
          <w:pgMar w:left="240" w:top="589"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42 RUE SAINT-DOMINIQUE</w:t>
      </w:r>
    </w:p>
    <w:p>
      <w:pPr>
        <w:spacing w:after="0" w:line="14" w:lineRule="exact"/>
        <w:rPr>
          <w:sz w:val="24"/>
          <w:szCs w:val="24"/>
          <w:color w:val="auto"/>
        </w:rPr>
      </w:pPr>
    </w:p>
    <w:p>
      <w:pPr>
        <w:ind w:left="180"/>
        <w:spacing w:after="0"/>
        <w:rPr>
          <w:sz w:val="20"/>
          <w:szCs w:val="20"/>
          <w:color w:val="auto"/>
        </w:rPr>
      </w:pPr>
      <w:r>
        <w:rPr>
          <w:rFonts w:ascii="Courier New" w:cs="Courier New" w:eastAsia="Courier New" w:hAnsi="Courier New"/>
          <w:sz w:val="16"/>
          <w:szCs w:val="16"/>
          <w:color w:val="auto"/>
        </w:rPr>
        <w:t>PARIS, FRANCE</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75007</w:t>
      </w:r>
    </w:p>
    <w:p>
      <w:pPr>
        <w:spacing w:after="0" w:line="193" w:lineRule="exact"/>
        <w:rPr>
          <w:sz w:val="24"/>
          <w:szCs w:val="24"/>
          <w:color w:val="auto"/>
        </w:rPr>
      </w:pPr>
    </w:p>
    <w:p>
      <w:pPr>
        <w:sectPr>
          <w:pgSz w:w="11900" w:h="16838" w:orient="portrait"/>
          <w:cols w:equalWidth="0" w:num="2">
            <w:col w:w="4480" w:space="720"/>
            <w:col w:w="5019"/>
          </w:cols>
          <w:pgMar w:left="240" w:top="589" w:right="1440" w:bottom="1440" w:gutter="0" w:footer="0" w:header="0"/>
          <w:type w:val="continuous"/>
        </w:sectPr>
      </w:pPr>
    </w:p>
    <w:p>
      <w:pPr>
        <w:ind w:left="180"/>
        <w:spacing w:after="0"/>
        <w:rPr>
          <w:sz w:val="20"/>
          <w:szCs w:val="20"/>
          <w:color w:val="auto"/>
        </w:rPr>
      </w:pPr>
      <w:r>
        <w:rPr>
          <w:rFonts w:ascii="Courier New" w:cs="Courier New" w:eastAsia="Courier New" w:hAnsi="Courier New"/>
          <w:sz w:val="16"/>
          <w:szCs w:val="16"/>
          <w:color w:val="auto"/>
        </w:rPr>
        <w:t>PARKSTRAAT 83</w:t>
      </w:r>
    </w:p>
    <w:p>
      <w:pPr>
        <w:ind w:left="180"/>
        <w:spacing w:after="0" w:line="236" w:lineRule="auto"/>
        <w:rPr>
          <w:sz w:val="20"/>
          <w:szCs w:val="20"/>
          <w:color w:val="auto"/>
        </w:rPr>
      </w:pPr>
      <w:r>
        <w:rPr>
          <w:rFonts w:ascii="Courier New" w:cs="Courier New" w:eastAsia="Courier New" w:hAnsi="Courier New"/>
          <w:sz w:val="16"/>
          <w:szCs w:val="16"/>
          <w:color w:val="auto"/>
        </w:rPr>
        <w:t>THE HAGUE,</w:t>
      </w:r>
    </w:p>
    <w:p>
      <w:pPr>
        <w:ind w:left="180"/>
        <w:spacing w:after="0" w:line="237" w:lineRule="auto"/>
        <w:rPr>
          <w:sz w:val="20"/>
          <w:szCs w:val="20"/>
          <w:color w:val="auto"/>
        </w:rPr>
      </w:pPr>
      <w:r>
        <w:rPr>
          <w:rFonts w:ascii="Courier New" w:cs="Courier New" w:eastAsia="Courier New" w:hAnsi="Courier New"/>
          <w:sz w:val="16"/>
          <w:szCs w:val="16"/>
          <w:color w:val="auto"/>
        </w:rPr>
        <w:t>THE NETHERLANDS</w:t>
      </w:r>
    </w:p>
    <w:p>
      <w:pPr>
        <w:ind w:left="180"/>
        <w:spacing w:after="0" w:line="237" w:lineRule="auto"/>
        <w:rPr>
          <w:sz w:val="20"/>
          <w:szCs w:val="20"/>
          <w:color w:val="auto"/>
        </w:rPr>
      </w:pPr>
      <w:r>
        <w:rPr>
          <w:rFonts w:ascii="Courier New" w:cs="Courier New" w:eastAsia="Courier New" w:hAnsi="Courier New"/>
          <w:sz w:val="16"/>
          <w:szCs w:val="16"/>
          <w:color w:val="auto"/>
        </w:rPr>
        <w:t>---------------</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(Addresses of principal executive</w:t>
      </w:r>
    </w:p>
    <w:p>
      <w:pPr>
        <w:spacing w:after="0" w:line="14" w:lineRule="exact"/>
        <w:rPr>
          <w:sz w:val="24"/>
          <w:szCs w:val="24"/>
          <w:color w:val="auto"/>
        </w:rPr>
      </w:pPr>
    </w:p>
    <w:p>
      <w:pPr>
        <w:ind w:left="360"/>
        <w:spacing w:after="0"/>
        <w:rPr>
          <w:sz w:val="20"/>
          <w:szCs w:val="20"/>
          <w:color w:val="auto"/>
        </w:rPr>
      </w:pPr>
      <w:r>
        <w:rPr>
          <w:rFonts w:ascii="Courier New" w:cs="Courier New" w:eastAsia="Courier New" w:hAnsi="Courier New"/>
          <w:sz w:val="16"/>
          <w:szCs w:val="16"/>
          <w:color w:val="auto"/>
        </w:rPr>
        <w:t>offices)</w:t>
      </w:r>
    </w:p>
    <w:p>
      <w:pPr>
        <w:spacing w:after="0" w:line="20" w:lineRule="exact"/>
        <w:rPr>
          <w:sz w:val="24"/>
          <w:szCs w:val="24"/>
          <w:color w:val="auto"/>
        </w:rPr>
      </w:pPr>
      <w:r>
        <w:rPr>
          <w:sz w:val="24"/>
          <w:szCs w:val="24"/>
          <w:color w:val="auto"/>
        </w:rPr>
        <w:br w:type="column"/>
      </w:r>
    </w:p>
    <w:p>
      <w:pPr>
        <w:spacing w:after="0" w:line="337" w:lineRule="exact"/>
        <w:rPr>
          <w:sz w:val="24"/>
          <w:szCs w:val="24"/>
          <w:color w:val="auto"/>
        </w:rPr>
      </w:pPr>
    </w:p>
    <w:p>
      <w:pPr>
        <w:jc w:val="center"/>
        <w:ind w:right="4279"/>
        <w:spacing w:after="0"/>
        <w:rPr>
          <w:sz w:val="20"/>
          <w:szCs w:val="20"/>
          <w:color w:val="auto"/>
        </w:rPr>
      </w:pPr>
      <w:r>
        <w:rPr>
          <w:rFonts w:ascii="Courier New" w:cs="Courier New" w:eastAsia="Courier New" w:hAnsi="Courier New"/>
          <w:sz w:val="16"/>
          <w:szCs w:val="16"/>
          <w:color w:val="auto"/>
        </w:rPr>
        <w:t>2514 JG</w:t>
      </w:r>
    </w:p>
    <w:p>
      <w:pPr>
        <w:jc w:val="center"/>
        <w:ind w:right="4279"/>
        <w:spacing w:after="0" w:line="236" w:lineRule="auto"/>
        <w:rPr>
          <w:sz w:val="20"/>
          <w:szCs w:val="20"/>
          <w:color w:val="auto"/>
        </w:rPr>
      </w:pPr>
      <w:r>
        <w:rPr>
          <w:rFonts w:ascii="Courier New" w:cs="Courier New" w:eastAsia="Courier New" w:hAnsi="Courier New"/>
          <w:sz w:val="16"/>
          <w:szCs w:val="16"/>
          <w:color w:val="auto"/>
        </w:rPr>
        <w:t>-------</w:t>
      </w:r>
    </w:p>
    <w:p>
      <w:pPr>
        <w:spacing w:after="0" w:line="4" w:lineRule="exact"/>
        <w:rPr>
          <w:sz w:val="24"/>
          <w:szCs w:val="24"/>
          <w:color w:val="auto"/>
        </w:rPr>
      </w:pPr>
    </w:p>
    <w:p>
      <w:pPr>
        <w:jc w:val="center"/>
        <w:ind w:right="4279"/>
        <w:spacing w:after="0"/>
        <w:rPr>
          <w:sz w:val="20"/>
          <w:szCs w:val="20"/>
          <w:color w:val="auto"/>
        </w:rPr>
      </w:pPr>
      <w:r>
        <w:rPr>
          <w:rFonts w:ascii="Courier New" w:cs="Courier New" w:eastAsia="Courier New" w:hAnsi="Courier New"/>
          <w:sz w:val="14"/>
          <w:szCs w:val="14"/>
          <w:color w:val="auto"/>
        </w:rPr>
        <w:t>(Zip Codes)</w:t>
      </w:r>
    </w:p>
    <w:p>
      <w:pPr>
        <w:spacing w:after="0" w:line="395" w:lineRule="exact"/>
        <w:rPr>
          <w:sz w:val="24"/>
          <w:szCs w:val="24"/>
          <w:color w:val="auto"/>
        </w:rPr>
      </w:pPr>
    </w:p>
    <w:p>
      <w:pPr>
        <w:sectPr>
          <w:pgSz w:w="11900" w:h="16838" w:orient="portrait"/>
          <w:cols w:equalWidth="0" w:num="2">
            <w:col w:w="4200" w:space="720"/>
            <w:col w:w="5299"/>
          </w:cols>
          <w:pgMar w:left="240" w:top="589" w:right="1440" w:bottom="1440" w:gutter="0" w:footer="0" w:header="0"/>
          <w:type w:val="continuous"/>
        </w:sectPr>
      </w:pPr>
    </w:p>
    <w:p>
      <w:pPr>
        <w:spacing w:after="0" w:line="33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(212) 350-9400</w:t>
      </w:r>
    </w:p>
    <w:p>
      <w:pPr>
        <w:spacing w:after="0" w:line="200" w:lineRule="exact"/>
        <w:rPr>
          <w:sz w:val="24"/>
          <w:szCs w:val="24"/>
          <w:color w:val="auto"/>
        </w:rPr>
      </w:pPr>
    </w:p>
    <w:p>
      <w:pPr>
        <w:spacing w:after="0" w:line="340" w:lineRule="exact"/>
        <w:rPr>
          <w:sz w:val="24"/>
          <w:szCs w:val="24"/>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Indicate by check mark whether Registrant (1) has filed all reports required to be filed by Section 13 or 15(d) of the Securities Exchange Act of 1934 during the preceding 12 months and (2) has been subject to such filing requirements for the past 90 days.</w:t>
      </w:r>
    </w:p>
    <w:p>
      <w:pPr>
        <w:sectPr>
          <w:pgSz w:w="11900" w:h="16838" w:orient="portrait"/>
          <w:cols w:equalWidth="0" w:num="1">
            <w:col w:w="10219"/>
          </w:cols>
          <w:pgMar w:left="240" w:top="589" w:right="1440" w:bottom="1440" w:gutter="0" w:footer="0" w:header="0"/>
          <w:type w:val="continuous"/>
        </w:sectPr>
      </w:pPr>
    </w:p>
    <w:p>
      <w:pPr>
        <w:spacing w:after="0" w:line="185" w:lineRule="exact"/>
        <w:rPr>
          <w:sz w:val="24"/>
          <w:szCs w:val="24"/>
          <w:color w:val="auto"/>
        </w:rPr>
      </w:pPr>
    </w:p>
    <w:p>
      <w:pPr>
        <w:ind w:left="1020"/>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w:t>
      </w:r>
    </w:p>
    <w:p>
      <w:pPr>
        <w:spacing w:after="0" w:line="4" w:lineRule="exact"/>
        <w:rPr>
          <w:sz w:val="24"/>
          <w:szCs w:val="24"/>
          <w:color w:val="auto"/>
        </w:rPr>
      </w:pPr>
    </w:p>
    <w:p>
      <w:pPr>
        <w:sectPr>
          <w:pgSz w:w="11900" w:h="16838" w:orient="portrait"/>
          <w:cols w:equalWidth="0" w:num="3">
            <w:col w:w="1300" w:space="460"/>
            <w:col w:w="1880" w:space="720"/>
            <w:col w:w="5859"/>
          </w:cols>
          <w:pgMar w:left="240" w:top="589" w:right="1440" w:bottom="1440" w:gutter="0" w:footer="0" w:header="0"/>
          <w:type w:val="continuous"/>
        </w:sectPr>
      </w:pPr>
    </w:p>
    <w:p>
      <w:pPr>
        <w:ind w:left="15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ectPr>
          <w:pgSz w:w="11900" w:h="16838" w:orient="portrait"/>
          <w:cols w:equalWidth="0" w:num="2">
            <w:col w:w="4020" w:space="720"/>
            <w:col w:w="5479"/>
          </w:cols>
          <w:pgMar w:left="240" w:top="589" w:right="1440" w:bottom="1440" w:gutter="0" w:footer="0" w:header="0"/>
          <w:type w:val="continuous"/>
        </w:sectPr>
      </w:pPr>
    </w:p>
    <w:p>
      <w:pPr>
        <w:spacing w:after="0" w:line="357" w:lineRule="exact"/>
        <w:rPr>
          <w:sz w:val="24"/>
          <w:szCs w:val="24"/>
          <w:color w:val="auto"/>
        </w:rPr>
      </w:pPr>
    </w:p>
    <w:p>
      <w:pPr>
        <w:ind w:right="3159"/>
        <w:spacing w:after="0" w:line="234" w:lineRule="auto"/>
        <w:rPr>
          <w:sz w:val="20"/>
          <w:szCs w:val="20"/>
          <w:color w:val="auto"/>
        </w:rPr>
      </w:pPr>
      <w:r>
        <w:rPr>
          <w:rFonts w:ascii="Courier New" w:cs="Courier New" w:eastAsia="Courier New" w:hAnsi="Courier New"/>
          <w:sz w:val="16"/>
          <w:szCs w:val="16"/>
          <w:color w:val="auto"/>
        </w:rPr>
        <w:t>Indicate the number of shares outstanding of each of the issuer's classes of common stock, as of the latest practicable date.</w:t>
      </w:r>
    </w:p>
    <w:p>
      <w:pPr>
        <w:sectPr>
          <w:pgSz w:w="11900" w:h="16838" w:orient="portrait"/>
          <w:cols w:equalWidth="0" w:num="1">
            <w:col w:w="10219"/>
          </w:cols>
          <w:pgMar w:left="240" w:top="589" w:right="1440" w:bottom="1440" w:gutter="0" w:footer="0" w:header="0"/>
          <w:type w:val="continuous"/>
        </w:sectPr>
      </w:pPr>
    </w:p>
    <w:p>
      <w:pPr>
        <w:spacing w:after="0" w:line="177" w:lineRule="exact"/>
        <w:rPr>
          <w:sz w:val="24"/>
          <w:szCs w:val="24"/>
          <w:color w:val="auto"/>
        </w:rPr>
      </w:pPr>
    </w:p>
    <w:p>
      <w:pPr>
        <w:ind w:left="360"/>
        <w:spacing w:after="0"/>
        <w:rPr>
          <w:sz w:val="20"/>
          <w:szCs w:val="20"/>
          <w:color w:val="auto"/>
        </w:rPr>
      </w:pPr>
      <w:r>
        <w:rPr>
          <w:rFonts w:ascii="Courier New" w:cs="Courier New" w:eastAsia="Courier New" w:hAnsi="Courier New"/>
          <w:sz w:val="16"/>
          <w:szCs w:val="16"/>
          <w:color w:val="auto"/>
        </w:rPr>
        <w:t>Class</w:t>
      </w:r>
    </w:p>
    <w:p>
      <w:pPr>
        <w:spacing w:after="0" w:line="4"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OUTSTANDING AT JULY 31, 1998</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9" w:lineRule="exact"/>
        <w:rPr>
          <w:sz w:val="24"/>
          <w:szCs w:val="24"/>
          <w:color w:val="auto"/>
        </w:rPr>
      </w:pPr>
    </w:p>
    <w:p>
      <w:pPr>
        <w:sectPr>
          <w:pgSz w:w="11900" w:h="16838" w:orient="portrait"/>
          <w:cols w:equalWidth="0" w:num="2">
            <w:col w:w="4020" w:space="720"/>
            <w:col w:w="5479"/>
          </w:cols>
          <w:pgMar w:left="240" w:top="58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COMMON STOCK, $0.01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499,170,039</w:t>
      </w:r>
    </w:p>
    <w:p>
      <w:pPr>
        <w:sectPr>
          <w:pgSz w:w="11900" w:h="16838" w:orient="portrait"/>
          <w:cols w:equalWidth="0" w:num="2">
            <w:col w:w="4760" w:space="720"/>
            <w:col w:w="4739"/>
          </w:cols>
          <w:pgMar w:left="240" w:top="589" w:right="1440" w:bottom="1440" w:gutter="0" w:footer="0" w:header="0"/>
          <w:type w:val="continuous"/>
        </w:sectPr>
      </w:pPr>
    </w:p>
    <w:bookmarkStart w:id="1" w:name="page2"/>
    <w:bookmarkEnd w:id="1"/>
    <w:p>
      <w:pPr>
        <w:ind w:left="2320"/>
        <w:spacing w:after="0"/>
        <w:rPr>
          <w:sz w:val="20"/>
          <w:szCs w:val="20"/>
          <w:color w:val="auto"/>
        </w:rPr>
      </w:pPr>
      <w:r>
        <w:rPr>
          <w:rFonts w:ascii="Courier New" w:cs="Courier New" w:eastAsia="Courier New" w:hAnsi="Courier New"/>
          <w:sz w:val="16"/>
          <w:szCs w:val="16"/>
          <w:color w:val="auto"/>
        </w:rPr>
        <w:t>PART I. FINANCIAL INFORMATION</w:t>
      </w:r>
    </w:p>
    <w:p>
      <w:pPr>
        <w:ind w:left="2320"/>
        <w:spacing w:after="0" w:line="236" w:lineRule="auto"/>
        <w:rPr>
          <w:sz w:val="20"/>
          <w:szCs w:val="20"/>
          <w:color w:val="auto"/>
        </w:rPr>
      </w:pPr>
      <w:r>
        <w:rPr>
          <w:rFonts w:ascii="Courier New" w:cs="Courier New" w:eastAsia="Courier New" w:hAnsi="Courier New"/>
          <w:sz w:val="16"/>
          <w:szCs w:val="16"/>
          <w:color w:val="auto"/>
        </w:rPr>
        <w:t>-----------------------------</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 Financial Statements</w:t>
      </w:r>
    </w:p>
    <w:p>
      <w:pPr>
        <w:spacing w:after="0" w:line="236" w:lineRule="auto"/>
        <w:rPr>
          <w:sz w:val="20"/>
          <w:szCs w:val="20"/>
          <w:color w:val="auto"/>
        </w:rPr>
      </w:pPr>
      <w:r>
        <w:rPr>
          <w:rFonts w:ascii="Courier New" w:cs="Courier New" w:eastAsia="Courier New" w:hAnsi="Courier New"/>
          <w:sz w:val="16"/>
          <w:szCs w:val="16"/>
          <w:color w:val="auto"/>
        </w:rPr>
        <w:t>- ----------------------------</w:t>
      </w:r>
    </w:p>
    <w:p>
      <w:pPr>
        <w:spacing w:after="0" w:line="356"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SCHLUMBERGER LIMITED</w:t>
      </w:r>
    </w:p>
    <w:p>
      <w:pPr>
        <w:ind w:left="2780"/>
        <w:spacing w:after="0" w:line="236" w:lineRule="auto"/>
        <w:rPr>
          <w:sz w:val="20"/>
          <w:szCs w:val="20"/>
          <w:color w:val="auto"/>
        </w:rPr>
      </w:pPr>
      <w:r>
        <w:rPr>
          <w:rFonts w:ascii="Courier New" w:cs="Courier New" w:eastAsia="Courier New" w:hAnsi="Courier New"/>
          <w:sz w:val="16"/>
          <w:szCs w:val="16"/>
          <w:color w:val="auto"/>
        </w:rPr>
        <w:t>--------------------</w:t>
      </w:r>
    </w:p>
    <w:p>
      <w:pPr>
        <w:jc w:val="center"/>
        <w:ind w:right="4180"/>
        <w:spacing w:after="0" w:line="237" w:lineRule="auto"/>
        <w:rPr>
          <w:sz w:val="20"/>
          <w:szCs w:val="20"/>
          <w:color w:val="auto"/>
        </w:rPr>
      </w:pPr>
      <w:r>
        <w:rPr>
          <w:rFonts w:ascii="Courier New" w:cs="Courier New" w:eastAsia="Courier New" w:hAnsi="Courier New"/>
          <w:sz w:val="16"/>
          <w:szCs w:val="16"/>
          <w:color w:val="auto"/>
        </w:rPr>
        <w:t>(Schlumberger N.V., Incorporated in the Netherlands Antilles)</w:t>
      </w:r>
    </w:p>
    <w:p>
      <w:pPr>
        <w:jc w:val="center"/>
        <w:ind w:right="4080"/>
        <w:spacing w:after="0" w:line="237" w:lineRule="auto"/>
        <w:rPr>
          <w:sz w:val="20"/>
          <w:szCs w:val="20"/>
          <w:color w:val="auto"/>
        </w:rPr>
      </w:pPr>
      <w:r>
        <w:rPr>
          <w:rFonts w:ascii="Courier New" w:cs="Courier New" w:eastAsia="Courier New" w:hAnsi="Courier New"/>
          <w:sz w:val="16"/>
          <w:szCs w:val="16"/>
          <w:color w:val="auto"/>
        </w:rPr>
        <w:t>AND SUBSIDIARY COMPANIES</w:t>
      </w:r>
    </w:p>
    <w:p>
      <w:pPr>
        <w:spacing w:after="0" w:line="177"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CONSOLIDATED STATEMENT OF INCOME</w:t>
      </w:r>
    </w:p>
    <w:p>
      <w:pPr>
        <w:ind w:left="2220"/>
        <w:spacing w:after="0" w:line="236" w:lineRule="auto"/>
        <w:rPr>
          <w:sz w:val="20"/>
          <w:szCs w:val="20"/>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80"/>
        </w:trPr>
        <w:tc>
          <w:tcPr>
            <w:tcW w:w="3020" w:type="dxa"/>
            <w:vAlign w:val="bottom"/>
          </w:tcPr>
          <w:p>
            <w:pPr>
              <w:spacing w:after="0"/>
              <w:rPr>
                <w:sz w:val="15"/>
                <w:szCs w:val="15"/>
                <w:color w:val="auto"/>
              </w:rPr>
            </w:pPr>
          </w:p>
        </w:tc>
        <w:tc>
          <w:tcPr>
            <w:tcW w:w="210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(Unaudited)</w:t>
            </w:r>
          </w:p>
        </w:tc>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716"/>
        </w:trPr>
        <w:tc>
          <w:tcPr>
            <w:tcW w:w="30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2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(Stated in thousands except per share amounts)</w:t>
            </w:r>
          </w:p>
        </w:tc>
      </w:tr>
      <w:tr>
        <w:trPr>
          <w:trHeight w:val="358"/>
        </w:trPr>
        <w:tc>
          <w:tcPr>
            <w:tcW w:w="30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60" w:type="dxa"/>
            <w:vAlign w:val="bottom"/>
            <w:gridSpan w:val="3"/>
          </w:tcPr>
          <w:p>
            <w:pPr>
              <w:jc w:val="right"/>
              <w:ind w:right="742"/>
              <w:spacing w:after="0"/>
              <w:rPr>
                <w:sz w:val="20"/>
                <w:szCs w:val="20"/>
                <w:color w:val="auto"/>
              </w:rPr>
            </w:pPr>
            <w:r>
              <w:rPr>
                <w:rFonts w:ascii="Courier New" w:cs="Courier New" w:eastAsia="Courier New" w:hAnsi="Courier New"/>
                <w:sz w:val="16"/>
                <w:szCs w:val="16"/>
                <w:color w:val="auto"/>
              </w:rPr>
              <w:t>Periods Ended June 30,</w:t>
            </w: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9"/>
        </w:trPr>
        <w:tc>
          <w:tcPr>
            <w:tcW w:w="3020" w:type="dxa"/>
            <w:vAlign w:val="bottom"/>
          </w:tcPr>
          <w:p>
            <w:pPr>
              <w:spacing w:after="0"/>
              <w:rPr>
                <w:sz w:val="15"/>
                <w:szCs w:val="15"/>
                <w:color w:val="auto"/>
              </w:rPr>
            </w:pPr>
          </w:p>
        </w:tc>
        <w:tc>
          <w:tcPr>
            <w:tcW w:w="8500" w:type="dxa"/>
            <w:vAlign w:val="bottom"/>
            <w:gridSpan w:val="8"/>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0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58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Second Quarter</w:t>
            </w: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94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Six Months</w:t>
            </w:r>
          </w:p>
        </w:tc>
        <w:tc>
          <w:tcPr>
            <w:tcW w:w="1020" w:type="dxa"/>
            <w:vAlign w:val="bottom"/>
          </w:tcPr>
          <w:p>
            <w:pPr>
              <w:spacing w:after="0"/>
              <w:rPr>
                <w:sz w:val="15"/>
                <w:szCs w:val="15"/>
                <w:color w:val="auto"/>
              </w:rPr>
            </w:pPr>
          </w:p>
        </w:tc>
      </w:tr>
      <w:tr>
        <w:trPr>
          <w:trHeight w:val="179"/>
        </w:trPr>
        <w:tc>
          <w:tcPr>
            <w:tcW w:w="3020" w:type="dxa"/>
            <w:vAlign w:val="bottom"/>
          </w:tcPr>
          <w:p>
            <w:pPr>
              <w:spacing w:after="0"/>
              <w:rPr>
                <w:sz w:val="15"/>
                <w:szCs w:val="15"/>
                <w:color w:val="auto"/>
              </w:rPr>
            </w:pPr>
          </w:p>
        </w:tc>
        <w:tc>
          <w:tcPr>
            <w:tcW w:w="3020" w:type="dxa"/>
            <w:vAlign w:val="bottom"/>
            <w:gridSpan w:val="2"/>
          </w:tcPr>
          <w:p>
            <w:pPr>
              <w:ind w:left="2000"/>
              <w:spacing w:after="0"/>
              <w:rPr>
                <w:sz w:val="20"/>
                <w:szCs w:val="20"/>
                <w:color w:val="auto"/>
              </w:rPr>
            </w:pPr>
            <w:r>
              <w:rPr>
                <w:rFonts w:ascii="Courier New" w:cs="Courier New" w:eastAsia="Courier New" w:hAnsi="Courier New"/>
                <w:sz w:val="12"/>
                <w:szCs w:val="12"/>
                <w:color w:val="auto"/>
                <w:w w:val="73"/>
              </w:rPr>
              <w:t>-------------------</w:t>
            </w:r>
          </w:p>
        </w:tc>
        <w:tc>
          <w:tcPr>
            <w:tcW w:w="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9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15"/>
                <w:szCs w:val="15"/>
                <w:color w:val="auto"/>
              </w:rPr>
            </w:pPr>
          </w:p>
        </w:tc>
      </w:tr>
      <w:tr>
        <w:trPr>
          <w:trHeight w:val="179"/>
        </w:trPr>
        <w:tc>
          <w:tcPr>
            <w:tcW w:w="3020" w:type="dxa"/>
            <w:vAlign w:val="bottom"/>
          </w:tcPr>
          <w:p>
            <w:pPr>
              <w:spacing w:after="0"/>
              <w:rPr>
                <w:sz w:val="15"/>
                <w:szCs w:val="15"/>
                <w:color w:val="auto"/>
              </w:rPr>
            </w:pPr>
          </w:p>
        </w:tc>
        <w:tc>
          <w:tcPr>
            <w:tcW w:w="3020" w:type="dxa"/>
            <w:vAlign w:val="bottom"/>
            <w:gridSpan w:val="2"/>
          </w:tcPr>
          <w:p>
            <w:pPr>
              <w:ind w:left="2000"/>
              <w:spacing w:after="0" w:line="179" w:lineRule="exact"/>
              <w:rPr>
                <w:sz w:val="20"/>
                <w:szCs w:val="20"/>
                <w:color w:val="auto"/>
              </w:rPr>
            </w:pPr>
            <w:r>
              <w:rPr>
                <w:rFonts w:ascii="Courier New" w:cs="Courier New" w:eastAsia="Courier New" w:hAnsi="Courier New"/>
                <w:sz w:val="16"/>
                <w:szCs w:val="16"/>
                <w:color w:val="auto"/>
              </w:rPr>
              <w:t>1998</w:t>
            </w:r>
          </w:p>
        </w:tc>
        <w:tc>
          <w:tcPr>
            <w:tcW w:w="1760" w:type="dxa"/>
            <w:vAlign w:val="bottom"/>
            <w:gridSpan w:val="2"/>
          </w:tcPr>
          <w:p>
            <w:pPr>
              <w:ind w:left="560"/>
              <w:spacing w:after="0" w:line="179" w:lineRule="exact"/>
              <w:rPr>
                <w:sz w:val="20"/>
                <w:szCs w:val="20"/>
                <w:color w:val="auto"/>
              </w:rPr>
            </w:pPr>
            <w:r>
              <w:rPr>
                <w:rFonts w:ascii="Courier New" w:cs="Courier New" w:eastAsia="Courier New" w:hAnsi="Courier New"/>
                <w:sz w:val="16"/>
                <w:szCs w:val="16"/>
                <w:color w:val="auto"/>
              </w:rPr>
              <w:t>1997</w:t>
            </w:r>
          </w:p>
        </w:tc>
        <w:tc>
          <w:tcPr>
            <w:tcW w:w="760" w:type="dxa"/>
            <w:vAlign w:val="bottom"/>
          </w:tcPr>
          <w:p>
            <w:pPr>
              <w:spacing w:after="0"/>
              <w:rPr>
                <w:sz w:val="15"/>
                <w:szCs w:val="15"/>
                <w:color w:val="auto"/>
              </w:rPr>
            </w:pPr>
          </w:p>
        </w:tc>
        <w:tc>
          <w:tcPr>
            <w:tcW w:w="110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w w:val="88"/>
              </w:rPr>
              <w:t>1998</w:t>
            </w:r>
          </w:p>
        </w:tc>
        <w:tc>
          <w:tcPr>
            <w:tcW w:w="1860" w:type="dxa"/>
            <w:vAlign w:val="bottom"/>
            <w:gridSpan w:val="2"/>
          </w:tcPr>
          <w:p>
            <w:pPr>
              <w:jc w:val="right"/>
              <w:ind w:right="662"/>
              <w:spacing w:after="0" w:line="179" w:lineRule="exact"/>
              <w:rPr>
                <w:sz w:val="20"/>
                <w:szCs w:val="20"/>
                <w:color w:val="auto"/>
              </w:rPr>
            </w:pPr>
            <w:r>
              <w:rPr>
                <w:rFonts w:ascii="Courier New" w:cs="Courier New" w:eastAsia="Courier New" w:hAnsi="Courier New"/>
                <w:sz w:val="16"/>
                <w:szCs w:val="16"/>
                <w:color w:val="auto"/>
              </w:rPr>
              <w:t>1997</w:t>
            </w:r>
          </w:p>
        </w:tc>
      </w:tr>
      <w:tr>
        <w:trPr>
          <w:trHeight w:val="179"/>
        </w:trPr>
        <w:tc>
          <w:tcPr>
            <w:tcW w:w="3020" w:type="dxa"/>
            <w:vAlign w:val="bottom"/>
          </w:tcPr>
          <w:p>
            <w:pPr>
              <w:spacing w:after="0"/>
              <w:rPr>
                <w:sz w:val="15"/>
                <w:szCs w:val="15"/>
                <w:color w:val="auto"/>
              </w:rPr>
            </w:pPr>
          </w:p>
        </w:tc>
        <w:tc>
          <w:tcPr>
            <w:tcW w:w="3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302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2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9"/>
        </w:trPr>
        <w:tc>
          <w:tcPr>
            <w:tcW w:w="302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w:t>
            </w:r>
          </w:p>
        </w:tc>
        <w:tc>
          <w:tcPr>
            <w:tcW w:w="3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$2,853,302</w:t>
            </w:r>
          </w:p>
        </w:tc>
        <w:tc>
          <w:tcPr>
            <w:tcW w:w="176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$2,601,679</w:t>
            </w:r>
          </w:p>
        </w:tc>
        <w:tc>
          <w:tcPr>
            <w:tcW w:w="186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$5,653,436</w:t>
            </w:r>
          </w:p>
        </w:tc>
        <w:tc>
          <w:tcPr>
            <w:tcW w:w="18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$5,003,739</w:t>
            </w:r>
          </w:p>
        </w:tc>
      </w:tr>
      <w:tr>
        <w:trPr>
          <w:trHeight w:val="179"/>
        </w:trPr>
        <w:tc>
          <w:tcPr>
            <w:tcW w:w="3020" w:type="dxa"/>
            <w:vAlign w:val="bottom"/>
          </w:tcPr>
          <w:p>
            <w:pPr>
              <w:spacing w:after="0" w:line="179" w:lineRule="exact"/>
              <w:rPr>
                <w:sz w:val="20"/>
                <w:szCs w:val="20"/>
                <w:color w:val="auto"/>
              </w:rPr>
            </w:pPr>
            <w:r>
              <w:rPr>
                <w:rFonts w:ascii="Courier New" w:cs="Courier New" w:eastAsia="Courier New" w:hAnsi="Courier New"/>
                <w:sz w:val="16"/>
                <w:szCs w:val="16"/>
                <w:color w:val="auto"/>
              </w:rPr>
              <w:t>Interest and other income</w:t>
            </w:r>
          </w:p>
        </w:tc>
        <w:tc>
          <w:tcPr>
            <w:tcW w:w="2100" w:type="dxa"/>
            <w:vAlign w:val="bottom"/>
          </w:tcPr>
          <w:p>
            <w:pPr>
              <w:spacing w:after="0"/>
              <w:rPr>
                <w:sz w:val="15"/>
                <w:szCs w:val="15"/>
                <w:color w:val="auto"/>
              </w:rPr>
            </w:pPr>
          </w:p>
        </w:tc>
        <w:tc>
          <w:tcPr>
            <w:tcW w:w="9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35,779</w:t>
            </w:r>
          </w:p>
        </w:tc>
        <w:tc>
          <w:tcPr>
            <w:tcW w:w="66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20,738</w:t>
            </w:r>
          </w:p>
        </w:tc>
        <w:tc>
          <w:tcPr>
            <w:tcW w:w="76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69,978</w:t>
            </w:r>
          </w:p>
        </w:tc>
        <w:tc>
          <w:tcPr>
            <w:tcW w:w="84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38,843</w:t>
            </w:r>
          </w:p>
        </w:tc>
      </w:tr>
      <w:tr>
        <w:trPr>
          <w:trHeight w:val="179"/>
        </w:trPr>
        <w:tc>
          <w:tcPr>
            <w:tcW w:w="3020" w:type="dxa"/>
            <w:vAlign w:val="bottom"/>
          </w:tcPr>
          <w:p>
            <w:pPr>
              <w:spacing w:after="0"/>
              <w:rPr>
                <w:sz w:val="15"/>
                <w:szCs w:val="15"/>
                <w:color w:val="auto"/>
              </w:rPr>
            </w:pPr>
          </w:p>
        </w:tc>
        <w:tc>
          <w:tcPr>
            <w:tcW w:w="3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0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9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2"/>
              </w:rPr>
              <w:t>2,889,081</w:t>
            </w:r>
          </w:p>
        </w:tc>
        <w:tc>
          <w:tcPr>
            <w:tcW w:w="66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w w:val="94"/>
              </w:rPr>
              <w:t>2,622,417</w:t>
            </w:r>
          </w:p>
        </w:tc>
        <w:tc>
          <w:tcPr>
            <w:tcW w:w="76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w w:val="94"/>
              </w:rPr>
              <w:t>5,723,414</w:t>
            </w:r>
          </w:p>
        </w:tc>
        <w:tc>
          <w:tcPr>
            <w:tcW w:w="84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4"/>
              </w:rPr>
              <w:t>5,042,582</w:t>
            </w:r>
          </w:p>
        </w:tc>
      </w:tr>
      <w:tr>
        <w:trPr>
          <w:trHeight w:val="179"/>
        </w:trPr>
        <w:tc>
          <w:tcPr>
            <w:tcW w:w="3020" w:type="dxa"/>
            <w:vAlign w:val="bottom"/>
          </w:tcPr>
          <w:p>
            <w:pPr>
              <w:spacing w:after="0"/>
              <w:rPr>
                <w:sz w:val="15"/>
                <w:szCs w:val="15"/>
                <w:color w:val="auto"/>
              </w:rPr>
            </w:pPr>
          </w:p>
        </w:tc>
        <w:tc>
          <w:tcPr>
            <w:tcW w:w="3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020" w:type="dxa"/>
            <w:vAlign w:val="bottom"/>
          </w:tcPr>
          <w:p>
            <w:pPr>
              <w:spacing w:after="0"/>
              <w:rPr>
                <w:sz w:val="20"/>
                <w:szCs w:val="20"/>
                <w:color w:val="auto"/>
              </w:rPr>
            </w:pPr>
            <w:r>
              <w:rPr>
                <w:rFonts w:ascii="Courier New" w:cs="Courier New" w:eastAsia="Courier New" w:hAnsi="Courier New"/>
                <w:sz w:val="16"/>
                <w:szCs w:val="16"/>
                <w:color w:val="auto"/>
              </w:rPr>
              <w:t>EXPENSES:</w:t>
            </w:r>
          </w:p>
        </w:tc>
        <w:tc>
          <w:tcPr>
            <w:tcW w:w="2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9"/>
        </w:trPr>
        <w:tc>
          <w:tcPr>
            <w:tcW w:w="3020" w:type="dxa"/>
            <w:vAlign w:val="bottom"/>
          </w:tcPr>
          <w:p>
            <w:pPr>
              <w:spacing w:after="0" w:line="179" w:lineRule="exact"/>
              <w:rPr>
                <w:sz w:val="20"/>
                <w:szCs w:val="20"/>
                <w:color w:val="auto"/>
              </w:rPr>
            </w:pPr>
            <w:r>
              <w:rPr>
                <w:rFonts w:ascii="Courier New" w:cs="Courier New" w:eastAsia="Courier New" w:hAnsi="Courier New"/>
                <w:sz w:val="16"/>
                <w:szCs w:val="16"/>
                <w:color w:val="auto"/>
              </w:rPr>
              <w:t>Cost of goods sold and services</w:t>
            </w:r>
          </w:p>
        </w:tc>
        <w:tc>
          <w:tcPr>
            <w:tcW w:w="2100" w:type="dxa"/>
            <w:vAlign w:val="bottom"/>
          </w:tcPr>
          <w:p>
            <w:pPr>
              <w:spacing w:after="0"/>
              <w:rPr>
                <w:sz w:val="15"/>
                <w:szCs w:val="15"/>
                <w:color w:val="auto"/>
              </w:rPr>
            </w:pPr>
          </w:p>
        </w:tc>
        <w:tc>
          <w:tcPr>
            <w:tcW w:w="9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2"/>
              </w:rPr>
              <w:t>2,080,692</w:t>
            </w:r>
          </w:p>
        </w:tc>
        <w:tc>
          <w:tcPr>
            <w:tcW w:w="66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w w:val="94"/>
              </w:rPr>
              <w:t>1,929,324</w:t>
            </w:r>
          </w:p>
        </w:tc>
        <w:tc>
          <w:tcPr>
            <w:tcW w:w="76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w w:val="94"/>
              </w:rPr>
              <w:t>4,116,154</w:t>
            </w:r>
          </w:p>
        </w:tc>
        <w:tc>
          <w:tcPr>
            <w:tcW w:w="84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4"/>
              </w:rPr>
              <w:t>3,712,112</w:t>
            </w:r>
          </w:p>
        </w:tc>
      </w:tr>
      <w:tr>
        <w:trPr>
          <w:trHeight w:val="179"/>
        </w:trPr>
        <w:tc>
          <w:tcPr>
            <w:tcW w:w="3020" w:type="dxa"/>
            <w:vAlign w:val="bottom"/>
          </w:tcPr>
          <w:p>
            <w:pPr>
              <w:spacing w:after="0" w:line="179" w:lineRule="exact"/>
              <w:rPr>
                <w:sz w:val="20"/>
                <w:szCs w:val="20"/>
                <w:color w:val="auto"/>
              </w:rPr>
            </w:pPr>
            <w:r>
              <w:rPr>
                <w:rFonts w:ascii="Courier New" w:cs="Courier New" w:eastAsia="Courier New" w:hAnsi="Courier New"/>
                <w:sz w:val="16"/>
                <w:szCs w:val="16"/>
                <w:color w:val="auto"/>
              </w:rPr>
              <w:t>Research &amp; engineering</w:t>
            </w:r>
          </w:p>
        </w:tc>
        <w:tc>
          <w:tcPr>
            <w:tcW w:w="2100" w:type="dxa"/>
            <w:vAlign w:val="bottom"/>
          </w:tcPr>
          <w:p>
            <w:pPr>
              <w:spacing w:after="0"/>
              <w:rPr>
                <w:sz w:val="15"/>
                <w:szCs w:val="15"/>
                <w:color w:val="auto"/>
              </w:rPr>
            </w:pPr>
          </w:p>
        </w:tc>
        <w:tc>
          <w:tcPr>
            <w:tcW w:w="9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141,148</w:t>
            </w:r>
          </w:p>
        </w:tc>
        <w:tc>
          <w:tcPr>
            <w:tcW w:w="66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118,897</w:t>
            </w:r>
          </w:p>
        </w:tc>
        <w:tc>
          <w:tcPr>
            <w:tcW w:w="76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276,981</w:t>
            </w:r>
          </w:p>
        </w:tc>
        <w:tc>
          <w:tcPr>
            <w:tcW w:w="84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236,850</w:t>
            </w:r>
          </w:p>
        </w:tc>
      </w:tr>
      <w:tr>
        <w:trPr>
          <w:trHeight w:val="179"/>
        </w:trPr>
        <w:tc>
          <w:tcPr>
            <w:tcW w:w="3020" w:type="dxa"/>
            <w:vAlign w:val="bottom"/>
          </w:tcPr>
          <w:p>
            <w:pPr>
              <w:spacing w:after="0" w:line="179" w:lineRule="exact"/>
              <w:rPr>
                <w:sz w:val="20"/>
                <w:szCs w:val="20"/>
                <w:color w:val="auto"/>
              </w:rPr>
            </w:pPr>
            <w:r>
              <w:rPr>
                <w:rFonts w:ascii="Courier New" w:cs="Courier New" w:eastAsia="Courier New" w:hAnsi="Courier New"/>
                <w:sz w:val="16"/>
                <w:szCs w:val="16"/>
                <w:color w:val="auto"/>
              </w:rPr>
              <w:t>Marketing</w:t>
            </w:r>
          </w:p>
        </w:tc>
        <w:tc>
          <w:tcPr>
            <w:tcW w:w="2100" w:type="dxa"/>
            <w:vAlign w:val="bottom"/>
          </w:tcPr>
          <w:p>
            <w:pPr>
              <w:spacing w:after="0"/>
              <w:rPr>
                <w:sz w:val="15"/>
                <w:szCs w:val="15"/>
                <w:color w:val="auto"/>
              </w:rPr>
            </w:pPr>
          </w:p>
        </w:tc>
        <w:tc>
          <w:tcPr>
            <w:tcW w:w="9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82,518</w:t>
            </w:r>
          </w:p>
        </w:tc>
        <w:tc>
          <w:tcPr>
            <w:tcW w:w="66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76,745</w:t>
            </w:r>
          </w:p>
        </w:tc>
        <w:tc>
          <w:tcPr>
            <w:tcW w:w="76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164,027</w:t>
            </w:r>
          </w:p>
        </w:tc>
        <w:tc>
          <w:tcPr>
            <w:tcW w:w="84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151,378</w:t>
            </w:r>
          </w:p>
        </w:tc>
      </w:tr>
      <w:tr>
        <w:trPr>
          <w:trHeight w:val="179"/>
        </w:trPr>
        <w:tc>
          <w:tcPr>
            <w:tcW w:w="3020" w:type="dxa"/>
            <w:vAlign w:val="bottom"/>
          </w:tcPr>
          <w:p>
            <w:pPr>
              <w:spacing w:after="0" w:line="179" w:lineRule="exact"/>
              <w:rPr>
                <w:sz w:val="20"/>
                <w:szCs w:val="20"/>
                <w:color w:val="auto"/>
              </w:rPr>
            </w:pPr>
            <w:r>
              <w:rPr>
                <w:rFonts w:ascii="Courier New" w:cs="Courier New" w:eastAsia="Courier New" w:hAnsi="Courier New"/>
                <w:sz w:val="16"/>
                <w:szCs w:val="16"/>
                <w:color w:val="auto"/>
              </w:rPr>
              <w:t>General</w:t>
            </w:r>
          </w:p>
        </w:tc>
        <w:tc>
          <w:tcPr>
            <w:tcW w:w="2100" w:type="dxa"/>
            <w:vAlign w:val="bottom"/>
          </w:tcPr>
          <w:p>
            <w:pPr>
              <w:spacing w:after="0"/>
              <w:rPr>
                <w:sz w:val="15"/>
                <w:szCs w:val="15"/>
                <w:color w:val="auto"/>
              </w:rPr>
            </w:pPr>
          </w:p>
        </w:tc>
        <w:tc>
          <w:tcPr>
            <w:tcW w:w="9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103,275</w:t>
            </w:r>
          </w:p>
        </w:tc>
        <w:tc>
          <w:tcPr>
            <w:tcW w:w="66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93,568</w:t>
            </w:r>
          </w:p>
        </w:tc>
        <w:tc>
          <w:tcPr>
            <w:tcW w:w="76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204,326</w:t>
            </w:r>
          </w:p>
        </w:tc>
        <w:tc>
          <w:tcPr>
            <w:tcW w:w="84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181,349</w:t>
            </w:r>
          </w:p>
        </w:tc>
      </w:tr>
      <w:tr>
        <w:trPr>
          <w:trHeight w:val="179"/>
        </w:trPr>
        <w:tc>
          <w:tcPr>
            <w:tcW w:w="3020" w:type="dxa"/>
            <w:vAlign w:val="bottom"/>
          </w:tcPr>
          <w:p>
            <w:pPr>
              <w:spacing w:after="0" w:line="179" w:lineRule="exact"/>
              <w:rPr>
                <w:sz w:val="20"/>
                <w:szCs w:val="20"/>
                <w:color w:val="auto"/>
              </w:rPr>
            </w:pPr>
            <w:r>
              <w:rPr>
                <w:rFonts w:ascii="Courier New" w:cs="Courier New" w:eastAsia="Courier New" w:hAnsi="Courier New"/>
                <w:sz w:val="16"/>
                <w:szCs w:val="16"/>
                <w:color w:val="auto"/>
              </w:rPr>
              <w:t>Interest</w:t>
            </w:r>
          </w:p>
        </w:tc>
        <w:tc>
          <w:tcPr>
            <w:tcW w:w="2100" w:type="dxa"/>
            <w:vAlign w:val="bottom"/>
          </w:tcPr>
          <w:p>
            <w:pPr>
              <w:spacing w:after="0"/>
              <w:rPr>
                <w:sz w:val="15"/>
                <w:szCs w:val="15"/>
                <w:color w:val="auto"/>
              </w:rPr>
            </w:pPr>
          </w:p>
        </w:tc>
        <w:tc>
          <w:tcPr>
            <w:tcW w:w="9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22,598</w:t>
            </w:r>
          </w:p>
        </w:tc>
        <w:tc>
          <w:tcPr>
            <w:tcW w:w="66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19,317</w:t>
            </w:r>
          </w:p>
        </w:tc>
        <w:tc>
          <w:tcPr>
            <w:tcW w:w="76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45,844</w:t>
            </w:r>
          </w:p>
        </w:tc>
        <w:tc>
          <w:tcPr>
            <w:tcW w:w="84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37,136</w:t>
            </w:r>
          </w:p>
        </w:tc>
      </w:tr>
      <w:tr>
        <w:trPr>
          <w:trHeight w:val="179"/>
        </w:trPr>
        <w:tc>
          <w:tcPr>
            <w:tcW w:w="3020" w:type="dxa"/>
            <w:vAlign w:val="bottom"/>
          </w:tcPr>
          <w:p>
            <w:pPr>
              <w:spacing w:after="0"/>
              <w:rPr>
                <w:sz w:val="15"/>
                <w:szCs w:val="15"/>
                <w:color w:val="auto"/>
              </w:rPr>
            </w:pPr>
          </w:p>
        </w:tc>
        <w:tc>
          <w:tcPr>
            <w:tcW w:w="3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0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9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2"/>
              </w:rPr>
              <w:t>2,430,231</w:t>
            </w:r>
          </w:p>
        </w:tc>
        <w:tc>
          <w:tcPr>
            <w:tcW w:w="66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w w:val="94"/>
              </w:rPr>
              <w:t>2,237,851</w:t>
            </w:r>
          </w:p>
        </w:tc>
        <w:tc>
          <w:tcPr>
            <w:tcW w:w="76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w w:val="94"/>
              </w:rPr>
              <w:t>4,807,332</w:t>
            </w:r>
          </w:p>
        </w:tc>
        <w:tc>
          <w:tcPr>
            <w:tcW w:w="84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4"/>
              </w:rPr>
              <w:t>4,318,825</w:t>
            </w:r>
          </w:p>
        </w:tc>
      </w:tr>
      <w:tr>
        <w:trPr>
          <w:trHeight w:val="179"/>
        </w:trPr>
        <w:tc>
          <w:tcPr>
            <w:tcW w:w="3020" w:type="dxa"/>
            <w:vAlign w:val="bottom"/>
          </w:tcPr>
          <w:p>
            <w:pPr>
              <w:spacing w:after="0"/>
              <w:rPr>
                <w:sz w:val="15"/>
                <w:szCs w:val="15"/>
                <w:color w:val="auto"/>
              </w:rPr>
            </w:pPr>
          </w:p>
        </w:tc>
        <w:tc>
          <w:tcPr>
            <w:tcW w:w="3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020" w:type="dxa"/>
            <w:vAlign w:val="bottom"/>
          </w:tcPr>
          <w:p>
            <w:pPr>
              <w:spacing w:after="0"/>
              <w:rPr>
                <w:sz w:val="20"/>
                <w:szCs w:val="20"/>
                <w:color w:val="auto"/>
              </w:rPr>
            </w:pPr>
            <w:r>
              <w:rPr>
                <w:rFonts w:ascii="Courier New" w:cs="Courier New" w:eastAsia="Courier New" w:hAnsi="Courier New"/>
                <w:sz w:val="16"/>
                <w:szCs w:val="16"/>
                <w:color w:val="auto"/>
              </w:rPr>
              <w:t>Income before taxes</w:t>
            </w:r>
          </w:p>
        </w:tc>
        <w:tc>
          <w:tcPr>
            <w:tcW w:w="2100" w:type="dxa"/>
            <w:vAlign w:val="bottom"/>
          </w:tcPr>
          <w:p>
            <w:pPr>
              <w:spacing w:after="0"/>
              <w:rPr>
                <w:sz w:val="24"/>
                <w:szCs w:val="24"/>
                <w:color w:val="auto"/>
              </w:rPr>
            </w:pPr>
          </w:p>
        </w:tc>
        <w:tc>
          <w:tcPr>
            <w:tcW w:w="9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458,850</w:t>
            </w:r>
          </w:p>
        </w:tc>
        <w:tc>
          <w:tcPr>
            <w:tcW w:w="660" w:type="dxa"/>
            <w:vAlign w:val="bottom"/>
          </w:tcPr>
          <w:p>
            <w:pPr>
              <w:spacing w:after="0"/>
              <w:rPr>
                <w:sz w:val="24"/>
                <w:szCs w:val="24"/>
                <w:color w:val="auto"/>
              </w:rPr>
            </w:pPr>
          </w:p>
        </w:tc>
        <w:tc>
          <w:tcPr>
            <w:tcW w:w="110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384,566</w:t>
            </w:r>
          </w:p>
        </w:tc>
        <w:tc>
          <w:tcPr>
            <w:tcW w:w="760" w:type="dxa"/>
            <w:vAlign w:val="bottom"/>
          </w:tcPr>
          <w:p>
            <w:pPr>
              <w:spacing w:after="0"/>
              <w:rPr>
                <w:sz w:val="24"/>
                <w:szCs w:val="24"/>
                <w:color w:val="auto"/>
              </w:rPr>
            </w:pPr>
          </w:p>
        </w:tc>
        <w:tc>
          <w:tcPr>
            <w:tcW w:w="110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916,082</w:t>
            </w:r>
          </w:p>
        </w:tc>
        <w:tc>
          <w:tcPr>
            <w:tcW w:w="840" w:type="dxa"/>
            <w:vAlign w:val="bottom"/>
          </w:tcPr>
          <w:p>
            <w:pPr>
              <w:spacing w:after="0"/>
              <w:rPr>
                <w:sz w:val="24"/>
                <w:szCs w:val="24"/>
                <w:color w:val="auto"/>
              </w:rPr>
            </w:pP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723,757</w:t>
            </w:r>
          </w:p>
        </w:tc>
      </w:tr>
      <w:tr>
        <w:trPr>
          <w:trHeight w:val="358"/>
        </w:trPr>
        <w:tc>
          <w:tcPr>
            <w:tcW w:w="3020" w:type="dxa"/>
            <w:vAlign w:val="bottom"/>
          </w:tcPr>
          <w:p>
            <w:pPr>
              <w:spacing w:after="0"/>
              <w:rPr>
                <w:sz w:val="20"/>
                <w:szCs w:val="20"/>
                <w:color w:val="auto"/>
              </w:rPr>
            </w:pPr>
            <w:r>
              <w:rPr>
                <w:rFonts w:ascii="Courier New" w:cs="Courier New" w:eastAsia="Courier New" w:hAnsi="Courier New"/>
                <w:sz w:val="16"/>
                <w:szCs w:val="16"/>
                <w:color w:val="auto"/>
              </w:rPr>
              <w:t>Taxes on income</w:t>
            </w:r>
          </w:p>
        </w:tc>
        <w:tc>
          <w:tcPr>
            <w:tcW w:w="2100" w:type="dxa"/>
            <w:vAlign w:val="bottom"/>
          </w:tcPr>
          <w:p>
            <w:pPr>
              <w:spacing w:after="0"/>
              <w:rPr>
                <w:sz w:val="24"/>
                <w:szCs w:val="24"/>
                <w:color w:val="auto"/>
              </w:rPr>
            </w:pPr>
          </w:p>
        </w:tc>
        <w:tc>
          <w:tcPr>
            <w:tcW w:w="9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99,495</w:t>
            </w:r>
          </w:p>
        </w:tc>
        <w:tc>
          <w:tcPr>
            <w:tcW w:w="660" w:type="dxa"/>
            <w:vAlign w:val="bottom"/>
          </w:tcPr>
          <w:p>
            <w:pPr>
              <w:spacing w:after="0"/>
              <w:rPr>
                <w:sz w:val="24"/>
                <w:szCs w:val="24"/>
                <w:color w:val="auto"/>
              </w:rPr>
            </w:pPr>
          </w:p>
        </w:tc>
        <w:tc>
          <w:tcPr>
            <w:tcW w:w="110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78,060</w:t>
            </w:r>
          </w:p>
        </w:tc>
        <w:tc>
          <w:tcPr>
            <w:tcW w:w="760" w:type="dxa"/>
            <w:vAlign w:val="bottom"/>
          </w:tcPr>
          <w:p>
            <w:pPr>
              <w:spacing w:after="0"/>
              <w:rPr>
                <w:sz w:val="24"/>
                <w:szCs w:val="24"/>
                <w:color w:val="auto"/>
              </w:rPr>
            </w:pPr>
          </w:p>
        </w:tc>
        <w:tc>
          <w:tcPr>
            <w:tcW w:w="110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205,995</w:t>
            </w:r>
          </w:p>
        </w:tc>
        <w:tc>
          <w:tcPr>
            <w:tcW w:w="840" w:type="dxa"/>
            <w:vAlign w:val="bottom"/>
          </w:tcPr>
          <w:p>
            <w:pPr>
              <w:spacing w:after="0"/>
              <w:rPr>
                <w:sz w:val="24"/>
                <w:szCs w:val="24"/>
                <w:color w:val="auto"/>
              </w:rPr>
            </w:pP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157,308</w:t>
            </w:r>
          </w:p>
        </w:tc>
      </w:tr>
      <w:tr>
        <w:trPr>
          <w:trHeight w:val="179"/>
        </w:trPr>
        <w:tc>
          <w:tcPr>
            <w:tcW w:w="3020" w:type="dxa"/>
            <w:vAlign w:val="bottom"/>
          </w:tcPr>
          <w:p>
            <w:pPr>
              <w:spacing w:after="0"/>
              <w:rPr>
                <w:sz w:val="15"/>
                <w:szCs w:val="15"/>
                <w:color w:val="auto"/>
              </w:rPr>
            </w:pPr>
          </w:p>
        </w:tc>
        <w:tc>
          <w:tcPr>
            <w:tcW w:w="3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02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2100" w:type="dxa"/>
            <w:vAlign w:val="bottom"/>
          </w:tcPr>
          <w:p>
            <w:pPr>
              <w:ind w:left="2000"/>
              <w:spacing w:after="0"/>
              <w:rPr>
                <w:sz w:val="20"/>
                <w:szCs w:val="20"/>
                <w:color w:val="auto"/>
              </w:rPr>
            </w:pPr>
            <w:r>
              <w:rPr>
                <w:rFonts w:ascii="Courier New" w:cs="Courier New" w:eastAsia="Courier New" w:hAnsi="Courier New"/>
                <w:sz w:val="16"/>
                <w:szCs w:val="16"/>
                <w:color w:val="auto"/>
                <w:w w:val="82"/>
              </w:rPr>
              <w:t>$</w:t>
            </w:r>
          </w:p>
        </w:tc>
        <w:tc>
          <w:tcPr>
            <w:tcW w:w="9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359,355</w:t>
            </w:r>
          </w:p>
        </w:tc>
        <w:tc>
          <w:tcPr>
            <w:tcW w:w="660" w:type="dxa"/>
            <w:vAlign w:val="bottom"/>
          </w:tcPr>
          <w:p>
            <w:pPr>
              <w:ind w:left="560"/>
              <w:spacing w:after="0"/>
              <w:rPr>
                <w:sz w:val="20"/>
                <w:szCs w:val="20"/>
                <w:color w:val="auto"/>
              </w:rPr>
            </w:pPr>
            <w:r>
              <w:rPr>
                <w:rFonts w:ascii="Courier New" w:cs="Courier New" w:eastAsia="Courier New" w:hAnsi="Courier New"/>
                <w:sz w:val="16"/>
                <w:szCs w:val="16"/>
                <w:color w:val="auto"/>
                <w:w w:val="82"/>
              </w:rPr>
              <w:t>$</w:t>
            </w:r>
          </w:p>
        </w:tc>
        <w:tc>
          <w:tcPr>
            <w:tcW w:w="110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306,506</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710,087</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566,449</w:t>
            </w:r>
          </w:p>
        </w:tc>
      </w:tr>
      <w:tr>
        <w:trPr>
          <w:trHeight w:val="179"/>
        </w:trPr>
        <w:tc>
          <w:tcPr>
            <w:tcW w:w="3020" w:type="dxa"/>
            <w:vAlign w:val="bottom"/>
          </w:tcPr>
          <w:p>
            <w:pPr>
              <w:spacing w:after="0"/>
              <w:rPr>
                <w:sz w:val="15"/>
                <w:szCs w:val="15"/>
                <w:color w:val="auto"/>
              </w:rPr>
            </w:pPr>
          </w:p>
        </w:tc>
        <w:tc>
          <w:tcPr>
            <w:tcW w:w="3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020" w:type="dxa"/>
            <w:vAlign w:val="bottom"/>
          </w:tcPr>
          <w:p>
            <w:pPr>
              <w:spacing w:after="0"/>
              <w:rPr>
                <w:sz w:val="20"/>
                <w:szCs w:val="20"/>
                <w:color w:val="auto"/>
              </w:rPr>
            </w:pPr>
            <w:r>
              <w:rPr>
                <w:rFonts w:ascii="Courier New" w:cs="Courier New" w:eastAsia="Courier New" w:hAnsi="Courier New"/>
                <w:sz w:val="16"/>
                <w:szCs w:val="16"/>
                <w:color w:val="auto"/>
              </w:rPr>
              <w:t>Basic Earnings Per Share</w:t>
            </w:r>
          </w:p>
        </w:tc>
        <w:tc>
          <w:tcPr>
            <w:tcW w:w="2100" w:type="dxa"/>
            <w:vAlign w:val="bottom"/>
          </w:tcPr>
          <w:p>
            <w:pPr>
              <w:ind w:left="2000"/>
              <w:spacing w:after="0"/>
              <w:rPr>
                <w:sz w:val="20"/>
                <w:szCs w:val="20"/>
                <w:color w:val="auto"/>
              </w:rPr>
            </w:pPr>
            <w:r>
              <w:rPr>
                <w:rFonts w:ascii="Courier New" w:cs="Courier New" w:eastAsia="Courier New" w:hAnsi="Courier New"/>
                <w:sz w:val="16"/>
                <w:szCs w:val="16"/>
                <w:color w:val="auto"/>
                <w:w w:val="82"/>
              </w:rPr>
              <w:t>$</w:t>
            </w:r>
          </w:p>
        </w:tc>
        <w:tc>
          <w:tcPr>
            <w:tcW w:w="9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0.72</w:t>
            </w:r>
          </w:p>
        </w:tc>
        <w:tc>
          <w:tcPr>
            <w:tcW w:w="660" w:type="dxa"/>
            <w:vAlign w:val="bottom"/>
          </w:tcPr>
          <w:p>
            <w:pPr>
              <w:ind w:left="560"/>
              <w:spacing w:after="0"/>
              <w:rPr>
                <w:sz w:val="20"/>
                <w:szCs w:val="20"/>
                <w:color w:val="auto"/>
              </w:rPr>
            </w:pPr>
            <w:r>
              <w:rPr>
                <w:rFonts w:ascii="Courier New" w:cs="Courier New" w:eastAsia="Courier New" w:hAnsi="Courier New"/>
                <w:sz w:val="16"/>
                <w:szCs w:val="16"/>
                <w:color w:val="auto"/>
                <w:w w:val="82"/>
              </w:rPr>
              <w:t>$</w:t>
            </w:r>
          </w:p>
        </w:tc>
        <w:tc>
          <w:tcPr>
            <w:tcW w:w="110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0.62</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1.42</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1.15</w:t>
            </w:r>
          </w:p>
        </w:tc>
      </w:tr>
      <w:tr>
        <w:trPr>
          <w:trHeight w:val="179"/>
        </w:trPr>
        <w:tc>
          <w:tcPr>
            <w:tcW w:w="3020" w:type="dxa"/>
            <w:vAlign w:val="bottom"/>
          </w:tcPr>
          <w:p>
            <w:pPr>
              <w:spacing w:after="0"/>
              <w:rPr>
                <w:sz w:val="15"/>
                <w:szCs w:val="15"/>
                <w:color w:val="auto"/>
              </w:rPr>
            </w:pPr>
          </w:p>
        </w:tc>
        <w:tc>
          <w:tcPr>
            <w:tcW w:w="3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020" w:type="dxa"/>
            <w:vAlign w:val="bottom"/>
          </w:tcPr>
          <w:p>
            <w:pPr>
              <w:spacing w:after="0"/>
              <w:rPr>
                <w:sz w:val="20"/>
                <w:szCs w:val="20"/>
                <w:color w:val="auto"/>
              </w:rPr>
            </w:pPr>
            <w:r>
              <w:rPr>
                <w:rFonts w:ascii="Courier New" w:cs="Courier New" w:eastAsia="Courier New" w:hAnsi="Courier New"/>
                <w:sz w:val="16"/>
                <w:szCs w:val="16"/>
                <w:color w:val="auto"/>
              </w:rPr>
              <w:t>Diluted Earnings Per Share</w:t>
            </w:r>
          </w:p>
        </w:tc>
        <w:tc>
          <w:tcPr>
            <w:tcW w:w="2100" w:type="dxa"/>
            <w:vAlign w:val="bottom"/>
          </w:tcPr>
          <w:p>
            <w:pPr>
              <w:ind w:left="2000"/>
              <w:spacing w:after="0"/>
              <w:rPr>
                <w:sz w:val="20"/>
                <w:szCs w:val="20"/>
                <w:color w:val="auto"/>
              </w:rPr>
            </w:pPr>
            <w:r>
              <w:rPr>
                <w:rFonts w:ascii="Courier New" w:cs="Courier New" w:eastAsia="Courier New" w:hAnsi="Courier New"/>
                <w:sz w:val="16"/>
                <w:szCs w:val="16"/>
                <w:color w:val="auto"/>
                <w:w w:val="82"/>
              </w:rPr>
              <w:t>$</w:t>
            </w:r>
          </w:p>
        </w:tc>
        <w:tc>
          <w:tcPr>
            <w:tcW w:w="9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0.69</w:t>
            </w:r>
          </w:p>
        </w:tc>
        <w:tc>
          <w:tcPr>
            <w:tcW w:w="660" w:type="dxa"/>
            <w:vAlign w:val="bottom"/>
          </w:tcPr>
          <w:p>
            <w:pPr>
              <w:ind w:left="560"/>
              <w:spacing w:after="0"/>
              <w:rPr>
                <w:sz w:val="20"/>
                <w:szCs w:val="20"/>
                <w:color w:val="auto"/>
              </w:rPr>
            </w:pPr>
            <w:r>
              <w:rPr>
                <w:rFonts w:ascii="Courier New" w:cs="Courier New" w:eastAsia="Courier New" w:hAnsi="Courier New"/>
                <w:sz w:val="16"/>
                <w:szCs w:val="16"/>
                <w:color w:val="auto"/>
                <w:w w:val="82"/>
              </w:rPr>
              <w:t>$</w:t>
            </w:r>
          </w:p>
        </w:tc>
        <w:tc>
          <w:tcPr>
            <w:tcW w:w="110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0.60</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1.37</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1.11</w:t>
            </w:r>
          </w:p>
        </w:tc>
      </w:tr>
      <w:tr>
        <w:trPr>
          <w:trHeight w:val="179"/>
        </w:trPr>
        <w:tc>
          <w:tcPr>
            <w:tcW w:w="3020" w:type="dxa"/>
            <w:vAlign w:val="bottom"/>
          </w:tcPr>
          <w:p>
            <w:pPr>
              <w:spacing w:after="0"/>
              <w:rPr>
                <w:sz w:val="15"/>
                <w:szCs w:val="15"/>
                <w:color w:val="auto"/>
              </w:rPr>
            </w:pPr>
          </w:p>
        </w:tc>
        <w:tc>
          <w:tcPr>
            <w:tcW w:w="3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020" w:type="dxa"/>
            <w:vAlign w:val="bottom"/>
          </w:tcPr>
          <w:p>
            <w:pPr>
              <w:spacing w:after="0"/>
              <w:rPr>
                <w:sz w:val="20"/>
                <w:szCs w:val="20"/>
                <w:color w:val="auto"/>
              </w:rPr>
            </w:pPr>
            <w:r>
              <w:rPr>
                <w:rFonts w:ascii="Courier New" w:cs="Courier New" w:eastAsia="Courier New" w:hAnsi="Courier New"/>
                <w:sz w:val="16"/>
                <w:szCs w:val="16"/>
                <w:color w:val="auto"/>
              </w:rPr>
              <w:t>Average Shares Outstanding</w:t>
            </w:r>
          </w:p>
        </w:tc>
        <w:tc>
          <w:tcPr>
            <w:tcW w:w="2100" w:type="dxa"/>
            <w:vAlign w:val="bottom"/>
          </w:tcPr>
          <w:p>
            <w:pPr>
              <w:spacing w:after="0"/>
              <w:rPr>
                <w:sz w:val="24"/>
                <w:szCs w:val="24"/>
                <w:color w:val="auto"/>
              </w:rPr>
            </w:pPr>
          </w:p>
        </w:tc>
        <w:tc>
          <w:tcPr>
            <w:tcW w:w="9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498,853</w:t>
            </w:r>
          </w:p>
        </w:tc>
        <w:tc>
          <w:tcPr>
            <w:tcW w:w="660" w:type="dxa"/>
            <w:vAlign w:val="bottom"/>
          </w:tcPr>
          <w:p>
            <w:pPr>
              <w:spacing w:after="0"/>
              <w:rPr>
                <w:sz w:val="24"/>
                <w:szCs w:val="24"/>
                <w:color w:val="auto"/>
              </w:rPr>
            </w:pPr>
          </w:p>
        </w:tc>
        <w:tc>
          <w:tcPr>
            <w:tcW w:w="110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493,863</w:t>
            </w:r>
          </w:p>
        </w:tc>
        <w:tc>
          <w:tcPr>
            <w:tcW w:w="760" w:type="dxa"/>
            <w:vAlign w:val="bottom"/>
          </w:tcPr>
          <w:p>
            <w:pPr>
              <w:spacing w:after="0"/>
              <w:rPr>
                <w:sz w:val="24"/>
                <w:szCs w:val="24"/>
                <w:color w:val="auto"/>
              </w:rPr>
            </w:pPr>
          </w:p>
        </w:tc>
        <w:tc>
          <w:tcPr>
            <w:tcW w:w="110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498,563</w:t>
            </w:r>
          </w:p>
        </w:tc>
        <w:tc>
          <w:tcPr>
            <w:tcW w:w="840" w:type="dxa"/>
            <w:vAlign w:val="bottom"/>
          </w:tcPr>
          <w:p>
            <w:pPr>
              <w:spacing w:after="0"/>
              <w:rPr>
                <w:sz w:val="24"/>
                <w:szCs w:val="24"/>
                <w:color w:val="auto"/>
              </w:rPr>
            </w:pP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493,644</w:t>
            </w:r>
          </w:p>
        </w:tc>
      </w:tr>
      <w:tr>
        <w:trPr>
          <w:trHeight w:val="179"/>
        </w:trPr>
        <w:tc>
          <w:tcPr>
            <w:tcW w:w="3020" w:type="dxa"/>
            <w:vAlign w:val="bottom"/>
          </w:tcPr>
          <w:p>
            <w:pPr>
              <w:spacing w:after="0"/>
              <w:rPr>
                <w:sz w:val="15"/>
                <w:szCs w:val="15"/>
                <w:color w:val="auto"/>
              </w:rPr>
            </w:pPr>
          </w:p>
        </w:tc>
        <w:tc>
          <w:tcPr>
            <w:tcW w:w="3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020" w:type="dxa"/>
            <w:vAlign w:val="bottom"/>
          </w:tcPr>
          <w:p>
            <w:pPr>
              <w:spacing w:after="0"/>
              <w:rPr>
                <w:sz w:val="20"/>
                <w:szCs w:val="20"/>
                <w:color w:val="auto"/>
              </w:rPr>
            </w:pPr>
            <w:r>
              <w:rPr>
                <w:rFonts w:ascii="Courier New" w:cs="Courier New" w:eastAsia="Courier New" w:hAnsi="Courier New"/>
                <w:sz w:val="16"/>
                <w:szCs w:val="16"/>
                <w:color w:val="auto"/>
              </w:rPr>
              <w:t>Average shares outstanding</w:t>
            </w:r>
          </w:p>
        </w:tc>
        <w:tc>
          <w:tcPr>
            <w:tcW w:w="2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9"/>
        </w:trPr>
        <w:tc>
          <w:tcPr>
            <w:tcW w:w="30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assuming dilution</w:t>
            </w:r>
          </w:p>
        </w:tc>
        <w:tc>
          <w:tcPr>
            <w:tcW w:w="2100" w:type="dxa"/>
            <w:vAlign w:val="bottom"/>
          </w:tcPr>
          <w:p>
            <w:pPr>
              <w:spacing w:after="0"/>
              <w:rPr>
                <w:sz w:val="15"/>
                <w:szCs w:val="15"/>
                <w:color w:val="auto"/>
              </w:rPr>
            </w:pPr>
          </w:p>
        </w:tc>
        <w:tc>
          <w:tcPr>
            <w:tcW w:w="9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519,065</w:t>
            </w:r>
          </w:p>
        </w:tc>
        <w:tc>
          <w:tcPr>
            <w:tcW w:w="66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510,961</w:t>
            </w:r>
          </w:p>
        </w:tc>
        <w:tc>
          <w:tcPr>
            <w:tcW w:w="760" w:type="dxa"/>
            <w:vAlign w:val="bottom"/>
          </w:tcPr>
          <w:p>
            <w:pPr>
              <w:spacing w:after="0"/>
              <w:rPr>
                <w:sz w:val="15"/>
                <w:szCs w:val="15"/>
                <w:color w:val="auto"/>
              </w:rPr>
            </w:pPr>
          </w:p>
        </w:tc>
        <w:tc>
          <w:tcPr>
            <w:tcW w:w="110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518,754</w:t>
            </w:r>
          </w:p>
        </w:tc>
        <w:tc>
          <w:tcPr>
            <w:tcW w:w="84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510,091</w:t>
            </w:r>
          </w:p>
        </w:tc>
      </w:tr>
      <w:tr>
        <w:trPr>
          <w:trHeight w:val="179"/>
        </w:trPr>
        <w:tc>
          <w:tcPr>
            <w:tcW w:w="3020" w:type="dxa"/>
            <w:vAlign w:val="bottom"/>
          </w:tcPr>
          <w:p>
            <w:pPr>
              <w:spacing w:after="0"/>
              <w:rPr>
                <w:sz w:val="15"/>
                <w:szCs w:val="15"/>
                <w:color w:val="auto"/>
              </w:rPr>
            </w:pPr>
          </w:p>
        </w:tc>
        <w:tc>
          <w:tcPr>
            <w:tcW w:w="3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3020" w:type="dxa"/>
            <w:vAlign w:val="bottom"/>
          </w:tcPr>
          <w:p>
            <w:pPr>
              <w:spacing w:after="0"/>
              <w:rPr>
                <w:sz w:val="20"/>
                <w:szCs w:val="20"/>
                <w:color w:val="auto"/>
              </w:rPr>
            </w:pPr>
            <w:r>
              <w:rPr>
                <w:rFonts w:ascii="Courier New" w:cs="Courier New" w:eastAsia="Courier New" w:hAnsi="Courier New"/>
                <w:sz w:val="16"/>
                <w:szCs w:val="16"/>
                <w:color w:val="auto"/>
              </w:rPr>
              <w:t>Dividends declared per share</w:t>
            </w:r>
          </w:p>
        </w:tc>
        <w:tc>
          <w:tcPr>
            <w:tcW w:w="2100" w:type="dxa"/>
            <w:vAlign w:val="bottom"/>
          </w:tcPr>
          <w:p>
            <w:pPr>
              <w:ind w:left="2000"/>
              <w:spacing w:after="0"/>
              <w:rPr>
                <w:sz w:val="20"/>
                <w:szCs w:val="20"/>
                <w:color w:val="auto"/>
              </w:rPr>
            </w:pPr>
            <w:r>
              <w:rPr>
                <w:rFonts w:ascii="Courier New" w:cs="Courier New" w:eastAsia="Courier New" w:hAnsi="Courier New"/>
                <w:sz w:val="16"/>
                <w:szCs w:val="16"/>
                <w:color w:val="auto"/>
                <w:w w:val="82"/>
              </w:rPr>
              <w:t>$</w:t>
            </w:r>
          </w:p>
        </w:tc>
        <w:tc>
          <w:tcPr>
            <w:tcW w:w="9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0.1875</w:t>
            </w:r>
          </w:p>
        </w:tc>
        <w:tc>
          <w:tcPr>
            <w:tcW w:w="660" w:type="dxa"/>
            <w:vAlign w:val="bottom"/>
          </w:tcPr>
          <w:p>
            <w:pPr>
              <w:ind w:left="560"/>
              <w:spacing w:after="0"/>
              <w:rPr>
                <w:sz w:val="20"/>
                <w:szCs w:val="20"/>
                <w:color w:val="auto"/>
              </w:rPr>
            </w:pPr>
            <w:r>
              <w:rPr>
                <w:rFonts w:ascii="Courier New" w:cs="Courier New" w:eastAsia="Courier New" w:hAnsi="Courier New"/>
                <w:sz w:val="16"/>
                <w:szCs w:val="16"/>
                <w:color w:val="auto"/>
                <w:w w:val="82"/>
              </w:rPr>
              <w:t>$</w:t>
            </w:r>
          </w:p>
        </w:tc>
        <w:tc>
          <w:tcPr>
            <w:tcW w:w="110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0.1875</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0.375</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0.375</w:t>
            </w:r>
          </w:p>
        </w:tc>
      </w:tr>
      <w:tr>
        <w:trPr>
          <w:trHeight w:val="179"/>
        </w:trPr>
        <w:tc>
          <w:tcPr>
            <w:tcW w:w="3020" w:type="dxa"/>
            <w:vAlign w:val="bottom"/>
          </w:tcPr>
          <w:p>
            <w:pPr>
              <w:spacing w:after="0"/>
              <w:rPr>
                <w:sz w:val="15"/>
                <w:szCs w:val="15"/>
                <w:color w:val="auto"/>
              </w:rPr>
            </w:pPr>
          </w:p>
        </w:tc>
        <w:tc>
          <w:tcPr>
            <w:tcW w:w="30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4260"/>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1520"/>
          </w:cols>
          <w:pgMar w:left="240" w:top="648" w:right="139" w:bottom="1440" w:gutter="0" w:footer="0" w:header="0"/>
        </w:sectPr>
      </w:pPr>
    </w:p>
    <w:bookmarkStart w:id="2" w:name="page3"/>
    <w:bookmarkEnd w:id="2"/>
    <w:p>
      <w:pPr>
        <w:ind w:left="2700"/>
        <w:spacing w:after="0"/>
        <w:rPr>
          <w:sz w:val="20"/>
          <w:szCs w:val="20"/>
          <w:color w:val="auto"/>
        </w:rPr>
      </w:pPr>
      <w:r>
        <w:rPr>
          <w:rFonts w:ascii="Courier New" w:cs="Courier New" w:eastAsia="Courier New" w:hAnsi="Courier New"/>
          <w:sz w:val="16"/>
          <w:szCs w:val="16"/>
          <w:color w:val="auto"/>
        </w:rPr>
        <w:t>SCHLUMBERGER LIMITED</w:t>
      </w:r>
    </w:p>
    <w:p>
      <w:pPr>
        <w:ind w:left="2700"/>
        <w:spacing w:after="0" w:line="236" w:lineRule="auto"/>
        <w:rPr>
          <w:sz w:val="20"/>
          <w:szCs w:val="20"/>
          <w:color w:val="auto"/>
        </w:rPr>
      </w:pPr>
      <w:r>
        <w:rPr>
          <w:rFonts w:ascii="Courier New" w:cs="Courier New" w:eastAsia="Courier New" w:hAnsi="Courier New"/>
          <w:sz w:val="16"/>
          <w:szCs w:val="16"/>
          <w:color w:val="auto"/>
        </w:rPr>
        <w:t>--------------------</w:t>
      </w:r>
    </w:p>
    <w:p>
      <w:pPr>
        <w:jc w:val="center"/>
        <w:ind w:right="2879"/>
        <w:spacing w:after="0" w:line="237" w:lineRule="auto"/>
        <w:rPr>
          <w:sz w:val="20"/>
          <w:szCs w:val="20"/>
          <w:color w:val="auto"/>
        </w:rPr>
      </w:pPr>
      <w:r>
        <w:rPr>
          <w:rFonts w:ascii="Courier New" w:cs="Courier New" w:eastAsia="Courier New" w:hAnsi="Courier New"/>
          <w:sz w:val="16"/>
          <w:szCs w:val="16"/>
          <w:color w:val="auto"/>
        </w:rPr>
        <w:t>(Schlumberger N.V., Incorporated in the Netherlands Antilles)</w:t>
      </w:r>
    </w:p>
    <w:p>
      <w:pPr>
        <w:jc w:val="center"/>
        <w:ind w:right="2779"/>
        <w:spacing w:after="0" w:line="237" w:lineRule="auto"/>
        <w:rPr>
          <w:sz w:val="20"/>
          <w:szCs w:val="20"/>
          <w:color w:val="auto"/>
        </w:rPr>
      </w:pPr>
      <w:r>
        <w:rPr>
          <w:rFonts w:ascii="Courier New" w:cs="Courier New" w:eastAsia="Courier New" w:hAnsi="Courier New"/>
          <w:sz w:val="16"/>
          <w:szCs w:val="16"/>
          <w:color w:val="auto"/>
        </w:rPr>
        <w:t>AND SUBSIDIARY COMPANIES</w:t>
      </w:r>
    </w:p>
    <w:p>
      <w:pPr>
        <w:spacing w:after="0" w:line="177"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CONSOLIDATED BALANCE SHEET</w:t>
      </w:r>
    </w:p>
    <w:p>
      <w:pPr>
        <w:ind w:left="2500"/>
        <w:spacing w:after="0" w:line="236" w:lineRule="auto"/>
        <w:rPr>
          <w:sz w:val="20"/>
          <w:szCs w:val="20"/>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80"/>
        </w:trPr>
        <w:tc>
          <w:tcPr>
            <w:tcW w:w="4640" w:type="dxa"/>
            <w:vAlign w:val="bottom"/>
          </w:tcPr>
          <w:p>
            <w:pPr>
              <w:ind w:left="3160"/>
              <w:spacing w:after="0" w:line="179" w:lineRule="exact"/>
              <w:rPr>
                <w:sz w:val="20"/>
                <w:szCs w:val="20"/>
                <w:color w:val="auto"/>
              </w:rPr>
            </w:pPr>
            <w:r>
              <w:rPr>
                <w:rFonts w:ascii="Courier New" w:cs="Courier New" w:eastAsia="Courier New" w:hAnsi="Courier New"/>
                <w:sz w:val="16"/>
                <w:szCs w:val="16"/>
                <w:color w:val="auto"/>
              </w:rPr>
              <w:t>(Unaudited)</w:t>
            </w:r>
          </w:p>
        </w:tc>
        <w:tc>
          <w:tcPr>
            <w:tcW w:w="14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716"/>
        </w:trPr>
        <w:tc>
          <w:tcPr>
            <w:tcW w:w="4640" w:type="dxa"/>
            <w:vAlign w:val="bottom"/>
          </w:tcPr>
          <w:p>
            <w:pPr>
              <w:spacing w:after="0"/>
              <w:rPr>
                <w:sz w:val="24"/>
                <w:szCs w:val="24"/>
                <w:color w:val="auto"/>
              </w:rPr>
            </w:pPr>
          </w:p>
        </w:tc>
        <w:tc>
          <w:tcPr>
            <w:tcW w:w="26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(Dollars in thousands)</w:t>
            </w:r>
          </w:p>
        </w:tc>
      </w:tr>
      <w:tr>
        <w:trPr>
          <w:trHeight w:val="358"/>
        </w:trPr>
        <w:tc>
          <w:tcPr>
            <w:tcW w:w="4640" w:type="dxa"/>
            <w:vAlign w:val="bottom"/>
          </w:tcPr>
          <w:p>
            <w:pPr>
              <w:spacing w:after="0"/>
              <w:rPr>
                <w:sz w:val="24"/>
                <w:szCs w:val="24"/>
                <w:color w:val="auto"/>
              </w:rPr>
            </w:pPr>
          </w:p>
        </w:tc>
        <w:tc>
          <w:tcPr>
            <w:tcW w:w="14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Jun. 30,</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Dec. 31,</w:t>
            </w:r>
          </w:p>
        </w:tc>
      </w:tr>
      <w:tr>
        <w:trPr>
          <w:trHeight w:val="179"/>
        </w:trPr>
        <w:tc>
          <w:tcPr>
            <w:tcW w:w="4640" w:type="dxa"/>
            <w:vAlign w:val="bottom"/>
          </w:tcPr>
          <w:p>
            <w:pPr>
              <w:spacing w:after="0"/>
              <w:rPr>
                <w:sz w:val="15"/>
                <w:szCs w:val="15"/>
                <w:color w:val="auto"/>
              </w:rPr>
            </w:pPr>
          </w:p>
        </w:tc>
        <w:tc>
          <w:tcPr>
            <w:tcW w:w="14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1998</w:t>
            </w:r>
          </w:p>
        </w:tc>
        <w:tc>
          <w:tcPr>
            <w:tcW w:w="122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1997</w:t>
            </w:r>
          </w:p>
        </w:tc>
      </w:tr>
      <w:tr>
        <w:trPr>
          <w:trHeight w:val="179"/>
        </w:trPr>
        <w:tc>
          <w:tcPr>
            <w:tcW w:w="4640" w:type="dxa"/>
            <w:vAlign w:val="bottom"/>
          </w:tcPr>
          <w:p>
            <w:pPr>
              <w:spacing w:after="0"/>
              <w:rPr>
                <w:sz w:val="15"/>
                <w:szCs w:val="15"/>
                <w:color w:val="auto"/>
              </w:rPr>
            </w:pP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64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9"/>
        </w:trPr>
        <w:tc>
          <w:tcPr>
            <w:tcW w:w="464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14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358"/>
        </w:trPr>
        <w:tc>
          <w:tcPr>
            <w:tcW w:w="464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9"/>
        </w:trPr>
        <w:tc>
          <w:tcPr>
            <w:tcW w:w="464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and short-term investments</w:t>
            </w: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$ 1,781,252</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$ 1,761,077</w:t>
            </w:r>
          </w:p>
        </w:tc>
      </w:tr>
      <w:tr>
        <w:trPr>
          <w:trHeight w:val="179"/>
        </w:trPr>
        <w:tc>
          <w:tcPr>
            <w:tcW w:w="4640" w:type="dxa"/>
            <w:vAlign w:val="bottom"/>
          </w:tcPr>
          <w:p>
            <w:pPr>
              <w:spacing w:after="0" w:line="179" w:lineRule="exact"/>
              <w:rPr>
                <w:sz w:val="20"/>
                <w:szCs w:val="20"/>
                <w:color w:val="auto"/>
              </w:rPr>
            </w:pPr>
            <w:r>
              <w:rPr>
                <w:rFonts w:ascii="Courier New" w:cs="Courier New" w:eastAsia="Courier New" w:hAnsi="Courier New"/>
                <w:sz w:val="16"/>
                <w:szCs w:val="16"/>
                <w:color w:val="auto"/>
              </w:rPr>
              <w:t>Receivables less allowance for doubtful accounts</w:t>
            </w:r>
          </w:p>
        </w:tc>
        <w:tc>
          <w:tcPr>
            <w:tcW w:w="14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9"/>
        </w:trPr>
        <w:tc>
          <w:tcPr>
            <w:tcW w:w="46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(1998 - $71,237; 1997 - $60,535)</w:t>
            </w: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3,110,759</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2,819,898</w:t>
            </w:r>
          </w:p>
        </w:tc>
      </w:tr>
      <w:tr>
        <w:trPr>
          <w:trHeight w:val="179"/>
        </w:trPr>
        <w:tc>
          <w:tcPr>
            <w:tcW w:w="4640" w:type="dxa"/>
            <w:vAlign w:val="bottom"/>
          </w:tcPr>
          <w:p>
            <w:pPr>
              <w:spacing w:after="0" w:line="179" w:lineRule="exact"/>
              <w:rPr>
                <w:sz w:val="20"/>
                <w:szCs w:val="20"/>
                <w:color w:val="auto"/>
              </w:rPr>
            </w:pPr>
            <w:r>
              <w:rPr>
                <w:rFonts w:ascii="Courier New" w:cs="Courier New" w:eastAsia="Courier New" w:hAnsi="Courier New"/>
                <w:sz w:val="16"/>
                <w:szCs w:val="16"/>
                <w:color w:val="auto"/>
              </w:rPr>
              <w:t>Inventories</w:t>
            </w: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1,224,328</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1,094,070</w:t>
            </w:r>
          </w:p>
        </w:tc>
      </w:tr>
      <w:tr>
        <w:trPr>
          <w:trHeight w:val="179"/>
        </w:trPr>
        <w:tc>
          <w:tcPr>
            <w:tcW w:w="4640" w:type="dxa"/>
            <w:vAlign w:val="bottom"/>
          </w:tcPr>
          <w:p>
            <w:pPr>
              <w:spacing w:after="0" w:line="179" w:lineRule="exact"/>
              <w:rPr>
                <w:sz w:val="20"/>
                <w:szCs w:val="20"/>
                <w:color w:val="auto"/>
              </w:rPr>
            </w:pPr>
            <w:r>
              <w:rPr>
                <w:rFonts w:ascii="Courier New" w:cs="Courier New" w:eastAsia="Courier New" w:hAnsi="Courier New"/>
                <w:sz w:val="16"/>
                <w:szCs w:val="16"/>
                <w:color w:val="auto"/>
              </w:rPr>
              <w:t>Deferred taxes on income</w:t>
            </w: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174,748</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175,927</w:t>
            </w:r>
          </w:p>
        </w:tc>
      </w:tr>
      <w:tr>
        <w:trPr>
          <w:trHeight w:val="179"/>
        </w:trPr>
        <w:tc>
          <w:tcPr>
            <w:tcW w:w="464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current assets</w:t>
            </w: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228,993</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220,248</w:t>
            </w:r>
          </w:p>
        </w:tc>
      </w:tr>
      <w:tr>
        <w:trPr>
          <w:trHeight w:val="179"/>
        </w:trPr>
        <w:tc>
          <w:tcPr>
            <w:tcW w:w="4640" w:type="dxa"/>
            <w:vAlign w:val="bottom"/>
          </w:tcPr>
          <w:p>
            <w:pPr>
              <w:spacing w:after="0"/>
              <w:rPr>
                <w:sz w:val="15"/>
                <w:szCs w:val="15"/>
                <w:color w:val="auto"/>
              </w:rPr>
            </w:pP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640" w:type="dxa"/>
            <w:vAlign w:val="bottom"/>
          </w:tcPr>
          <w:p>
            <w:pPr>
              <w:spacing w:after="0"/>
              <w:rPr>
                <w:sz w:val="15"/>
                <w:szCs w:val="15"/>
                <w:color w:val="auto"/>
              </w:rPr>
            </w:pP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6,520,080</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6,071,220</w:t>
            </w:r>
          </w:p>
        </w:tc>
      </w:tr>
      <w:tr>
        <w:trPr>
          <w:trHeight w:val="358"/>
        </w:trPr>
        <w:tc>
          <w:tcPr>
            <w:tcW w:w="4640" w:type="dxa"/>
            <w:vAlign w:val="bottom"/>
          </w:tcPr>
          <w:p>
            <w:pPr>
              <w:spacing w:after="0"/>
              <w:rPr>
                <w:sz w:val="20"/>
                <w:szCs w:val="20"/>
                <w:color w:val="auto"/>
              </w:rPr>
            </w:pPr>
            <w:r>
              <w:rPr>
                <w:rFonts w:ascii="Courier New" w:cs="Courier New" w:eastAsia="Courier New" w:hAnsi="Courier New"/>
                <w:sz w:val="16"/>
                <w:szCs w:val="16"/>
                <w:color w:val="auto"/>
              </w:rPr>
              <w:t>LONG-TERM INVESTMENTS, HELD TO MATURITY</w:t>
            </w:r>
          </w:p>
        </w:tc>
        <w:tc>
          <w:tcPr>
            <w:tcW w:w="14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679,978</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742,751</w:t>
            </w:r>
          </w:p>
        </w:tc>
      </w:tr>
      <w:tr>
        <w:trPr>
          <w:trHeight w:val="358"/>
        </w:trPr>
        <w:tc>
          <w:tcPr>
            <w:tcW w:w="4640" w:type="dxa"/>
            <w:vAlign w:val="bottom"/>
          </w:tcPr>
          <w:p>
            <w:pPr>
              <w:spacing w:after="0"/>
              <w:rPr>
                <w:sz w:val="20"/>
                <w:szCs w:val="20"/>
                <w:color w:val="auto"/>
              </w:rPr>
            </w:pPr>
            <w:r>
              <w:rPr>
                <w:rFonts w:ascii="Courier New" w:cs="Courier New" w:eastAsia="Courier New" w:hAnsi="Courier New"/>
                <w:sz w:val="16"/>
                <w:szCs w:val="16"/>
                <w:color w:val="auto"/>
              </w:rPr>
              <w:t>FIXED ASSETS:</w:t>
            </w: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9"/>
        </w:trPr>
        <w:tc>
          <w:tcPr>
            <w:tcW w:w="4640" w:type="dxa"/>
            <w:vAlign w:val="bottom"/>
          </w:tcPr>
          <w:p>
            <w:pPr>
              <w:spacing w:after="0" w:line="179" w:lineRule="exact"/>
              <w:rPr>
                <w:sz w:val="20"/>
                <w:szCs w:val="20"/>
                <w:color w:val="auto"/>
              </w:rPr>
            </w:pPr>
            <w:r>
              <w:rPr>
                <w:rFonts w:ascii="Courier New" w:cs="Courier New" w:eastAsia="Courier New" w:hAnsi="Courier New"/>
                <w:sz w:val="16"/>
                <w:szCs w:val="16"/>
                <w:color w:val="auto"/>
              </w:rPr>
              <w:t>Property, plant and equipment</w:t>
            </w: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10,622,855</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10,210,105</w:t>
            </w:r>
          </w:p>
        </w:tc>
      </w:tr>
      <w:tr>
        <w:trPr>
          <w:trHeight w:val="179"/>
        </w:trPr>
        <w:tc>
          <w:tcPr>
            <w:tcW w:w="4640" w:type="dxa"/>
            <w:vAlign w:val="bottom"/>
          </w:tcPr>
          <w:p>
            <w:pPr>
              <w:spacing w:after="0" w:line="179" w:lineRule="exact"/>
              <w:rPr>
                <w:sz w:val="20"/>
                <w:szCs w:val="20"/>
                <w:color w:val="auto"/>
              </w:rPr>
            </w:pPr>
            <w:r>
              <w:rPr>
                <w:rFonts w:ascii="Courier New" w:cs="Courier New" w:eastAsia="Courier New" w:hAnsi="Courier New"/>
                <w:sz w:val="16"/>
                <w:szCs w:val="16"/>
                <w:color w:val="auto"/>
              </w:rPr>
              <w:t>Less accumulated depreciation</w:t>
            </w:r>
          </w:p>
        </w:tc>
        <w:tc>
          <w:tcPr>
            <w:tcW w:w="1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(6,614,868)</w:t>
            </w: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(6,441,466)</w:t>
            </w:r>
          </w:p>
        </w:tc>
      </w:tr>
      <w:tr>
        <w:trPr>
          <w:trHeight w:val="179"/>
        </w:trPr>
        <w:tc>
          <w:tcPr>
            <w:tcW w:w="4640" w:type="dxa"/>
            <w:vAlign w:val="bottom"/>
          </w:tcPr>
          <w:p>
            <w:pPr>
              <w:spacing w:after="0"/>
              <w:rPr>
                <w:sz w:val="15"/>
                <w:szCs w:val="15"/>
                <w:color w:val="auto"/>
              </w:rPr>
            </w:pP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640" w:type="dxa"/>
            <w:vAlign w:val="bottom"/>
          </w:tcPr>
          <w:p>
            <w:pPr>
              <w:spacing w:after="0"/>
              <w:rPr>
                <w:sz w:val="15"/>
                <w:szCs w:val="15"/>
                <w:color w:val="auto"/>
              </w:rPr>
            </w:pP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4,007,987</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3,768,639</w:t>
            </w:r>
          </w:p>
        </w:tc>
      </w:tr>
      <w:tr>
        <w:trPr>
          <w:trHeight w:val="179"/>
        </w:trPr>
        <w:tc>
          <w:tcPr>
            <w:tcW w:w="4640" w:type="dxa"/>
            <w:vAlign w:val="bottom"/>
          </w:tcPr>
          <w:p>
            <w:pPr>
              <w:spacing w:after="0" w:line="179" w:lineRule="exact"/>
              <w:rPr>
                <w:sz w:val="20"/>
                <w:szCs w:val="20"/>
                <w:color w:val="auto"/>
              </w:rPr>
            </w:pPr>
            <w:r>
              <w:rPr>
                <w:rFonts w:ascii="Courier New" w:cs="Courier New" w:eastAsia="Courier New" w:hAnsi="Courier New"/>
                <w:sz w:val="16"/>
                <w:szCs w:val="16"/>
                <w:color w:val="auto"/>
              </w:rPr>
              <w:t>EXCESS OF INVESTMENT OVER NET ASSETS OF</w:t>
            </w:r>
          </w:p>
        </w:tc>
        <w:tc>
          <w:tcPr>
            <w:tcW w:w="14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9"/>
        </w:trPr>
        <w:tc>
          <w:tcPr>
            <w:tcW w:w="46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COMPANIES PURCHASED less amortization</w:t>
            </w: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1,146,923</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1,167,624</w:t>
            </w:r>
          </w:p>
        </w:tc>
      </w:tr>
      <w:tr>
        <w:trPr>
          <w:trHeight w:val="179"/>
        </w:trPr>
        <w:tc>
          <w:tcPr>
            <w:tcW w:w="4640" w:type="dxa"/>
            <w:vAlign w:val="bottom"/>
          </w:tcPr>
          <w:p>
            <w:pPr>
              <w:spacing w:after="0" w:line="179" w:lineRule="exact"/>
              <w:rPr>
                <w:sz w:val="20"/>
                <w:szCs w:val="20"/>
                <w:color w:val="auto"/>
              </w:rPr>
            </w:pPr>
            <w:r>
              <w:rPr>
                <w:rFonts w:ascii="Courier New" w:cs="Courier New" w:eastAsia="Courier New" w:hAnsi="Courier New"/>
                <w:sz w:val="16"/>
                <w:szCs w:val="16"/>
                <w:color w:val="auto"/>
              </w:rPr>
              <w:t>DEFERRED TAXES ON INCOME</w:t>
            </w: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223,855</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202,774</w:t>
            </w:r>
          </w:p>
        </w:tc>
      </w:tr>
      <w:tr>
        <w:trPr>
          <w:trHeight w:val="179"/>
        </w:trPr>
        <w:tc>
          <w:tcPr>
            <w:tcW w:w="464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ASSETS</w:t>
            </w: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146,668</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143,723</w:t>
            </w:r>
          </w:p>
        </w:tc>
      </w:tr>
      <w:tr>
        <w:trPr>
          <w:trHeight w:val="179"/>
        </w:trPr>
        <w:tc>
          <w:tcPr>
            <w:tcW w:w="4640" w:type="dxa"/>
            <w:vAlign w:val="bottom"/>
          </w:tcPr>
          <w:p>
            <w:pPr>
              <w:spacing w:after="0"/>
              <w:rPr>
                <w:sz w:val="15"/>
                <w:szCs w:val="15"/>
                <w:color w:val="auto"/>
              </w:rPr>
            </w:pP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640" w:type="dxa"/>
            <w:vAlign w:val="bottom"/>
          </w:tcPr>
          <w:p>
            <w:pPr>
              <w:spacing w:after="0"/>
              <w:rPr>
                <w:sz w:val="24"/>
                <w:szCs w:val="24"/>
                <w:color w:val="auto"/>
              </w:rPr>
            </w:pPr>
          </w:p>
        </w:tc>
        <w:tc>
          <w:tcPr>
            <w:tcW w:w="14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$12,725,491</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$12,096,731</w:t>
            </w:r>
          </w:p>
        </w:tc>
      </w:tr>
      <w:tr>
        <w:trPr>
          <w:trHeight w:val="179"/>
        </w:trPr>
        <w:tc>
          <w:tcPr>
            <w:tcW w:w="4640" w:type="dxa"/>
            <w:vAlign w:val="bottom"/>
          </w:tcPr>
          <w:p>
            <w:pPr>
              <w:spacing w:after="0"/>
              <w:rPr>
                <w:sz w:val="15"/>
                <w:szCs w:val="15"/>
                <w:color w:val="auto"/>
              </w:rPr>
            </w:pP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640" w:type="dxa"/>
            <w:vAlign w:val="bottom"/>
          </w:tcPr>
          <w:p>
            <w:pPr>
              <w:spacing w:after="0"/>
              <w:rPr>
                <w:sz w:val="20"/>
                <w:szCs w:val="20"/>
                <w:color w:val="auto"/>
              </w:rPr>
            </w:pPr>
            <w:r>
              <w:rPr>
                <w:rFonts w:ascii="Courier New" w:cs="Courier New" w:eastAsia="Courier New" w:hAnsi="Courier New"/>
                <w:sz w:val="16"/>
                <w:szCs w:val="16"/>
                <w:color w:val="auto"/>
              </w:rPr>
              <w:t>LIABILITIES &amp; STOCKHOLDERS' EQUITY</w:t>
            </w: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9"/>
        </w:trPr>
        <w:tc>
          <w:tcPr>
            <w:tcW w:w="464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14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358"/>
        </w:trPr>
        <w:tc>
          <w:tcPr>
            <w:tcW w:w="464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9"/>
        </w:trPr>
        <w:tc>
          <w:tcPr>
            <w:tcW w:w="4640" w:type="dxa"/>
            <w:vAlign w:val="bottom"/>
          </w:tcPr>
          <w:p>
            <w:pPr>
              <w:spacing w:after="0" w:line="179" w:lineRule="exact"/>
              <w:rPr>
                <w:sz w:val="20"/>
                <w:szCs w:val="20"/>
                <w:color w:val="auto"/>
              </w:rPr>
            </w:pPr>
            <w:r>
              <w:rPr>
                <w:rFonts w:ascii="Courier New" w:cs="Courier New" w:eastAsia="Courier New" w:hAnsi="Courier New"/>
                <w:sz w:val="16"/>
                <w:szCs w:val="16"/>
                <w:color w:val="auto"/>
              </w:rPr>
              <w:t>Accounts payable and accrued liabilities</w:t>
            </w: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$ 2,337,198</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$ 2,297,370</w:t>
            </w:r>
          </w:p>
        </w:tc>
      </w:tr>
      <w:tr>
        <w:trPr>
          <w:trHeight w:val="179"/>
        </w:trPr>
        <w:tc>
          <w:tcPr>
            <w:tcW w:w="4640" w:type="dxa"/>
            <w:vAlign w:val="bottom"/>
          </w:tcPr>
          <w:p>
            <w:pPr>
              <w:spacing w:after="0" w:line="179" w:lineRule="exact"/>
              <w:rPr>
                <w:sz w:val="20"/>
                <w:szCs w:val="20"/>
                <w:color w:val="auto"/>
              </w:rPr>
            </w:pPr>
            <w:r>
              <w:rPr>
                <w:rFonts w:ascii="Courier New" w:cs="Courier New" w:eastAsia="Courier New" w:hAnsi="Courier New"/>
                <w:sz w:val="16"/>
                <w:szCs w:val="16"/>
                <w:color w:val="auto"/>
              </w:rPr>
              <w:t>Estimated liability for taxes on income</w:t>
            </w: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436,281</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384,167</w:t>
            </w:r>
          </w:p>
        </w:tc>
      </w:tr>
      <w:tr>
        <w:trPr>
          <w:trHeight w:val="179"/>
        </w:trPr>
        <w:tc>
          <w:tcPr>
            <w:tcW w:w="4640" w:type="dxa"/>
            <w:vAlign w:val="bottom"/>
          </w:tcPr>
          <w:p>
            <w:pPr>
              <w:spacing w:after="0" w:line="179" w:lineRule="exact"/>
              <w:rPr>
                <w:sz w:val="20"/>
                <w:szCs w:val="20"/>
                <w:color w:val="auto"/>
              </w:rPr>
            </w:pPr>
            <w:r>
              <w:rPr>
                <w:rFonts w:ascii="Courier New" w:cs="Courier New" w:eastAsia="Courier New" w:hAnsi="Courier New"/>
                <w:sz w:val="16"/>
                <w:szCs w:val="16"/>
                <w:color w:val="auto"/>
              </w:rPr>
              <w:t>Bank loans</w:t>
            </w: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698,947</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750,303</w:t>
            </w:r>
          </w:p>
        </w:tc>
      </w:tr>
      <w:tr>
        <w:trPr>
          <w:trHeight w:val="179"/>
        </w:trPr>
        <w:tc>
          <w:tcPr>
            <w:tcW w:w="4640" w:type="dxa"/>
            <w:vAlign w:val="bottom"/>
          </w:tcPr>
          <w:p>
            <w:pPr>
              <w:spacing w:after="0" w:line="179" w:lineRule="exact"/>
              <w:rPr>
                <w:sz w:val="20"/>
                <w:szCs w:val="20"/>
                <w:color w:val="auto"/>
              </w:rPr>
            </w:pPr>
            <w:r>
              <w:rPr>
                <w:rFonts w:ascii="Courier New" w:cs="Courier New" w:eastAsia="Courier New" w:hAnsi="Courier New"/>
                <w:sz w:val="16"/>
                <w:szCs w:val="16"/>
                <w:color w:val="auto"/>
              </w:rPr>
              <w:t>Dividend payable</w:t>
            </w: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94,043</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93,821</w:t>
            </w:r>
          </w:p>
        </w:tc>
      </w:tr>
      <w:tr>
        <w:trPr>
          <w:trHeight w:val="179"/>
        </w:trPr>
        <w:tc>
          <w:tcPr>
            <w:tcW w:w="4640" w:type="dxa"/>
            <w:vAlign w:val="bottom"/>
          </w:tcPr>
          <w:p>
            <w:pPr>
              <w:spacing w:after="0" w:line="179" w:lineRule="exact"/>
              <w:rPr>
                <w:sz w:val="20"/>
                <w:szCs w:val="20"/>
                <w:color w:val="auto"/>
              </w:rPr>
            </w:pPr>
            <w:r>
              <w:rPr>
                <w:rFonts w:ascii="Courier New" w:cs="Courier New" w:eastAsia="Courier New" w:hAnsi="Courier New"/>
                <w:sz w:val="16"/>
                <w:szCs w:val="16"/>
                <w:color w:val="auto"/>
              </w:rPr>
              <w:t>Long-term debt due within one year</w:t>
            </w: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105,969</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104,237</w:t>
            </w:r>
          </w:p>
        </w:tc>
      </w:tr>
      <w:tr>
        <w:trPr>
          <w:trHeight w:val="179"/>
        </w:trPr>
        <w:tc>
          <w:tcPr>
            <w:tcW w:w="4640" w:type="dxa"/>
            <w:vAlign w:val="bottom"/>
          </w:tcPr>
          <w:p>
            <w:pPr>
              <w:spacing w:after="0"/>
              <w:rPr>
                <w:sz w:val="15"/>
                <w:szCs w:val="15"/>
                <w:color w:val="auto"/>
              </w:rPr>
            </w:pP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640" w:type="dxa"/>
            <w:vAlign w:val="bottom"/>
          </w:tcPr>
          <w:p>
            <w:pPr>
              <w:spacing w:after="0"/>
              <w:rPr>
                <w:sz w:val="15"/>
                <w:szCs w:val="15"/>
                <w:color w:val="auto"/>
              </w:rPr>
            </w:pP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3,672,438</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3,629,898</w:t>
            </w:r>
          </w:p>
        </w:tc>
      </w:tr>
      <w:tr>
        <w:trPr>
          <w:trHeight w:val="358"/>
        </w:trPr>
        <w:tc>
          <w:tcPr>
            <w:tcW w:w="4640" w:type="dxa"/>
            <w:vAlign w:val="bottom"/>
          </w:tcPr>
          <w:p>
            <w:pPr>
              <w:spacing w:after="0"/>
              <w:rPr>
                <w:sz w:val="20"/>
                <w:szCs w:val="20"/>
                <w:color w:val="auto"/>
              </w:rPr>
            </w:pPr>
            <w:r>
              <w:rPr>
                <w:rFonts w:ascii="Courier New" w:cs="Courier New" w:eastAsia="Courier New" w:hAnsi="Courier New"/>
                <w:sz w:val="16"/>
                <w:szCs w:val="16"/>
                <w:color w:val="auto"/>
              </w:rPr>
              <w:t>LONG-TERM DEBT</w:t>
            </w:r>
          </w:p>
        </w:tc>
        <w:tc>
          <w:tcPr>
            <w:tcW w:w="14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1,137,778</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1,069,056</w:t>
            </w:r>
          </w:p>
        </w:tc>
      </w:tr>
      <w:tr>
        <w:trPr>
          <w:trHeight w:val="179"/>
        </w:trPr>
        <w:tc>
          <w:tcPr>
            <w:tcW w:w="4640" w:type="dxa"/>
            <w:vAlign w:val="bottom"/>
          </w:tcPr>
          <w:p>
            <w:pPr>
              <w:spacing w:after="0" w:line="179" w:lineRule="exact"/>
              <w:rPr>
                <w:sz w:val="20"/>
                <w:szCs w:val="20"/>
                <w:color w:val="auto"/>
              </w:rPr>
            </w:pPr>
            <w:r>
              <w:rPr>
                <w:rFonts w:ascii="Courier New" w:cs="Courier New" w:eastAsia="Courier New" w:hAnsi="Courier New"/>
                <w:sz w:val="16"/>
                <w:szCs w:val="16"/>
                <w:color w:val="auto"/>
              </w:rPr>
              <w:t>POSTRETIREMENT BENEFITS</w:t>
            </w: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409,173</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396,559</w:t>
            </w:r>
          </w:p>
        </w:tc>
      </w:tr>
      <w:tr>
        <w:trPr>
          <w:trHeight w:val="179"/>
        </w:trPr>
        <w:tc>
          <w:tcPr>
            <w:tcW w:w="464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LIABILITIES</w:t>
            </w: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260,054</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306,294</w:t>
            </w:r>
          </w:p>
        </w:tc>
      </w:tr>
      <w:tr>
        <w:trPr>
          <w:trHeight w:val="179"/>
        </w:trPr>
        <w:tc>
          <w:tcPr>
            <w:tcW w:w="4640" w:type="dxa"/>
            <w:vAlign w:val="bottom"/>
          </w:tcPr>
          <w:p>
            <w:pPr>
              <w:spacing w:after="0"/>
              <w:rPr>
                <w:sz w:val="15"/>
                <w:szCs w:val="15"/>
                <w:color w:val="auto"/>
              </w:rPr>
            </w:pP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640" w:type="dxa"/>
            <w:vAlign w:val="bottom"/>
          </w:tcPr>
          <w:p>
            <w:pPr>
              <w:spacing w:after="0"/>
              <w:rPr>
                <w:sz w:val="15"/>
                <w:szCs w:val="15"/>
                <w:color w:val="auto"/>
              </w:rPr>
            </w:pP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5,479,443</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5,401,807</w:t>
            </w:r>
          </w:p>
        </w:tc>
      </w:tr>
      <w:tr>
        <w:trPr>
          <w:trHeight w:val="179"/>
        </w:trPr>
        <w:tc>
          <w:tcPr>
            <w:tcW w:w="4640" w:type="dxa"/>
            <w:vAlign w:val="bottom"/>
          </w:tcPr>
          <w:p>
            <w:pPr>
              <w:spacing w:after="0"/>
              <w:rPr>
                <w:sz w:val="15"/>
                <w:szCs w:val="15"/>
                <w:color w:val="auto"/>
              </w:rPr>
            </w:pP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64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9"/>
        </w:trPr>
        <w:tc>
          <w:tcPr>
            <w:tcW w:w="4640" w:type="dxa"/>
            <w:vAlign w:val="bottom"/>
          </w:tcPr>
          <w:p>
            <w:pPr>
              <w:spacing w:after="0" w:line="179" w:lineRule="exact"/>
              <w:rPr>
                <w:sz w:val="20"/>
                <w:szCs w:val="20"/>
                <w:color w:val="auto"/>
              </w:rPr>
            </w:pPr>
            <w:r>
              <w:rPr>
                <w:rFonts w:ascii="Courier New" w:cs="Courier New" w:eastAsia="Courier New" w:hAnsi="Courier New"/>
                <w:sz w:val="16"/>
                <w:szCs w:val="16"/>
                <w:color w:val="auto"/>
              </w:rPr>
              <w:t>Common stock</w:t>
            </w: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941,221</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931,096</w:t>
            </w:r>
          </w:p>
        </w:tc>
      </w:tr>
      <w:tr>
        <w:trPr>
          <w:trHeight w:val="179"/>
        </w:trPr>
        <w:tc>
          <w:tcPr>
            <w:tcW w:w="464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retained for use in the business</w:t>
            </w: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8,584,835</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8,061,731</w:t>
            </w:r>
          </w:p>
        </w:tc>
      </w:tr>
      <w:tr>
        <w:trPr>
          <w:trHeight w:val="179"/>
        </w:trPr>
        <w:tc>
          <w:tcPr>
            <w:tcW w:w="4640" w:type="dxa"/>
            <w:vAlign w:val="bottom"/>
          </w:tcPr>
          <w:p>
            <w:pPr>
              <w:spacing w:after="0" w:line="179" w:lineRule="exact"/>
              <w:rPr>
                <w:sz w:val="20"/>
                <w:szCs w:val="20"/>
                <w:color w:val="auto"/>
              </w:rPr>
            </w:pPr>
            <w:r>
              <w:rPr>
                <w:rFonts w:ascii="Courier New" w:cs="Courier New" w:eastAsia="Courier New" w:hAnsi="Courier New"/>
                <w:sz w:val="16"/>
                <w:szCs w:val="16"/>
                <w:color w:val="auto"/>
              </w:rPr>
              <w:t>Treasury stock at cost</w:t>
            </w:r>
          </w:p>
        </w:tc>
        <w:tc>
          <w:tcPr>
            <w:tcW w:w="1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(2,230,846)</w:t>
            </w: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(2,249,765)</w:t>
            </w:r>
          </w:p>
        </w:tc>
      </w:tr>
      <w:tr>
        <w:trPr>
          <w:trHeight w:val="179"/>
        </w:trPr>
        <w:tc>
          <w:tcPr>
            <w:tcW w:w="4640" w:type="dxa"/>
            <w:vAlign w:val="bottom"/>
          </w:tcPr>
          <w:p>
            <w:pPr>
              <w:spacing w:after="0" w:line="179" w:lineRule="exact"/>
              <w:rPr>
                <w:sz w:val="20"/>
                <w:szCs w:val="20"/>
                <w:color w:val="auto"/>
              </w:rPr>
            </w:pPr>
            <w:r>
              <w:rPr>
                <w:rFonts w:ascii="Courier New" w:cs="Courier New" w:eastAsia="Courier New" w:hAnsi="Courier New"/>
                <w:sz w:val="16"/>
                <w:szCs w:val="16"/>
                <w:color w:val="auto"/>
              </w:rPr>
              <w:t>Translation adjustment</w:t>
            </w:r>
          </w:p>
        </w:tc>
        <w:tc>
          <w:tcPr>
            <w:tcW w:w="1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(49,162)</w:t>
            </w: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(48,138)</w:t>
            </w:r>
          </w:p>
        </w:tc>
      </w:tr>
      <w:tr>
        <w:trPr>
          <w:trHeight w:val="179"/>
        </w:trPr>
        <w:tc>
          <w:tcPr>
            <w:tcW w:w="4640" w:type="dxa"/>
            <w:vAlign w:val="bottom"/>
          </w:tcPr>
          <w:p>
            <w:pPr>
              <w:spacing w:after="0"/>
              <w:rPr>
                <w:sz w:val="15"/>
                <w:szCs w:val="15"/>
                <w:color w:val="auto"/>
              </w:rPr>
            </w:pP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640" w:type="dxa"/>
            <w:vAlign w:val="bottom"/>
          </w:tcPr>
          <w:p>
            <w:pPr>
              <w:spacing w:after="0"/>
              <w:rPr>
                <w:sz w:val="15"/>
                <w:szCs w:val="15"/>
                <w:color w:val="auto"/>
              </w:rPr>
            </w:pP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7,246,048</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6,694,924</w:t>
            </w:r>
          </w:p>
        </w:tc>
      </w:tr>
      <w:tr>
        <w:trPr>
          <w:trHeight w:val="179"/>
        </w:trPr>
        <w:tc>
          <w:tcPr>
            <w:tcW w:w="4640" w:type="dxa"/>
            <w:vAlign w:val="bottom"/>
          </w:tcPr>
          <w:p>
            <w:pPr>
              <w:spacing w:after="0"/>
              <w:rPr>
                <w:sz w:val="15"/>
                <w:szCs w:val="15"/>
                <w:color w:val="auto"/>
              </w:rPr>
            </w:pP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640" w:type="dxa"/>
            <w:vAlign w:val="bottom"/>
          </w:tcPr>
          <w:p>
            <w:pPr>
              <w:spacing w:after="0"/>
              <w:rPr>
                <w:sz w:val="24"/>
                <w:szCs w:val="24"/>
                <w:color w:val="auto"/>
              </w:rPr>
            </w:pPr>
          </w:p>
        </w:tc>
        <w:tc>
          <w:tcPr>
            <w:tcW w:w="14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$12,725,491</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$12,096,731</w:t>
            </w:r>
          </w:p>
        </w:tc>
      </w:tr>
      <w:tr>
        <w:trPr>
          <w:trHeight w:val="179"/>
        </w:trPr>
        <w:tc>
          <w:tcPr>
            <w:tcW w:w="4640" w:type="dxa"/>
            <w:vAlign w:val="bottom"/>
          </w:tcPr>
          <w:p>
            <w:pPr>
              <w:spacing w:after="0"/>
              <w:rPr>
                <w:sz w:val="15"/>
                <w:szCs w:val="15"/>
                <w:color w:val="auto"/>
              </w:rPr>
            </w:pP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34"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48" w:right="1440" w:bottom="954" w:gutter="0" w:footer="0" w:header="0"/>
        </w:sectPr>
      </w:pPr>
    </w:p>
    <w:bookmarkStart w:id="3" w:name="page4"/>
    <w:bookmarkEnd w:id="3"/>
    <w:p>
      <w:pPr>
        <w:ind w:left="2700"/>
        <w:spacing w:after="0"/>
        <w:rPr>
          <w:sz w:val="20"/>
          <w:szCs w:val="20"/>
          <w:color w:val="auto"/>
        </w:rPr>
      </w:pPr>
      <w:r>
        <w:rPr>
          <w:rFonts w:ascii="Courier New" w:cs="Courier New" w:eastAsia="Courier New" w:hAnsi="Courier New"/>
          <w:sz w:val="16"/>
          <w:szCs w:val="16"/>
          <w:color w:val="auto"/>
        </w:rPr>
        <w:t>SCHLUMBERGER LIMITED</w:t>
      </w:r>
    </w:p>
    <w:p>
      <w:pPr>
        <w:ind w:left="2700"/>
        <w:spacing w:after="0" w:line="236" w:lineRule="auto"/>
        <w:rPr>
          <w:sz w:val="20"/>
          <w:szCs w:val="20"/>
          <w:color w:val="auto"/>
        </w:rPr>
      </w:pPr>
      <w:r>
        <w:rPr>
          <w:rFonts w:ascii="Courier New" w:cs="Courier New" w:eastAsia="Courier New" w:hAnsi="Courier New"/>
          <w:sz w:val="16"/>
          <w:szCs w:val="16"/>
          <w:color w:val="auto"/>
        </w:rPr>
        <w:t>--------------------</w:t>
      </w:r>
    </w:p>
    <w:p>
      <w:pPr>
        <w:jc w:val="center"/>
        <w:ind w:right="2879"/>
        <w:spacing w:after="0" w:line="237" w:lineRule="auto"/>
        <w:rPr>
          <w:sz w:val="20"/>
          <w:szCs w:val="20"/>
          <w:color w:val="auto"/>
        </w:rPr>
      </w:pPr>
      <w:r>
        <w:rPr>
          <w:rFonts w:ascii="Courier New" w:cs="Courier New" w:eastAsia="Courier New" w:hAnsi="Courier New"/>
          <w:sz w:val="16"/>
          <w:szCs w:val="16"/>
          <w:color w:val="auto"/>
        </w:rPr>
        <w:t>(Schlumberger N.V., Incorporated in the Netherlands Antilles)</w:t>
      </w:r>
    </w:p>
    <w:p>
      <w:pPr>
        <w:jc w:val="center"/>
        <w:ind w:right="2979"/>
        <w:spacing w:after="0" w:line="237" w:lineRule="auto"/>
        <w:rPr>
          <w:sz w:val="20"/>
          <w:szCs w:val="20"/>
          <w:color w:val="auto"/>
        </w:rPr>
      </w:pPr>
      <w:r>
        <w:rPr>
          <w:rFonts w:ascii="Courier New" w:cs="Courier New" w:eastAsia="Courier New" w:hAnsi="Courier New"/>
          <w:sz w:val="16"/>
          <w:szCs w:val="16"/>
          <w:color w:val="auto"/>
        </w:rPr>
        <w:t>and Subsidiary Companies</w:t>
      </w:r>
    </w:p>
    <w:p>
      <w:pPr>
        <w:spacing w:after="0" w:line="177"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CONSOLIDATED STATEMENT OF CASH FLOWS</w:t>
      </w:r>
    </w:p>
    <w:p>
      <w:pPr>
        <w:ind w:left="1940"/>
        <w:spacing w:after="0" w:line="236" w:lineRule="auto"/>
        <w:rPr>
          <w:sz w:val="20"/>
          <w:szCs w:val="20"/>
          <w:color w:val="auto"/>
        </w:rPr>
      </w:pPr>
      <w:r>
        <w:rPr>
          <w:rFonts w:ascii="Courier New" w:cs="Courier New" w:eastAsia="Courier New" w:hAnsi="Courier New"/>
          <w:sz w:val="16"/>
          <w:szCs w:val="16"/>
          <w:color w:val="auto"/>
        </w:rPr>
        <w:t>------------------------------------</w:t>
      </w:r>
    </w:p>
    <w:p>
      <w:pPr>
        <w:ind w:left="3160"/>
        <w:spacing w:after="0" w:line="237" w:lineRule="auto"/>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920" w:type="dxa"/>
            <w:vAlign w:val="bottom"/>
          </w:tcPr>
          <w:p>
            <w:pPr>
              <w:spacing w:after="0"/>
              <w:rPr>
                <w:sz w:val="15"/>
                <w:szCs w:val="15"/>
                <w:color w:val="auto"/>
              </w:rPr>
            </w:pPr>
          </w:p>
        </w:tc>
        <w:tc>
          <w:tcPr>
            <w:tcW w:w="2420" w:type="dxa"/>
            <w:vAlign w:val="bottom"/>
            <w:gridSpan w:val="2"/>
          </w:tcPr>
          <w:p>
            <w:pPr>
              <w:jc w:val="center"/>
              <w:ind w:left="122"/>
              <w:spacing w:after="0"/>
              <w:rPr>
                <w:sz w:val="20"/>
                <w:szCs w:val="20"/>
                <w:color w:val="auto"/>
              </w:rPr>
            </w:pPr>
            <w:r>
              <w:rPr>
                <w:rFonts w:ascii="Courier New" w:cs="Courier New" w:eastAsia="Courier New" w:hAnsi="Courier New"/>
                <w:sz w:val="16"/>
                <w:szCs w:val="16"/>
                <w:color w:val="auto"/>
                <w:w w:val="97"/>
              </w:rPr>
              <w:t>(Dollars in thousands)</w:t>
            </w:r>
          </w:p>
        </w:tc>
      </w:tr>
      <w:tr>
        <w:trPr>
          <w:trHeight w:val="358"/>
        </w:trPr>
        <w:tc>
          <w:tcPr>
            <w:tcW w:w="4920" w:type="dxa"/>
            <w:vAlign w:val="bottom"/>
          </w:tcPr>
          <w:p>
            <w:pPr>
              <w:spacing w:after="0"/>
              <w:rPr>
                <w:sz w:val="24"/>
                <w:szCs w:val="24"/>
                <w:color w:val="auto"/>
              </w:rPr>
            </w:pPr>
          </w:p>
        </w:tc>
        <w:tc>
          <w:tcPr>
            <w:tcW w:w="2420" w:type="dxa"/>
            <w:vAlign w:val="bottom"/>
            <w:gridSpan w:val="2"/>
          </w:tcPr>
          <w:p>
            <w:pPr>
              <w:jc w:val="center"/>
              <w:ind w:left="122"/>
              <w:spacing w:after="0"/>
              <w:rPr>
                <w:sz w:val="20"/>
                <w:szCs w:val="20"/>
                <w:color w:val="auto"/>
              </w:rPr>
            </w:pPr>
            <w:r>
              <w:rPr>
                <w:rFonts w:ascii="Courier New" w:cs="Courier New" w:eastAsia="Courier New" w:hAnsi="Courier New"/>
                <w:sz w:val="16"/>
                <w:szCs w:val="16"/>
                <w:color w:val="auto"/>
                <w:w w:val="97"/>
              </w:rPr>
              <w:t>Six Months Ended</w:t>
            </w:r>
          </w:p>
        </w:tc>
      </w:tr>
      <w:tr>
        <w:trPr>
          <w:trHeight w:val="179"/>
        </w:trPr>
        <w:tc>
          <w:tcPr>
            <w:tcW w:w="4920" w:type="dxa"/>
            <w:vAlign w:val="bottom"/>
          </w:tcPr>
          <w:p>
            <w:pPr>
              <w:spacing w:after="0"/>
              <w:rPr>
                <w:sz w:val="15"/>
                <w:szCs w:val="15"/>
                <w:color w:val="auto"/>
              </w:rPr>
            </w:pPr>
          </w:p>
        </w:tc>
        <w:tc>
          <w:tcPr>
            <w:tcW w:w="2420" w:type="dxa"/>
            <w:vAlign w:val="bottom"/>
            <w:gridSpan w:val="2"/>
          </w:tcPr>
          <w:p>
            <w:pPr>
              <w:jc w:val="center"/>
              <w:ind w:left="122"/>
              <w:spacing w:after="0" w:line="179" w:lineRule="exact"/>
              <w:rPr>
                <w:sz w:val="20"/>
                <w:szCs w:val="20"/>
                <w:color w:val="auto"/>
              </w:rPr>
            </w:pPr>
            <w:r>
              <w:rPr>
                <w:rFonts w:ascii="Courier New" w:cs="Courier New" w:eastAsia="Courier New" w:hAnsi="Courier New"/>
                <w:sz w:val="16"/>
                <w:szCs w:val="16"/>
                <w:color w:val="auto"/>
                <w:w w:val="96"/>
              </w:rPr>
              <w:t>June 30,</w:t>
            </w:r>
          </w:p>
        </w:tc>
      </w:tr>
      <w:tr>
        <w:trPr>
          <w:trHeight w:val="179"/>
        </w:trPr>
        <w:tc>
          <w:tcPr>
            <w:tcW w:w="4920" w:type="dxa"/>
            <w:vAlign w:val="bottom"/>
          </w:tcPr>
          <w:p>
            <w:pPr>
              <w:spacing w:after="0"/>
              <w:rPr>
                <w:sz w:val="15"/>
                <w:szCs w:val="15"/>
                <w:color w:val="auto"/>
              </w:rPr>
            </w:pPr>
          </w:p>
        </w:tc>
        <w:tc>
          <w:tcPr>
            <w:tcW w:w="130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1998</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1997</w:t>
            </w:r>
          </w:p>
        </w:tc>
      </w:tr>
      <w:tr>
        <w:trPr>
          <w:trHeight w:val="179"/>
        </w:trPr>
        <w:tc>
          <w:tcPr>
            <w:tcW w:w="4920" w:type="dxa"/>
            <w:vAlign w:val="bottom"/>
          </w:tcPr>
          <w:p>
            <w:pPr>
              <w:spacing w:after="0"/>
              <w:rPr>
                <w:sz w:val="15"/>
                <w:szCs w:val="15"/>
                <w:color w:val="auto"/>
              </w:rPr>
            </w:pPr>
          </w:p>
        </w:tc>
        <w:tc>
          <w:tcPr>
            <w:tcW w:w="130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92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9"/>
        </w:trPr>
        <w:tc>
          <w:tcPr>
            <w:tcW w:w="49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Net income</w:t>
            </w:r>
          </w:p>
        </w:tc>
        <w:tc>
          <w:tcPr>
            <w:tcW w:w="13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$ 710,087</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$ 566,449</w:t>
            </w:r>
          </w:p>
        </w:tc>
      </w:tr>
      <w:tr>
        <w:trPr>
          <w:trHeight w:val="179"/>
        </w:trPr>
        <w:tc>
          <w:tcPr>
            <w:tcW w:w="49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Adjustments to reconcile net income to</w:t>
            </w:r>
          </w:p>
        </w:tc>
        <w:tc>
          <w:tcPr>
            <w:tcW w:w="13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49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cash provided by operating activities:</w:t>
            </w:r>
          </w:p>
        </w:tc>
        <w:tc>
          <w:tcPr>
            <w:tcW w:w="13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49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Depreciation and amortization</w:t>
            </w:r>
          </w:p>
        </w:tc>
        <w:tc>
          <w:tcPr>
            <w:tcW w:w="13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521,133</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469,847</w:t>
            </w:r>
          </w:p>
        </w:tc>
      </w:tr>
      <w:tr>
        <w:trPr>
          <w:trHeight w:val="179"/>
        </w:trPr>
        <w:tc>
          <w:tcPr>
            <w:tcW w:w="49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Earnings of companies carried at equity,</w:t>
            </w:r>
          </w:p>
        </w:tc>
        <w:tc>
          <w:tcPr>
            <w:tcW w:w="13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49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less dividends received (Dividends:</w:t>
            </w:r>
          </w:p>
        </w:tc>
        <w:tc>
          <w:tcPr>
            <w:tcW w:w="13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49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1998 - $0 ; 1997 - $0)</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(5,499)</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w:t>
            </w:r>
          </w:p>
        </w:tc>
      </w:tr>
      <w:tr>
        <w:trPr>
          <w:trHeight w:val="179"/>
        </w:trPr>
        <w:tc>
          <w:tcPr>
            <w:tcW w:w="49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Provision for losses on accounts receivable</w:t>
            </w:r>
          </w:p>
        </w:tc>
        <w:tc>
          <w:tcPr>
            <w:tcW w:w="13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16,943</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6,041</w:t>
            </w:r>
          </w:p>
        </w:tc>
      </w:tr>
      <w:tr>
        <w:trPr>
          <w:trHeight w:val="179"/>
        </w:trPr>
        <w:tc>
          <w:tcPr>
            <w:tcW w:w="49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Other adjustments</w:t>
            </w:r>
          </w:p>
        </w:tc>
        <w:tc>
          <w:tcPr>
            <w:tcW w:w="13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16</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(1,273)</w:t>
            </w:r>
          </w:p>
        </w:tc>
      </w:tr>
      <w:tr>
        <w:trPr>
          <w:trHeight w:val="179"/>
        </w:trPr>
        <w:tc>
          <w:tcPr>
            <w:tcW w:w="49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Change in operating assets and liabilities:</w:t>
            </w:r>
          </w:p>
        </w:tc>
        <w:tc>
          <w:tcPr>
            <w:tcW w:w="13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492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Increase in receivables</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(317,181)</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(356,746)</w:t>
            </w:r>
          </w:p>
        </w:tc>
      </w:tr>
      <w:tr>
        <w:trPr>
          <w:trHeight w:val="179"/>
        </w:trPr>
        <w:tc>
          <w:tcPr>
            <w:tcW w:w="492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Increase in inventories</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(136,968)</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(140,024)</w:t>
            </w:r>
          </w:p>
        </w:tc>
      </w:tr>
      <w:tr>
        <w:trPr>
          <w:trHeight w:val="179"/>
        </w:trPr>
        <w:tc>
          <w:tcPr>
            <w:tcW w:w="492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Decrease in deferred taxes on income</w:t>
            </w:r>
          </w:p>
        </w:tc>
        <w:tc>
          <w:tcPr>
            <w:tcW w:w="13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1,179</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7,550</w:t>
            </w:r>
          </w:p>
        </w:tc>
      </w:tr>
      <w:tr>
        <w:trPr>
          <w:trHeight w:val="179"/>
        </w:trPr>
        <w:tc>
          <w:tcPr>
            <w:tcW w:w="492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Decrease in accounts payable</w:t>
            </w:r>
          </w:p>
        </w:tc>
        <w:tc>
          <w:tcPr>
            <w:tcW w:w="13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492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and accrued liabilities</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(1,063)</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(37,427)</w:t>
            </w:r>
          </w:p>
        </w:tc>
      </w:tr>
      <w:tr>
        <w:trPr>
          <w:trHeight w:val="179"/>
        </w:trPr>
        <w:tc>
          <w:tcPr>
            <w:tcW w:w="492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Increase in estimated</w:t>
            </w:r>
          </w:p>
        </w:tc>
        <w:tc>
          <w:tcPr>
            <w:tcW w:w="13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492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liability for taxes on income</w:t>
            </w:r>
          </w:p>
        </w:tc>
        <w:tc>
          <w:tcPr>
            <w:tcW w:w="13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52,502</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24,904</w:t>
            </w:r>
          </w:p>
        </w:tc>
      </w:tr>
      <w:tr>
        <w:trPr>
          <w:trHeight w:val="179"/>
        </w:trPr>
        <w:tc>
          <w:tcPr>
            <w:tcW w:w="492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Other - net</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(83,706)</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81,883</w:t>
            </w:r>
          </w:p>
        </w:tc>
      </w:tr>
      <w:tr>
        <w:trPr>
          <w:trHeight w:val="179"/>
        </w:trPr>
        <w:tc>
          <w:tcPr>
            <w:tcW w:w="4920" w:type="dxa"/>
            <w:vAlign w:val="bottom"/>
          </w:tcPr>
          <w:p>
            <w:pPr>
              <w:spacing w:after="0"/>
              <w:rPr>
                <w:sz w:val="15"/>
                <w:szCs w:val="15"/>
                <w:color w:val="auto"/>
              </w:rPr>
            </w:pPr>
          </w:p>
        </w:tc>
        <w:tc>
          <w:tcPr>
            <w:tcW w:w="130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Net cash provided by operating activities</w:t>
            </w:r>
          </w:p>
        </w:tc>
        <w:tc>
          <w:tcPr>
            <w:tcW w:w="13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757,443</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621,212</w:t>
            </w:r>
          </w:p>
        </w:tc>
      </w:tr>
      <w:tr>
        <w:trPr>
          <w:trHeight w:val="179"/>
        </w:trPr>
        <w:tc>
          <w:tcPr>
            <w:tcW w:w="4920" w:type="dxa"/>
            <w:vAlign w:val="bottom"/>
          </w:tcPr>
          <w:p>
            <w:pPr>
              <w:spacing w:after="0"/>
              <w:rPr>
                <w:sz w:val="15"/>
                <w:szCs w:val="15"/>
                <w:color w:val="auto"/>
              </w:rPr>
            </w:pPr>
          </w:p>
        </w:tc>
        <w:tc>
          <w:tcPr>
            <w:tcW w:w="130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92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9"/>
        </w:trPr>
        <w:tc>
          <w:tcPr>
            <w:tcW w:w="49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Purchases of fixed assets</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(784,357)</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(590,958)</w:t>
            </w:r>
          </w:p>
        </w:tc>
      </w:tr>
      <w:tr>
        <w:trPr>
          <w:trHeight w:val="179"/>
        </w:trPr>
        <w:tc>
          <w:tcPr>
            <w:tcW w:w="49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Sales/retirements of fixed assets</w:t>
            </w:r>
          </w:p>
        </w:tc>
        <w:tc>
          <w:tcPr>
            <w:tcW w:w="13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48,899</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34,113</w:t>
            </w:r>
          </w:p>
        </w:tc>
      </w:tr>
      <w:tr>
        <w:trPr>
          <w:trHeight w:val="179"/>
        </w:trPr>
        <w:tc>
          <w:tcPr>
            <w:tcW w:w="49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Decrease (increase) in investments</w:t>
            </w:r>
          </w:p>
        </w:tc>
        <w:tc>
          <w:tcPr>
            <w:tcW w:w="13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88,660</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(131,736)</w:t>
            </w:r>
          </w:p>
        </w:tc>
      </w:tr>
      <w:tr>
        <w:trPr>
          <w:trHeight w:val="179"/>
        </w:trPr>
        <w:tc>
          <w:tcPr>
            <w:tcW w:w="49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Decrease in other assets</w:t>
            </w:r>
          </w:p>
        </w:tc>
        <w:tc>
          <w:tcPr>
            <w:tcW w:w="13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5,731</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5,776</w:t>
            </w:r>
          </w:p>
        </w:tc>
      </w:tr>
      <w:tr>
        <w:trPr>
          <w:trHeight w:val="179"/>
        </w:trPr>
        <w:tc>
          <w:tcPr>
            <w:tcW w:w="4920" w:type="dxa"/>
            <w:vAlign w:val="bottom"/>
          </w:tcPr>
          <w:p>
            <w:pPr>
              <w:spacing w:after="0"/>
              <w:rPr>
                <w:sz w:val="15"/>
                <w:szCs w:val="15"/>
                <w:color w:val="auto"/>
              </w:rPr>
            </w:pPr>
          </w:p>
        </w:tc>
        <w:tc>
          <w:tcPr>
            <w:tcW w:w="130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Net cash used in investing activities</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(641,067)</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(682,805)</w:t>
            </w:r>
          </w:p>
        </w:tc>
      </w:tr>
      <w:tr>
        <w:trPr>
          <w:trHeight w:val="179"/>
        </w:trPr>
        <w:tc>
          <w:tcPr>
            <w:tcW w:w="4920" w:type="dxa"/>
            <w:vAlign w:val="bottom"/>
          </w:tcPr>
          <w:p>
            <w:pPr>
              <w:spacing w:after="0"/>
              <w:rPr>
                <w:sz w:val="15"/>
                <w:szCs w:val="15"/>
                <w:color w:val="auto"/>
              </w:rPr>
            </w:pPr>
          </w:p>
        </w:tc>
        <w:tc>
          <w:tcPr>
            <w:tcW w:w="130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92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9"/>
        </w:trPr>
        <w:tc>
          <w:tcPr>
            <w:tcW w:w="49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Dividends paid</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(186,809)</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(184,968)</w:t>
            </w:r>
          </w:p>
        </w:tc>
      </w:tr>
      <w:tr>
        <w:trPr>
          <w:trHeight w:val="179"/>
        </w:trPr>
        <w:tc>
          <w:tcPr>
            <w:tcW w:w="49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Proceeds from exercise of stock options</w:t>
            </w:r>
          </w:p>
        </w:tc>
        <w:tc>
          <w:tcPr>
            <w:tcW w:w="13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29,044</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31,362</w:t>
            </w:r>
          </w:p>
        </w:tc>
      </w:tr>
      <w:tr>
        <w:trPr>
          <w:trHeight w:val="179"/>
        </w:trPr>
        <w:tc>
          <w:tcPr>
            <w:tcW w:w="49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Proceeds from employee stock purchase plan</w:t>
            </w:r>
          </w:p>
        </w:tc>
        <w:tc>
          <w:tcPr>
            <w:tcW w:w="13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49,550</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32,667</w:t>
            </w:r>
          </w:p>
        </w:tc>
      </w:tr>
      <w:tr>
        <w:trPr>
          <w:trHeight w:val="179"/>
        </w:trPr>
        <w:tc>
          <w:tcPr>
            <w:tcW w:w="49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Proceeds from issuance of long-term debt</w:t>
            </w:r>
          </w:p>
        </w:tc>
        <w:tc>
          <w:tcPr>
            <w:tcW w:w="13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633,944</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154,920</w:t>
            </w:r>
          </w:p>
        </w:tc>
      </w:tr>
      <w:tr>
        <w:trPr>
          <w:trHeight w:val="179"/>
        </w:trPr>
        <w:tc>
          <w:tcPr>
            <w:tcW w:w="49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Payments of principal on long-term debt</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(546,048)</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(28,880)</w:t>
            </w:r>
          </w:p>
        </w:tc>
      </w:tr>
      <w:tr>
        <w:trPr>
          <w:trHeight w:val="179"/>
        </w:trPr>
        <w:tc>
          <w:tcPr>
            <w:tcW w:w="49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Net (decrease) increase in short-term debt</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(49,344)</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56,743</w:t>
            </w:r>
          </w:p>
        </w:tc>
      </w:tr>
      <w:tr>
        <w:trPr>
          <w:trHeight w:val="179"/>
        </w:trPr>
        <w:tc>
          <w:tcPr>
            <w:tcW w:w="4920" w:type="dxa"/>
            <w:vAlign w:val="bottom"/>
          </w:tcPr>
          <w:p>
            <w:pPr>
              <w:spacing w:after="0"/>
              <w:rPr>
                <w:sz w:val="15"/>
                <w:szCs w:val="15"/>
                <w:color w:val="auto"/>
              </w:rPr>
            </w:pPr>
          </w:p>
        </w:tc>
        <w:tc>
          <w:tcPr>
            <w:tcW w:w="130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920" w:type="dxa"/>
            <w:vAlign w:val="bottom"/>
          </w:tcPr>
          <w:p>
            <w:pPr>
              <w:ind w:left="360"/>
              <w:spacing w:after="0"/>
              <w:rPr>
                <w:sz w:val="20"/>
                <w:szCs w:val="20"/>
                <w:color w:val="auto"/>
              </w:rPr>
            </w:pPr>
            <w:r>
              <w:rPr>
                <w:rFonts w:ascii="Courier New" w:cs="Courier New" w:eastAsia="Courier New" w:hAnsi="Courier New"/>
                <w:sz w:val="16"/>
                <w:szCs w:val="16"/>
                <w:color w:val="auto"/>
                <w:w w:val="98"/>
              </w:rPr>
              <w:t>Net cash (used) provided by financing activities</w:t>
            </w:r>
          </w:p>
        </w:tc>
        <w:tc>
          <w:tcPr>
            <w:tcW w:w="13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(69,663)</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61,844</w:t>
            </w:r>
          </w:p>
        </w:tc>
      </w:tr>
      <w:tr>
        <w:trPr>
          <w:trHeight w:val="179"/>
        </w:trPr>
        <w:tc>
          <w:tcPr>
            <w:tcW w:w="4920" w:type="dxa"/>
            <w:vAlign w:val="bottom"/>
          </w:tcPr>
          <w:p>
            <w:pPr>
              <w:spacing w:after="0"/>
              <w:rPr>
                <w:sz w:val="15"/>
                <w:szCs w:val="15"/>
                <w:color w:val="auto"/>
              </w:rPr>
            </w:pPr>
          </w:p>
        </w:tc>
        <w:tc>
          <w:tcPr>
            <w:tcW w:w="130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920" w:type="dxa"/>
            <w:vAlign w:val="bottom"/>
          </w:tcPr>
          <w:p>
            <w:pPr>
              <w:spacing w:after="0"/>
              <w:rPr>
                <w:sz w:val="20"/>
                <w:szCs w:val="20"/>
                <w:color w:val="auto"/>
              </w:rPr>
            </w:pPr>
            <w:r>
              <w:rPr>
                <w:rFonts w:ascii="Courier New" w:cs="Courier New" w:eastAsia="Courier New" w:hAnsi="Courier New"/>
                <w:sz w:val="16"/>
                <w:szCs w:val="16"/>
                <w:color w:val="auto"/>
              </w:rPr>
              <w:t>Net increase in cash</w:t>
            </w:r>
          </w:p>
        </w:tc>
        <w:tc>
          <w:tcPr>
            <w:tcW w:w="130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46,713</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251</w:t>
            </w:r>
          </w:p>
        </w:tc>
      </w:tr>
      <w:tr>
        <w:trPr>
          <w:trHeight w:val="358"/>
        </w:trPr>
        <w:tc>
          <w:tcPr>
            <w:tcW w:w="4920" w:type="dxa"/>
            <w:vAlign w:val="bottom"/>
          </w:tcPr>
          <w:p>
            <w:pPr>
              <w:spacing w:after="0"/>
              <w:rPr>
                <w:sz w:val="20"/>
                <w:szCs w:val="20"/>
                <w:color w:val="auto"/>
              </w:rPr>
            </w:pPr>
            <w:r>
              <w:rPr>
                <w:rFonts w:ascii="Courier New" w:cs="Courier New" w:eastAsia="Courier New" w:hAnsi="Courier New"/>
                <w:sz w:val="16"/>
                <w:szCs w:val="16"/>
                <w:color w:val="auto"/>
              </w:rPr>
              <w:t>Cash, beginning of period</w:t>
            </w:r>
          </w:p>
        </w:tc>
        <w:tc>
          <w:tcPr>
            <w:tcW w:w="130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116,708</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137,259</w:t>
            </w:r>
          </w:p>
        </w:tc>
      </w:tr>
      <w:tr>
        <w:trPr>
          <w:trHeight w:val="179"/>
        </w:trPr>
        <w:tc>
          <w:tcPr>
            <w:tcW w:w="4920" w:type="dxa"/>
            <w:vAlign w:val="bottom"/>
          </w:tcPr>
          <w:p>
            <w:pPr>
              <w:spacing w:after="0"/>
              <w:rPr>
                <w:sz w:val="15"/>
                <w:szCs w:val="15"/>
                <w:color w:val="auto"/>
              </w:rPr>
            </w:pPr>
          </w:p>
        </w:tc>
        <w:tc>
          <w:tcPr>
            <w:tcW w:w="130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920" w:type="dxa"/>
            <w:vAlign w:val="bottom"/>
          </w:tcPr>
          <w:p>
            <w:pPr>
              <w:spacing w:after="0"/>
              <w:rPr>
                <w:sz w:val="20"/>
                <w:szCs w:val="20"/>
                <w:color w:val="auto"/>
              </w:rPr>
            </w:pPr>
            <w:r>
              <w:rPr>
                <w:rFonts w:ascii="Courier New" w:cs="Courier New" w:eastAsia="Courier New" w:hAnsi="Courier New"/>
                <w:sz w:val="16"/>
                <w:szCs w:val="16"/>
                <w:color w:val="auto"/>
              </w:rPr>
              <w:t>Cash, end of period</w:t>
            </w:r>
          </w:p>
        </w:tc>
        <w:tc>
          <w:tcPr>
            <w:tcW w:w="130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$ 163,421</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$ 137,510</w:t>
            </w:r>
          </w:p>
        </w:tc>
      </w:tr>
      <w:tr>
        <w:trPr>
          <w:trHeight w:val="179"/>
        </w:trPr>
        <w:tc>
          <w:tcPr>
            <w:tcW w:w="4920" w:type="dxa"/>
            <w:vAlign w:val="bottom"/>
          </w:tcPr>
          <w:p>
            <w:pPr>
              <w:spacing w:after="0"/>
              <w:rPr>
                <w:sz w:val="15"/>
                <w:szCs w:val="15"/>
                <w:color w:val="auto"/>
              </w:rPr>
            </w:pPr>
          </w:p>
        </w:tc>
        <w:tc>
          <w:tcPr>
            <w:tcW w:w="130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48" w:right="1440" w:bottom="1440" w:gutter="0" w:footer="0" w:header="0"/>
        </w:sectPr>
      </w:pPr>
    </w:p>
    <w:bookmarkStart w:id="4" w:name="page5"/>
    <w:bookmarkEnd w:id="4"/>
    <w:p>
      <w:pPr>
        <w:ind w:left="2780"/>
        <w:spacing w:after="0"/>
        <w:rPr>
          <w:sz w:val="20"/>
          <w:szCs w:val="20"/>
          <w:color w:val="auto"/>
        </w:rPr>
      </w:pPr>
      <w:r>
        <w:rPr>
          <w:rFonts w:ascii="Courier New" w:cs="Courier New" w:eastAsia="Courier New" w:hAnsi="Courier New"/>
          <w:sz w:val="16"/>
          <w:szCs w:val="16"/>
          <w:color w:val="auto"/>
        </w:rPr>
        <w:t>SCHLUMBERGER LIMITED</w:t>
      </w:r>
    </w:p>
    <w:p>
      <w:pPr>
        <w:ind w:left="2780"/>
        <w:spacing w:after="0" w:line="236" w:lineRule="auto"/>
        <w:rPr>
          <w:sz w:val="20"/>
          <w:szCs w:val="20"/>
          <w:color w:val="auto"/>
        </w:rPr>
      </w:pPr>
      <w:r>
        <w:rPr>
          <w:rFonts w:ascii="Courier New" w:cs="Courier New" w:eastAsia="Courier New" w:hAnsi="Courier New"/>
          <w:sz w:val="16"/>
          <w:szCs w:val="16"/>
          <w:color w:val="auto"/>
        </w:rPr>
        <w:t>--------------------</w:t>
      </w:r>
    </w:p>
    <w:p>
      <w:pPr>
        <w:jc w:val="center"/>
        <w:ind w:right="2879"/>
        <w:spacing w:after="0" w:line="237" w:lineRule="auto"/>
        <w:rPr>
          <w:sz w:val="20"/>
          <w:szCs w:val="20"/>
          <w:color w:val="auto"/>
        </w:rPr>
      </w:pPr>
      <w:r>
        <w:rPr>
          <w:rFonts w:ascii="Courier New" w:cs="Courier New" w:eastAsia="Courier New" w:hAnsi="Courier New"/>
          <w:sz w:val="16"/>
          <w:szCs w:val="16"/>
          <w:color w:val="auto"/>
        </w:rPr>
        <w:t>(Schlumberger N.V., Incorporated in the Netherlands Antilles)</w:t>
      </w:r>
    </w:p>
    <w:p>
      <w:pPr>
        <w:jc w:val="center"/>
        <w:ind w:right="2779"/>
        <w:spacing w:after="0" w:line="237" w:lineRule="auto"/>
        <w:rPr>
          <w:sz w:val="20"/>
          <w:szCs w:val="20"/>
          <w:color w:val="auto"/>
        </w:rPr>
      </w:pPr>
      <w:r>
        <w:rPr>
          <w:rFonts w:ascii="Courier New" w:cs="Courier New" w:eastAsia="Courier New" w:hAnsi="Courier New"/>
          <w:sz w:val="16"/>
          <w:szCs w:val="16"/>
          <w:color w:val="auto"/>
        </w:rPr>
        <w:t>AND SUBSIDIARY COMPANIES</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STOCKHOLDERS' EQUITY</w:t>
      </w:r>
    </w:p>
    <w:p>
      <w:pPr>
        <w:ind w:left="2780"/>
        <w:spacing w:after="0" w:line="236" w:lineRule="auto"/>
        <w:rPr>
          <w:sz w:val="20"/>
          <w:szCs w:val="20"/>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80"/>
        </w:trPr>
        <w:tc>
          <w:tcPr>
            <w:tcW w:w="2640" w:type="dxa"/>
            <w:vAlign w:val="bottom"/>
          </w:tcPr>
          <w:p>
            <w:pPr>
              <w:spacing w:after="0"/>
              <w:rPr>
                <w:sz w:val="15"/>
                <w:szCs w:val="15"/>
                <w:color w:val="auto"/>
              </w:rPr>
            </w:pPr>
          </w:p>
        </w:tc>
        <w:tc>
          <w:tcPr>
            <w:tcW w:w="16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(Unaudited)</w:t>
            </w:r>
          </w:p>
        </w:tc>
        <w:tc>
          <w:tcPr>
            <w:tcW w:w="13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537"/>
        </w:trPr>
        <w:tc>
          <w:tcPr>
            <w:tcW w:w="2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940" w:type="dxa"/>
            <w:vAlign w:val="bottom"/>
            <w:gridSpan w:val="3"/>
          </w:tcPr>
          <w:p>
            <w:pPr>
              <w:jc w:val="right"/>
              <w:ind w:right="22"/>
              <w:spacing w:after="0"/>
              <w:rPr>
                <w:sz w:val="20"/>
                <w:szCs w:val="20"/>
                <w:color w:val="auto"/>
              </w:rPr>
            </w:pPr>
            <w:r>
              <w:rPr>
                <w:rFonts w:ascii="Courier New" w:cs="Courier New" w:eastAsia="Courier New" w:hAnsi="Courier New"/>
                <w:sz w:val="16"/>
                <w:szCs w:val="16"/>
                <w:color w:val="auto"/>
              </w:rPr>
              <w:t>(Dollars in thousands)</w:t>
            </w:r>
          </w:p>
        </w:tc>
      </w:tr>
      <w:tr>
        <w:trPr>
          <w:trHeight w:val="716"/>
        </w:trPr>
        <w:tc>
          <w:tcPr>
            <w:tcW w:w="2640" w:type="dxa"/>
            <w:vAlign w:val="bottom"/>
          </w:tcPr>
          <w:p>
            <w:pPr>
              <w:spacing w:after="0"/>
              <w:rPr>
                <w:sz w:val="24"/>
                <w:szCs w:val="24"/>
                <w:color w:val="auto"/>
              </w:rPr>
            </w:pPr>
          </w:p>
        </w:tc>
        <w:tc>
          <w:tcPr>
            <w:tcW w:w="3020" w:type="dxa"/>
            <w:vAlign w:val="bottom"/>
            <w:gridSpan w:val="2"/>
          </w:tcPr>
          <w:p>
            <w:pPr>
              <w:jc w:val="right"/>
              <w:ind w:right="742"/>
              <w:spacing w:after="0"/>
              <w:rPr>
                <w:sz w:val="20"/>
                <w:szCs w:val="20"/>
                <w:color w:val="auto"/>
              </w:rPr>
            </w:pPr>
            <w:r>
              <w:rPr>
                <w:rFonts w:ascii="Courier New" w:cs="Courier New" w:eastAsia="Courier New" w:hAnsi="Courier New"/>
                <w:sz w:val="16"/>
                <w:szCs w:val="16"/>
                <w:color w:val="auto"/>
              </w:rPr>
              <w:t>Common Stock</w:t>
            </w:r>
          </w:p>
        </w:tc>
        <w:tc>
          <w:tcPr>
            <w:tcW w:w="15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Retained</w:t>
            </w:r>
          </w:p>
        </w:tc>
        <w:tc>
          <w:tcPr>
            <w:tcW w:w="1540" w:type="dxa"/>
            <w:vAlign w:val="bottom"/>
          </w:tcPr>
          <w:p>
            <w:pPr>
              <w:ind w:left="140"/>
              <w:spacing w:after="0"/>
              <w:rPr>
                <w:sz w:val="20"/>
                <w:szCs w:val="20"/>
                <w:color w:val="auto"/>
              </w:rPr>
            </w:pPr>
            <w:r>
              <w:rPr>
                <w:rFonts w:ascii="Courier New" w:cs="Courier New" w:eastAsia="Courier New" w:hAnsi="Courier New"/>
                <w:sz w:val="16"/>
                <w:szCs w:val="16"/>
                <w:color w:val="auto"/>
              </w:rPr>
              <w:t>Translation</w:t>
            </w:r>
          </w:p>
        </w:tc>
        <w:tc>
          <w:tcPr>
            <w:tcW w:w="14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Comprehensive</w:t>
            </w:r>
          </w:p>
        </w:tc>
      </w:tr>
      <w:tr>
        <w:trPr>
          <w:trHeight w:val="179"/>
        </w:trPr>
        <w:tc>
          <w:tcPr>
            <w:tcW w:w="2640" w:type="dxa"/>
            <w:vAlign w:val="bottom"/>
          </w:tcPr>
          <w:p>
            <w:pPr>
              <w:spacing w:after="0"/>
              <w:rPr>
                <w:sz w:val="15"/>
                <w:szCs w:val="15"/>
                <w:color w:val="auto"/>
              </w:rPr>
            </w:pPr>
          </w:p>
        </w:tc>
        <w:tc>
          <w:tcPr>
            <w:tcW w:w="30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2640" w:type="dxa"/>
            <w:vAlign w:val="bottom"/>
          </w:tcPr>
          <w:p>
            <w:pPr>
              <w:spacing w:after="0"/>
              <w:rPr>
                <w:sz w:val="15"/>
                <w:szCs w:val="15"/>
                <w:color w:val="auto"/>
              </w:rPr>
            </w:pPr>
          </w:p>
        </w:tc>
        <w:tc>
          <w:tcPr>
            <w:tcW w:w="16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Issued</w:t>
            </w:r>
          </w:p>
        </w:tc>
        <w:tc>
          <w:tcPr>
            <w:tcW w:w="138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In Treasury</w:t>
            </w:r>
          </w:p>
        </w:tc>
        <w:tc>
          <w:tcPr>
            <w:tcW w:w="154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Income</w:t>
            </w:r>
          </w:p>
        </w:tc>
        <w:tc>
          <w:tcPr>
            <w:tcW w:w="154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Adjustment</w:t>
            </w:r>
          </w:p>
        </w:tc>
        <w:tc>
          <w:tcPr>
            <w:tcW w:w="14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Income (a)</w:t>
            </w:r>
          </w:p>
        </w:tc>
      </w:tr>
      <w:tr>
        <w:trPr>
          <w:trHeight w:val="179"/>
        </w:trPr>
        <w:tc>
          <w:tcPr>
            <w:tcW w:w="2640" w:type="dxa"/>
            <w:vAlign w:val="bottom"/>
          </w:tcPr>
          <w:p>
            <w:pPr>
              <w:spacing w:after="0"/>
              <w:rPr>
                <w:sz w:val="15"/>
                <w:szCs w:val="15"/>
                <w:color w:val="auto"/>
              </w:rPr>
            </w:pPr>
          </w:p>
        </w:tc>
        <w:tc>
          <w:tcPr>
            <w:tcW w:w="30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6"/>
              </w:rPr>
              <w:t>--------------</w:t>
            </w:r>
          </w:p>
        </w:tc>
        <w:tc>
          <w:tcPr>
            <w:tcW w:w="15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2640" w:type="dxa"/>
            <w:vAlign w:val="bottom"/>
          </w:tcPr>
          <w:p>
            <w:pPr>
              <w:spacing w:after="0"/>
              <w:rPr>
                <w:sz w:val="20"/>
                <w:szCs w:val="20"/>
                <w:color w:val="auto"/>
              </w:rPr>
            </w:pPr>
            <w:r>
              <w:rPr>
                <w:rFonts w:ascii="Courier New" w:cs="Courier New" w:eastAsia="Courier New" w:hAnsi="Courier New"/>
                <w:sz w:val="16"/>
                <w:szCs w:val="16"/>
                <w:color w:val="auto"/>
              </w:rPr>
              <w:t>Balance, January 1, 1998</w:t>
            </w:r>
          </w:p>
        </w:tc>
        <w:tc>
          <w:tcPr>
            <w:tcW w:w="16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$931,096</w:t>
            </w:r>
          </w:p>
        </w:tc>
        <w:tc>
          <w:tcPr>
            <w:tcW w:w="13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$(2,249,765)</w:t>
            </w:r>
          </w:p>
        </w:tc>
        <w:tc>
          <w:tcPr>
            <w:tcW w:w="1540" w:type="dxa"/>
            <w:vAlign w:val="bottom"/>
          </w:tcPr>
          <w:p>
            <w:pPr>
              <w:jc w:val="center"/>
              <w:spacing w:after="0"/>
              <w:rPr>
                <w:sz w:val="20"/>
                <w:szCs w:val="20"/>
                <w:color w:val="auto"/>
              </w:rPr>
            </w:pPr>
            <w:r>
              <w:rPr>
                <w:rFonts w:ascii="Courier New" w:cs="Courier New" w:eastAsia="Courier New" w:hAnsi="Courier New"/>
                <w:sz w:val="16"/>
                <w:szCs w:val="16"/>
                <w:color w:val="auto"/>
                <w:w w:val="97"/>
              </w:rPr>
              <w:t>$8,061,731</w:t>
            </w:r>
          </w:p>
        </w:tc>
        <w:tc>
          <w:tcPr>
            <w:tcW w:w="15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$(48,138)</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58"/>
        </w:trPr>
        <w:tc>
          <w:tcPr>
            <w:tcW w:w="264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710,087</w:t>
            </w:r>
          </w:p>
        </w:tc>
        <w:tc>
          <w:tcPr>
            <w:tcW w:w="1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2"/>
              </w:rPr>
              <w:t>710,087</w:t>
            </w:r>
          </w:p>
        </w:tc>
      </w:tr>
      <w:tr>
        <w:trPr>
          <w:trHeight w:val="358"/>
        </w:trPr>
        <w:tc>
          <w:tcPr>
            <w:tcW w:w="2640" w:type="dxa"/>
            <w:vAlign w:val="bottom"/>
          </w:tcPr>
          <w:p>
            <w:pPr>
              <w:spacing w:after="0"/>
              <w:rPr>
                <w:sz w:val="20"/>
                <w:szCs w:val="20"/>
                <w:color w:val="auto"/>
              </w:rPr>
            </w:pPr>
            <w:r>
              <w:rPr>
                <w:rFonts w:ascii="Courier New" w:cs="Courier New" w:eastAsia="Courier New" w:hAnsi="Courier New"/>
                <w:sz w:val="16"/>
                <w:szCs w:val="16"/>
                <w:color w:val="auto"/>
              </w:rPr>
              <w:t>Translation adjustment</w:t>
            </w:r>
          </w:p>
        </w:tc>
        <w:tc>
          <w:tcPr>
            <w:tcW w:w="1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(1,024)</w:t>
            </w:r>
          </w:p>
        </w:tc>
        <w:tc>
          <w:tcPr>
            <w:tcW w:w="6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(1,024)</w:t>
            </w:r>
          </w:p>
        </w:tc>
      </w:tr>
      <w:tr>
        <w:trPr>
          <w:trHeight w:val="358"/>
        </w:trPr>
        <w:tc>
          <w:tcPr>
            <w:tcW w:w="2640" w:type="dxa"/>
            <w:vAlign w:val="bottom"/>
          </w:tcPr>
          <w:p>
            <w:pPr>
              <w:spacing w:after="0"/>
              <w:rPr>
                <w:sz w:val="20"/>
                <w:szCs w:val="20"/>
                <w:color w:val="auto"/>
              </w:rPr>
            </w:pPr>
            <w:r>
              <w:rPr>
                <w:rFonts w:ascii="Courier New" w:cs="Courier New" w:eastAsia="Courier New" w:hAnsi="Courier New"/>
                <w:sz w:val="16"/>
                <w:szCs w:val="16"/>
                <w:color w:val="auto"/>
              </w:rPr>
              <w:t>Dividends declared</w:t>
            </w:r>
          </w:p>
        </w:tc>
        <w:tc>
          <w:tcPr>
            <w:tcW w:w="1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(186,983)</w:t>
            </w:r>
          </w:p>
        </w:tc>
        <w:tc>
          <w:tcPr>
            <w:tcW w:w="1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58"/>
        </w:trPr>
        <w:tc>
          <w:tcPr>
            <w:tcW w:w="2640" w:type="dxa"/>
            <w:vAlign w:val="bottom"/>
          </w:tcPr>
          <w:p>
            <w:pPr>
              <w:spacing w:after="0"/>
              <w:rPr>
                <w:sz w:val="20"/>
                <w:szCs w:val="20"/>
                <w:color w:val="auto"/>
              </w:rPr>
            </w:pPr>
            <w:r>
              <w:rPr>
                <w:rFonts w:ascii="Courier New" w:cs="Courier New" w:eastAsia="Courier New" w:hAnsi="Courier New"/>
                <w:sz w:val="16"/>
                <w:szCs w:val="16"/>
                <w:color w:val="auto"/>
              </w:rPr>
              <w:t>Shares sold to optionees,</w:t>
            </w:r>
          </w:p>
        </w:tc>
        <w:tc>
          <w:tcPr>
            <w:tcW w:w="1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9"/>
        </w:trPr>
        <w:tc>
          <w:tcPr>
            <w:tcW w:w="26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DSPP and fees</w:t>
            </w:r>
          </w:p>
        </w:tc>
        <w:tc>
          <w:tcPr>
            <w:tcW w:w="16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10,125</w:t>
            </w:r>
          </w:p>
        </w:tc>
        <w:tc>
          <w:tcPr>
            <w:tcW w:w="138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18,919</w:t>
            </w:r>
          </w:p>
        </w:tc>
        <w:tc>
          <w:tcPr>
            <w:tcW w:w="15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358"/>
        </w:trPr>
        <w:tc>
          <w:tcPr>
            <w:tcW w:w="2640" w:type="dxa"/>
            <w:vAlign w:val="bottom"/>
          </w:tcPr>
          <w:p>
            <w:pPr>
              <w:spacing w:after="0"/>
              <w:rPr>
                <w:sz w:val="24"/>
                <w:szCs w:val="24"/>
                <w:color w:val="auto"/>
              </w:rPr>
            </w:pPr>
          </w:p>
        </w:tc>
        <w:tc>
          <w:tcPr>
            <w:tcW w:w="16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____________</w:t>
            </w:r>
          </w:p>
        </w:tc>
        <w:tc>
          <w:tcPr>
            <w:tcW w:w="138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______________</w:t>
            </w:r>
          </w:p>
        </w:tc>
        <w:tc>
          <w:tcPr>
            <w:tcW w:w="1540" w:type="dxa"/>
            <w:vAlign w:val="bottom"/>
          </w:tcPr>
          <w:p>
            <w:pPr>
              <w:jc w:val="center"/>
              <w:spacing w:after="0"/>
              <w:rPr>
                <w:sz w:val="20"/>
                <w:szCs w:val="20"/>
                <w:color w:val="auto"/>
              </w:rPr>
            </w:pPr>
            <w:r>
              <w:rPr>
                <w:rFonts w:ascii="Courier New" w:cs="Courier New" w:eastAsia="Courier New" w:hAnsi="Courier New"/>
                <w:sz w:val="16"/>
                <w:szCs w:val="16"/>
                <w:color w:val="auto"/>
                <w:w w:val="96"/>
              </w:rPr>
              <w:t>______________</w:t>
            </w:r>
          </w:p>
        </w:tc>
        <w:tc>
          <w:tcPr>
            <w:tcW w:w="1540" w:type="dxa"/>
            <w:vAlign w:val="bottom"/>
          </w:tcPr>
          <w:p>
            <w:pPr>
              <w:ind w:left="140"/>
              <w:spacing w:after="0"/>
              <w:rPr>
                <w:sz w:val="20"/>
                <w:szCs w:val="20"/>
                <w:color w:val="auto"/>
              </w:rPr>
            </w:pPr>
            <w:r>
              <w:rPr>
                <w:rFonts w:ascii="Courier New" w:cs="Courier New" w:eastAsia="Courier New" w:hAnsi="Courier New"/>
                <w:sz w:val="16"/>
                <w:szCs w:val="16"/>
                <w:color w:val="auto"/>
              </w:rPr>
              <w:t>______________</w:t>
            </w:r>
          </w:p>
        </w:tc>
        <w:tc>
          <w:tcPr>
            <w:tcW w:w="14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____________</w:t>
            </w:r>
          </w:p>
        </w:tc>
      </w:tr>
      <w:tr>
        <w:trPr>
          <w:trHeight w:val="179"/>
        </w:trPr>
        <w:tc>
          <w:tcPr>
            <w:tcW w:w="2640" w:type="dxa"/>
            <w:vAlign w:val="bottom"/>
          </w:tcPr>
          <w:p>
            <w:pPr>
              <w:spacing w:after="0" w:line="179" w:lineRule="exact"/>
              <w:rPr>
                <w:sz w:val="20"/>
                <w:szCs w:val="20"/>
                <w:color w:val="auto"/>
              </w:rPr>
            </w:pPr>
            <w:r>
              <w:rPr>
                <w:rFonts w:ascii="Courier New" w:cs="Courier New" w:eastAsia="Courier New" w:hAnsi="Courier New"/>
                <w:sz w:val="16"/>
                <w:szCs w:val="16"/>
                <w:color w:val="auto"/>
              </w:rPr>
              <w:t>Balance, June 30, 1998</w:t>
            </w:r>
          </w:p>
        </w:tc>
        <w:tc>
          <w:tcPr>
            <w:tcW w:w="16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$941,221</w:t>
            </w:r>
          </w:p>
        </w:tc>
        <w:tc>
          <w:tcPr>
            <w:tcW w:w="13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$(2,230,846)</w:t>
            </w:r>
          </w:p>
        </w:tc>
        <w:tc>
          <w:tcPr>
            <w:tcW w:w="15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$8,584,835</w:t>
            </w:r>
          </w:p>
        </w:tc>
        <w:tc>
          <w:tcPr>
            <w:tcW w:w="15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$(49,162)</w:t>
            </w:r>
          </w:p>
        </w:tc>
        <w:tc>
          <w:tcPr>
            <w:tcW w:w="14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$709,063</w:t>
            </w:r>
          </w:p>
        </w:tc>
      </w:tr>
      <w:tr>
        <w:trPr>
          <w:trHeight w:val="179"/>
        </w:trPr>
        <w:tc>
          <w:tcPr>
            <w:tcW w:w="2640" w:type="dxa"/>
            <w:vAlign w:val="bottom"/>
          </w:tcPr>
          <w:p>
            <w:pPr>
              <w:spacing w:after="0"/>
              <w:rPr>
                <w:sz w:val="15"/>
                <w:szCs w:val="15"/>
                <w:color w:val="auto"/>
              </w:rPr>
            </w:pPr>
          </w:p>
        </w:tc>
        <w:tc>
          <w:tcPr>
            <w:tcW w:w="16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5"/>
              </w:rPr>
              <w:t>==============</w:t>
            </w:r>
          </w:p>
        </w:tc>
        <w:tc>
          <w:tcPr>
            <w:tcW w:w="15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6"/>
              </w:rPr>
              <w:t>==============</w:t>
            </w:r>
          </w:p>
        </w:tc>
        <w:tc>
          <w:tcPr>
            <w:tcW w:w="15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As required by SFAS No. 130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355"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48" w:right="1440" w:bottom="1440" w:gutter="0" w:footer="0" w:header="0"/>
        </w:sectPr>
      </w:pPr>
    </w:p>
    <w:bookmarkStart w:id="5" w:name="page6"/>
    <w:bookmarkEnd w:id="5"/>
    <w:p>
      <w:pPr>
        <w:ind w:left="2780"/>
        <w:spacing w:after="0"/>
        <w:rPr>
          <w:sz w:val="20"/>
          <w:szCs w:val="20"/>
          <w:color w:val="auto"/>
        </w:rPr>
      </w:pPr>
      <w:r>
        <w:rPr>
          <w:rFonts w:ascii="Courier New" w:cs="Courier New" w:eastAsia="Courier New" w:hAnsi="Courier New"/>
          <w:sz w:val="16"/>
          <w:szCs w:val="16"/>
          <w:color w:val="auto"/>
        </w:rPr>
        <w:t>SCHLUMBERGER LIMITED</w:t>
      </w:r>
    </w:p>
    <w:p>
      <w:pPr>
        <w:ind w:left="2780"/>
        <w:spacing w:after="0" w:line="236" w:lineRule="auto"/>
        <w:rPr>
          <w:sz w:val="20"/>
          <w:szCs w:val="20"/>
          <w:color w:val="auto"/>
        </w:rPr>
      </w:pPr>
      <w:r>
        <w:rPr>
          <w:rFonts w:ascii="Courier New" w:cs="Courier New" w:eastAsia="Courier New" w:hAnsi="Courier New"/>
          <w:sz w:val="16"/>
          <w:szCs w:val="16"/>
          <w:color w:val="auto"/>
        </w:rPr>
        <w:t>--------------------</w:t>
      </w:r>
    </w:p>
    <w:p>
      <w:pPr>
        <w:jc w:val="center"/>
        <w:ind w:right="2879"/>
        <w:spacing w:after="0" w:line="237" w:lineRule="auto"/>
        <w:rPr>
          <w:sz w:val="20"/>
          <w:szCs w:val="20"/>
          <w:color w:val="auto"/>
        </w:rPr>
      </w:pPr>
      <w:r>
        <w:rPr>
          <w:rFonts w:ascii="Courier New" w:cs="Courier New" w:eastAsia="Courier New" w:hAnsi="Courier New"/>
          <w:sz w:val="16"/>
          <w:szCs w:val="16"/>
          <w:color w:val="auto"/>
        </w:rPr>
        <w:t>(Schlumberger N.V., Incorporated in the Netherlands Antilles)</w:t>
      </w:r>
    </w:p>
    <w:p>
      <w:pPr>
        <w:jc w:val="center"/>
        <w:ind w:right="2779"/>
        <w:spacing w:after="0" w:line="237" w:lineRule="auto"/>
        <w:rPr>
          <w:sz w:val="20"/>
          <w:szCs w:val="20"/>
          <w:color w:val="auto"/>
        </w:rPr>
      </w:pPr>
      <w:r>
        <w:rPr>
          <w:rFonts w:ascii="Courier New" w:cs="Courier New" w:eastAsia="Courier New" w:hAnsi="Courier New"/>
          <w:sz w:val="16"/>
          <w:szCs w:val="16"/>
          <w:color w:val="auto"/>
        </w:rPr>
        <w:t>and Subsidiary Companies</w:t>
      </w:r>
    </w:p>
    <w:p>
      <w:pPr>
        <w:spacing w:after="0" w:line="17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NOTES TO CONSOLIDATED FINANCIAL STATEMENTS</w:t>
      </w:r>
    </w:p>
    <w:p>
      <w:pPr>
        <w:ind w:left="1760"/>
        <w:spacing w:after="0" w:line="236" w:lineRule="auto"/>
        <w:rPr>
          <w:sz w:val="20"/>
          <w:szCs w:val="20"/>
          <w:color w:val="auto"/>
        </w:rPr>
      </w:pPr>
      <w:r>
        <w:rPr>
          <w:rFonts w:ascii="Courier New" w:cs="Courier New" w:eastAsia="Courier New" w:hAnsi="Courier New"/>
          <w:sz w:val="16"/>
          <w:szCs w:val="16"/>
          <w:color w:val="auto"/>
        </w:rPr>
        <w:t>------------------------------------------</w:t>
      </w:r>
    </w:p>
    <w:p>
      <w:pPr>
        <w:ind w:left="3160"/>
        <w:spacing w:after="0" w:line="237" w:lineRule="auto"/>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In the opinion of management, all adjustments necessary to present fairly the financial position and the results of operations have been made in the accompanying interim financial statements. The Company's significant accounting policies are summarized in its 1997 Annual Report. These policies have been consistently applied during the interim period presented in this report. The results of operations for the three and six month periods ended June 30, 1998 are not necessarily indicative of the results of operations that may be expected for the entire year.</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EARNINGS PER SHARE</w:t>
      </w:r>
    </w:p>
    <w:p>
      <w:pPr>
        <w:spacing w:after="0" w:line="236" w:lineRule="auto"/>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As required by SFAS 128, the Company must report both basic and diluted earnings per share. Basic earnings per share is computed by dividing net income by the average number of common shares outstanding during the period. Diluted earnings per share is computed by dividing net income by the average number of common shares outstanding assuming dilution, the calculation of which assumes that all stock options and warrants are exercised at the beginning of the period and the proceeds used by the Company to purchase shares at the average market price for the period.</w:t>
      </w:r>
    </w:p>
    <w:p>
      <w:pPr>
        <w:spacing w:after="0" w:line="184" w:lineRule="exact"/>
        <w:rPr>
          <w:sz w:val="20"/>
          <w:szCs w:val="20"/>
          <w:color w:val="auto"/>
        </w:rPr>
      </w:pPr>
    </w:p>
    <w:p>
      <w:pPr>
        <w:ind w:right="3339"/>
        <w:spacing w:after="0" w:line="295" w:lineRule="auto"/>
        <w:rPr>
          <w:sz w:val="20"/>
          <w:szCs w:val="20"/>
          <w:color w:val="auto"/>
        </w:rPr>
      </w:pPr>
      <w:r>
        <w:rPr>
          <w:rFonts w:ascii="Courier New" w:cs="Courier New" w:eastAsia="Courier New" w:hAnsi="Courier New"/>
          <w:sz w:val="14"/>
          <w:szCs w:val="14"/>
          <w:color w:val="auto"/>
        </w:rPr>
        <w:t>The following is a reconciliation from basic earnings per share to diluted earnings per share for the second quarter and six months of 1998:</w:t>
      </w:r>
    </w:p>
    <w:p>
      <w:pPr>
        <w:spacing w:after="0" w:line="320"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(Stated in thousands except per share amounts)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940" w:type="dxa"/>
            <w:vAlign w:val="bottom"/>
          </w:tcPr>
          <w:p>
            <w:pPr>
              <w:spacing w:after="0"/>
              <w:rPr>
                <w:sz w:val="20"/>
                <w:szCs w:val="20"/>
                <w:color w:val="auto"/>
              </w:rPr>
            </w:pPr>
            <w:r>
              <w:rPr>
                <w:rFonts w:ascii="Courier New" w:cs="Courier New" w:eastAsia="Courier New" w:hAnsi="Courier New"/>
                <w:sz w:val="16"/>
                <w:szCs w:val="16"/>
                <w:color w:val="auto"/>
              </w:rPr>
              <w:t>Second Quarter</w:t>
            </w:r>
          </w:p>
        </w:tc>
        <w:tc>
          <w:tcPr>
            <w:tcW w:w="1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9"/>
        </w:trPr>
        <w:tc>
          <w:tcPr>
            <w:tcW w:w="194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1120" w:type="dxa"/>
            <w:vAlign w:val="bottom"/>
          </w:tcPr>
          <w:p>
            <w:pPr>
              <w:spacing w:after="0"/>
              <w:rPr>
                <w:sz w:val="15"/>
                <w:szCs w:val="15"/>
                <w:color w:val="auto"/>
              </w:rPr>
            </w:pP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Average</w:t>
            </w: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9"/>
        </w:trPr>
        <w:tc>
          <w:tcPr>
            <w:tcW w:w="1940" w:type="dxa"/>
            <w:vAlign w:val="bottom"/>
          </w:tcPr>
          <w:p>
            <w:pPr>
              <w:spacing w:after="0"/>
              <w:rPr>
                <w:sz w:val="15"/>
                <w:szCs w:val="15"/>
                <w:color w:val="auto"/>
              </w:rPr>
            </w:pPr>
          </w:p>
        </w:tc>
        <w:tc>
          <w:tcPr>
            <w:tcW w:w="11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Net</w:t>
            </w:r>
          </w:p>
        </w:tc>
        <w:tc>
          <w:tcPr>
            <w:tcW w:w="12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Shares</w:t>
            </w:r>
          </w:p>
        </w:tc>
        <w:tc>
          <w:tcPr>
            <w:tcW w:w="9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Earnings</w:t>
            </w:r>
          </w:p>
        </w:tc>
      </w:tr>
      <w:tr>
        <w:trPr>
          <w:trHeight w:val="179"/>
        </w:trPr>
        <w:tc>
          <w:tcPr>
            <w:tcW w:w="1940" w:type="dxa"/>
            <w:vAlign w:val="bottom"/>
          </w:tcPr>
          <w:p>
            <w:pPr>
              <w:spacing w:after="0"/>
              <w:rPr>
                <w:sz w:val="15"/>
                <w:szCs w:val="15"/>
                <w:color w:val="auto"/>
              </w:rPr>
            </w:pP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Income</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Outstanding</w:t>
            </w:r>
          </w:p>
        </w:tc>
        <w:tc>
          <w:tcPr>
            <w:tcW w:w="9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Per Share</w:t>
            </w:r>
          </w:p>
        </w:tc>
      </w:tr>
      <w:tr>
        <w:trPr>
          <w:trHeight w:val="179"/>
        </w:trPr>
        <w:tc>
          <w:tcPr>
            <w:tcW w:w="1940" w:type="dxa"/>
            <w:vAlign w:val="bottom"/>
          </w:tcPr>
          <w:p>
            <w:pPr>
              <w:spacing w:after="0"/>
              <w:rPr>
                <w:sz w:val="15"/>
                <w:szCs w:val="15"/>
                <w:color w:val="auto"/>
              </w:rPr>
            </w:pP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1940" w:type="dxa"/>
            <w:vAlign w:val="bottom"/>
          </w:tcPr>
          <w:p>
            <w:pPr>
              <w:spacing w:after="0"/>
              <w:rPr>
                <w:sz w:val="20"/>
                <w:szCs w:val="20"/>
                <w:color w:val="auto"/>
              </w:rPr>
            </w:pPr>
            <w:r>
              <w:rPr>
                <w:rFonts w:ascii="Courier New" w:cs="Courier New" w:eastAsia="Courier New" w:hAnsi="Courier New"/>
                <w:sz w:val="16"/>
                <w:szCs w:val="16"/>
                <w:color w:val="auto"/>
              </w:rPr>
              <w:t>Basic</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$359,355</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498,853</w:t>
            </w:r>
          </w:p>
        </w:tc>
        <w:tc>
          <w:tcPr>
            <w:tcW w:w="4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0.72</w:t>
            </w:r>
          </w:p>
        </w:tc>
      </w:tr>
      <w:tr>
        <w:trPr>
          <w:trHeight w:val="179"/>
        </w:trPr>
        <w:tc>
          <w:tcPr>
            <w:tcW w:w="1940" w:type="dxa"/>
            <w:vAlign w:val="bottom"/>
          </w:tcPr>
          <w:p>
            <w:pPr>
              <w:spacing w:after="0" w:line="179" w:lineRule="exact"/>
              <w:rPr>
                <w:sz w:val="20"/>
                <w:szCs w:val="20"/>
                <w:color w:val="auto"/>
              </w:rPr>
            </w:pPr>
            <w:r>
              <w:rPr>
                <w:rFonts w:ascii="Courier New" w:cs="Courier New" w:eastAsia="Courier New" w:hAnsi="Courier New"/>
                <w:sz w:val="16"/>
                <w:szCs w:val="16"/>
                <w:color w:val="auto"/>
              </w:rPr>
              <w:t>Effect of dilution:</w:t>
            </w:r>
          </w:p>
        </w:tc>
        <w:tc>
          <w:tcPr>
            <w:tcW w:w="1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9"/>
        </w:trPr>
        <w:tc>
          <w:tcPr>
            <w:tcW w:w="1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Options</w:t>
            </w:r>
          </w:p>
        </w:tc>
        <w:tc>
          <w:tcPr>
            <w:tcW w:w="1120" w:type="dxa"/>
            <w:vAlign w:val="bottom"/>
          </w:tcPr>
          <w:p>
            <w:pPr>
              <w:spacing w:after="0"/>
              <w:rPr>
                <w:sz w:val="15"/>
                <w:szCs w:val="15"/>
                <w:color w:val="auto"/>
              </w:rPr>
            </w:pP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11,091</w:t>
            </w: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9"/>
        </w:trPr>
        <w:tc>
          <w:tcPr>
            <w:tcW w:w="1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Warrants</w:t>
            </w:r>
          </w:p>
        </w:tc>
        <w:tc>
          <w:tcPr>
            <w:tcW w:w="1120" w:type="dxa"/>
            <w:vAlign w:val="bottom"/>
          </w:tcPr>
          <w:p>
            <w:pPr>
              <w:spacing w:after="0"/>
              <w:rPr>
                <w:sz w:val="15"/>
                <w:szCs w:val="15"/>
                <w:color w:val="auto"/>
              </w:rPr>
            </w:pP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9,121</w:t>
            </w: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9"/>
        </w:trPr>
        <w:tc>
          <w:tcPr>
            <w:tcW w:w="1940" w:type="dxa"/>
            <w:vAlign w:val="bottom"/>
          </w:tcPr>
          <w:p>
            <w:pPr>
              <w:spacing w:after="0"/>
              <w:rPr>
                <w:sz w:val="15"/>
                <w:szCs w:val="15"/>
                <w:color w:val="auto"/>
              </w:rPr>
            </w:pP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9"/>
        </w:trPr>
        <w:tc>
          <w:tcPr>
            <w:tcW w:w="1940" w:type="dxa"/>
            <w:vAlign w:val="bottom"/>
          </w:tcPr>
          <w:p>
            <w:pPr>
              <w:spacing w:after="0" w:line="179" w:lineRule="exact"/>
              <w:rPr>
                <w:sz w:val="20"/>
                <w:szCs w:val="20"/>
                <w:color w:val="auto"/>
              </w:rPr>
            </w:pPr>
            <w:r>
              <w:rPr>
                <w:rFonts w:ascii="Courier New" w:cs="Courier New" w:eastAsia="Courier New" w:hAnsi="Courier New"/>
                <w:sz w:val="16"/>
                <w:szCs w:val="16"/>
                <w:color w:val="auto"/>
              </w:rPr>
              <w:t>Diluted</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$359,355</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519,065</w:t>
            </w:r>
          </w:p>
        </w:tc>
        <w:tc>
          <w:tcPr>
            <w:tcW w:w="4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0.69</w:t>
            </w:r>
          </w:p>
        </w:tc>
      </w:tr>
      <w:tr>
        <w:trPr>
          <w:trHeight w:val="179"/>
        </w:trPr>
        <w:tc>
          <w:tcPr>
            <w:tcW w:w="1940" w:type="dxa"/>
            <w:vAlign w:val="bottom"/>
          </w:tcPr>
          <w:p>
            <w:pPr>
              <w:spacing w:after="0"/>
              <w:rPr>
                <w:sz w:val="15"/>
                <w:szCs w:val="15"/>
                <w:color w:val="auto"/>
              </w:rPr>
            </w:pP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1940" w:type="dxa"/>
            <w:vAlign w:val="bottom"/>
          </w:tcPr>
          <w:p>
            <w:pPr>
              <w:spacing w:after="0"/>
              <w:rPr>
                <w:sz w:val="20"/>
                <w:szCs w:val="20"/>
                <w:color w:val="auto"/>
              </w:rPr>
            </w:pPr>
            <w:r>
              <w:rPr>
                <w:rFonts w:ascii="Courier New" w:cs="Courier New" w:eastAsia="Courier New" w:hAnsi="Courier New"/>
                <w:sz w:val="16"/>
                <w:szCs w:val="16"/>
                <w:color w:val="auto"/>
              </w:rPr>
              <w:t>Six Months</w:t>
            </w: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79"/>
        </w:trPr>
        <w:tc>
          <w:tcPr>
            <w:tcW w:w="194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1120" w:type="dxa"/>
            <w:vAlign w:val="bottom"/>
          </w:tcPr>
          <w:p>
            <w:pPr>
              <w:spacing w:after="0"/>
              <w:rPr>
                <w:sz w:val="15"/>
                <w:szCs w:val="15"/>
                <w:color w:val="auto"/>
              </w:rPr>
            </w:pP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Average</w:t>
            </w: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9"/>
        </w:trPr>
        <w:tc>
          <w:tcPr>
            <w:tcW w:w="1940" w:type="dxa"/>
            <w:vAlign w:val="bottom"/>
          </w:tcPr>
          <w:p>
            <w:pPr>
              <w:spacing w:after="0"/>
              <w:rPr>
                <w:sz w:val="15"/>
                <w:szCs w:val="15"/>
                <w:color w:val="auto"/>
              </w:rPr>
            </w:pPr>
          </w:p>
        </w:tc>
        <w:tc>
          <w:tcPr>
            <w:tcW w:w="11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Net</w:t>
            </w:r>
          </w:p>
        </w:tc>
        <w:tc>
          <w:tcPr>
            <w:tcW w:w="12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Shares</w:t>
            </w:r>
          </w:p>
        </w:tc>
        <w:tc>
          <w:tcPr>
            <w:tcW w:w="9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Earnings</w:t>
            </w:r>
          </w:p>
        </w:tc>
      </w:tr>
      <w:tr>
        <w:trPr>
          <w:trHeight w:val="179"/>
        </w:trPr>
        <w:tc>
          <w:tcPr>
            <w:tcW w:w="1940" w:type="dxa"/>
            <w:vAlign w:val="bottom"/>
          </w:tcPr>
          <w:p>
            <w:pPr>
              <w:spacing w:after="0"/>
              <w:rPr>
                <w:sz w:val="15"/>
                <w:szCs w:val="15"/>
                <w:color w:val="auto"/>
              </w:rPr>
            </w:pP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Income</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Outstanding</w:t>
            </w:r>
          </w:p>
        </w:tc>
        <w:tc>
          <w:tcPr>
            <w:tcW w:w="9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Per Share</w:t>
            </w:r>
          </w:p>
        </w:tc>
      </w:tr>
      <w:tr>
        <w:trPr>
          <w:trHeight w:val="179"/>
        </w:trPr>
        <w:tc>
          <w:tcPr>
            <w:tcW w:w="1940" w:type="dxa"/>
            <w:vAlign w:val="bottom"/>
          </w:tcPr>
          <w:p>
            <w:pPr>
              <w:spacing w:after="0"/>
              <w:rPr>
                <w:sz w:val="15"/>
                <w:szCs w:val="15"/>
                <w:color w:val="auto"/>
              </w:rPr>
            </w:pP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940" w:type="dxa"/>
            <w:vAlign w:val="bottom"/>
          </w:tcPr>
          <w:p>
            <w:pPr>
              <w:spacing w:after="0" w:line="179" w:lineRule="exact"/>
              <w:rPr>
                <w:sz w:val="20"/>
                <w:szCs w:val="20"/>
                <w:color w:val="auto"/>
              </w:rPr>
            </w:pPr>
            <w:r>
              <w:rPr>
                <w:rFonts w:ascii="Courier New" w:cs="Courier New" w:eastAsia="Courier New" w:hAnsi="Courier New"/>
                <w:sz w:val="16"/>
                <w:szCs w:val="16"/>
                <w:color w:val="auto"/>
              </w:rPr>
              <w:t>Basic</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$710,087</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498,563</w:t>
            </w:r>
          </w:p>
        </w:tc>
        <w:tc>
          <w:tcPr>
            <w:tcW w:w="4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1.42</w:t>
            </w:r>
          </w:p>
        </w:tc>
      </w:tr>
      <w:tr>
        <w:trPr>
          <w:trHeight w:val="179"/>
        </w:trPr>
        <w:tc>
          <w:tcPr>
            <w:tcW w:w="1940" w:type="dxa"/>
            <w:vAlign w:val="bottom"/>
          </w:tcPr>
          <w:p>
            <w:pPr>
              <w:spacing w:after="0" w:line="179" w:lineRule="exact"/>
              <w:rPr>
                <w:sz w:val="20"/>
                <w:szCs w:val="20"/>
                <w:color w:val="auto"/>
              </w:rPr>
            </w:pPr>
            <w:r>
              <w:rPr>
                <w:rFonts w:ascii="Courier New" w:cs="Courier New" w:eastAsia="Courier New" w:hAnsi="Courier New"/>
                <w:sz w:val="16"/>
                <w:szCs w:val="16"/>
                <w:color w:val="auto"/>
              </w:rPr>
              <w:t>Effect of dilution:</w:t>
            </w:r>
          </w:p>
        </w:tc>
        <w:tc>
          <w:tcPr>
            <w:tcW w:w="1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9"/>
        </w:trPr>
        <w:tc>
          <w:tcPr>
            <w:tcW w:w="1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Options</w:t>
            </w:r>
          </w:p>
        </w:tc>
        <w:tc>
          <w:tcPr>
            <w:tcW w:w="1120" w:type="dxa"/>
            <w:vAlign w:val="bottom"/>
          </w:tcPr>
          <w:p>
            <w:pPr>
              <w:spacing w:after="0"/>
              <w:rPr>
                <w:sz w:val="15"/>
                <w:szCs w:val="15"/>
                <w:color w:val="auto"/>
              </w:rPr>
            </w:pP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11,143</w:t>
            </w: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9"/>
        </w:trPr>
        <w:tc>
          <w:tcPr>
            <w:tcW w:w="1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Warrants</w:t>
            </w:r>
          </w:p>
        </w:tc>
        <w:tc>
          <w:tcPr>
            <w:tcW w:w="1120" w:type="dxa"/>
            <w:vAlign w:val="bottom"/>
          </w:tcPr>
          <w:p>
            <w:pPr>
              <w:spacing w:after="0"/>
              <w:rPr>
                <w:sz w:val="15"/>
                <w:szCs w:val="15"/>
                <w:color w:val="auto"/>
              </w:rPr>
            </w:pP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9,048</w:t>
            </w: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9"/>
        </w:trPr>
        <w:tc>
          <w:tcPr>
            <w:tcW w:w="1940" w:type="dxa"/>
            <w:vAlign w:val="bottom"/>
          </w:tcPr>
          <w:p>
            <w:pPr>
              <w:spacing w:after="0"/>
              <w:rPr>
                <w:sz w:val="15"/>
                <w:szCs w:val="15"/>
                <w:color w:val="auto"/>
              </w:rPr>
            </w:pP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9"/>
        </w:trPr>
        <w:tc>
          <w:tcPr>
            <w:tcW w:w="1940" w:type="dxa"/>
            <w:vAlign w:val="bottom"/>
          </w:tcPr>
          <w:p>
            <w:pPr>
              <w:spacing w:after="0" w:line="179" w:lineRule="exact"/>
              <w:rPr>
                <w:sz w:val="20"/>
                <w:szCs w:val="20"/>
                <w:color w:val="auto"/>
              </w:rPr>
            </w:pPr>
            <w:r>
              <w:rPr>
                <w:rFonts w:ascii="Courier New" w:cs="Courier New" w:eastAsia="Courier New" w:hAnsi="Courier New"/>
                <w:sz w:val="16"/>
                <w:szCs w:val="16"/>
                <w:color w:val="auto"/>
              </w:rPr>
              <w:t>Diluted</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$710,087</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518,754</w:t>
            </w:r>
          </w:p>
        </w:tc>
        <w:tc>
          <w:tcPr>
            <w:tcW w:w="4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1.37</w:t>
            </w:r>
          </w:p>
        </w:tc>
      </w:tr>
      <w:tr>
        <w:trPr>
          <w:trHeight w:val="179"/>
        </w:trPr>
        <w:tc>
          <w:tcPr>
            <w:tcW w:w="1940" w:type="dxa"/>
            <w:vAlign w:val="bottom"/>
          </w:tcPr>
          <w:p>
            <w:pPr>
              <w:spacing w:after="0"/>
              <w:rPr>
                <w:sz w:val="15"/>
                <w:szCs w:val="15"/>
                <w:color w:val="auto"/>
              </w:rPr>
            </w:pP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1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-6-</w:t>
            </w: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0219"/>
          </w:cols>
          <w:pgMar w:left="240" w:top="648"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CONTINGENCIES</w:t>
      </w:r>
    </w:p>
    <w:p>
      <w:pPr>
        <w:spacing w:after="0" w:line="236" w:lineRule="auto"/>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The Company and its subsidiaries comply with government laws and regulations and responsible management practices for the protection of the environment. The Consolidated Balance Sheet includes accruals for the estimated future costs associated with certain environmental remediation activities related to the past use or disposal of hazardous materials. Substantially all such costs relate to divested operations and to facilities or locations that are no longer in operation. Due to a number of uncertainties, including uncertainty of timing, the scope of remediation, future technology, regulatory changes and other factors, it is possible that the ultimate remediation costs may exceed the amounts estimated. However, in the opinion of management, such additional costs are not expected to be material relative to consolidated liquidity, financial position or future results of operations.</w:t>
      </w:r>
    </w:p>
    <w:p>
      <w:pPr>
        <w:spacing w:after="0" w:line="187"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In addition, the Company and its subsidiaries are party to various other legal proceedings. Although the ultimate disposition of these proceedings is not presently determinable, in the opinion of the Company, any liability that might ensue would not be material in relation to the Consolidated Financial Statements.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RECENT ACCOUNTING PRONOUNCEMENTS</w:t>
      </w:r>
    </w:p>
    <w:p>
      <w:pPr>
        <w:spacing w:after="0" w:line="236" w:lineRule="auto"/>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jc w:val="both"/>
        <w:ind w:right="2959"/>
        <w:spacing w:after="0" w:line="235" w:lineRule="auto"/>
        <w:rPr>
          <w:sz w:val="20"/>
          <w:szCs w:val="20"/>
          <w:color w:val="auto"/>
        </w:rPr>
      </w:pPr>
      <w:r>
        <w:rPr>
          <w:rFonts w:ascii="Courier New" w:cs="Courier New" w:eastAsia="Courier New" w:hAnsi="Courier New"/>
          <w:sz w:val="16"/>
          <w:szCs w:val="16"/>
          <w:color w:val="auto"/>
        </w:rPr>
        <w:t>In June 1997, the Financial Accounting Standards Board (FASB) issued SFAS No. 130 - Reporting Comprehensive Income. The required disclosure of comprehensive income is reported in the analysis of Stockholders' Equity.</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In June 1997, the FASB issued SFAS No. 131 - Disclosures about Segments of a Business Enterprise and Related Information. The Standard is effective December 31, 1998 for the Company. Early this year, the Company announced a significant management reorganization in the Oilfield Services segment. This new structure has been formally in place for only several months and is being evaluated. The 1998 Annual Report will show the required disclosures for Oilfield Services disaggregated according to the new management structure. The required information for the Measurement &amp; Systems segment will be presented on the basis of how that segment is managed.</w:t>
      </w:r>
    </w:p>
    <w:p>
      <w:pPr>
        <w:spacing w:after="0" w:line="185"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In June 1998, the FASB issued SFAS No. 133 - Accounting for Derivative Instruments and Hedging Activities. The Standard is effective in the third quarter of 1999 for the Company. Currently, the Company primarily uses derivative instruments such as interest rate swaps, forward currency contracts and foreign currency options. The interest rate swaps are generally entered into to adjust non-US denominated debt and interest rates to US dollars. Forward currency contracts provide a hedge against currency fluctuations on assets/liabilities denominated in other than a functional currency. Options are usually entered into to hedge against currency variations on firm commitments generally involving the construction of long-lived assets such as seismic vessels and drilling rigs. The Company does not anticipate that the implementation of this new Standard will have a material effect on consolidated financial position and results of operations. The Standard will be adopted as required.</w:t>
      </w:r>
    </w:p>
    <w:p>
      <w:pPr>
        <w:spacing w:after="0" w:line="182"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48"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YEAR 2000 ISSUE</w:t>
      </w:r>
    </w:p>
    <w:p>
      <w:pPr>
        <w:spacing w:after="0" w:line="236" w:lineRule="auto"/>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right="2879"/>
        <w:spacing w:after="0" w:line="234" w:lineRule="auto"/>
        <w:rPr>
          <w:sz w:val="20"/>
          <w:szCs w:val="20"/>
          <w:color w:val="auto"/>
        </w:rPr>
      </w:pPr>
      <w:r>
        <w:rPr>
          <w:rFonts w:ascii="Courier New" w:cs="Courier New" w:eastAsia="Courier New" w:hAnsi="Courier New"/>
          <w:sz w:val="16"/>
          <w:szCs w:val="16"/>
          <w:color w:val="auto"/>
        </w:rPr>
        <w:t>The "Year 2000 Issue" is the inability of computers and computing technology to correctly process the year 2000 date change.</w:t>
      </w:r>
    </w:p>
    <w:p>
      <w:pPr>
        <w:spacing w:after="0" w:line="183"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Schlumberger recognizes the "Year 2000 Issue" creates a significant uncertainty to its business. To minimize the business disruptions that can be caused by this issue to our customers and shareholders, Schlumberger has established a proactive corporate-wide approach to Year 2000 readiness.</w:t>
      </w:r>
    </w:p>
    <w:p>
      <w:pPr>
        <w:spacing w:after="0" w:line="185" w:lineRule="exact"/>
        <w:rPr>
          <w:sz w:val="20"/>
          <w:szCs w:val="20"/>
          <w:color w:val="auto"/>
        </w:rPr>
      </w:pPr>
    </w:p>
    <w:p>
      <w:pPr>
        <w:ind w:right="2879"/>
        <w:spacing w:after="0" w:line="275" w:lineRule="auto"/>
        <w:rPr>
          <w:sz w:val="20"/>
          <w:szCs w:val="20"/>
          <w:color w:val="auto"/>
        </w:rPr>
      </w:pPr>
      <w:r>
        <w:rPr>
          <w:rFonts w:ascii="Courier New" w:cs="Courier New" w:eastAsia="Courier New" w:hAnsi="Courier New"/>
          <w:sz w:val="14"/>
          <w:szCs w:val="14"/>
          <w:color w:val="auto"/>
        </w:rPr>
        <w:t>Our approach uses a business risk assessment and prioritization process, and is directly intended to produce Year 2000 ready products/services and to minimize disruptions in our business operations or our ability to serve our customers. Additionally, Schlumberger is actively working with customers, suppliers, contractors, and alliance partners to promote Year 2000 readiness. A Year 2000 Readiness Statement for Schlumberger can be found on: www.slb.com.</w:t>
      </w:r>
    </w:p>
    <w:p>
      <w:pPr>
        <w:spacing w:after="0" w:line="162"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The Company's Year 2000 readiness efforts are divided into two main categories: internal business systems and products/services. In 1994, the Company decided to upgrade its main internal business systems with compliant programs such as SAP R/3** and QAD MFG/PRO***. In 1997, a complete inventory of all business systems took place throughout the Company resulting in an accelerated implementation of compliant programs and the establishment of contracts with third-party vendors for the repair, testing and implementation of nearly 19,500 programs. Many of these applications are already entering testing and deployment phase with a target completion date of March 1999.</w:t>
      </w:r>
    </w:p>
    <w:p>
      <w:pPr>
        <w:spacing w:after="0" w:line="185"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The main focus of the Year 2000 readiness efforts in 1998 is on the Company's known key products and services. Our business units have completed the majority of the assessment phase of existing products and services, and projects are being established within the business units to repair non Year 2000 ready products and services by end of 1998. The main focus in 1999 will be on testing and implementation of repaired programs, products and services and the development of contingency planning, as required. To assure these key Year 2000 readiness projects proceed satisfactorily, the Company has a corporate level program office in place to coordinate, monitor, and report on these projects to Company management.</w:t>
      </w:r>
    </w:p>
    <w:p>
      <w:pPr>
        <w:spacing w:after="0" w:line="186"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Efforts are underway to protect the Company from being adversely impacted in the Year 2000 by entities not affiliated with the Company (suppliers, financial institutions, etc.). The Company is promoting knowledge sharing with customers, suppliers and alliance partners to attempt the most efficient Year 2000 solutions.</w:t>
      </w:r>
    </w:p>
    <w:p>
      <w:pPr>
        <w:spacing w:after="0" w:line="186"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Based upon results to date, the Company believes the known Year 2000 problems with its internal business applications and products can be corrected to avoid any significant interruptions. The Company still expects that the total cost of addressing this issue will be $40 million - $60 million. This cost estimate does not include the normal upgrading of business and financial systems that would be Year 2000 ready. Costs incurred in connection with Year 2000 compliance will be treated as period costs and expensed as incurred.</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48" w:right="1440" w:bottom="1440" w:gutter="0" w:footer="0" w:header="0"/>
        </w:sectPr>
      </w:pPr>
    </w:p>
    <w:bookmarkStart w:id="8" w:name="page9"/>
    <w:bookmarkEnd w:id="8"/>
    <w:p>
      <w:pPr>
        <w:ind w:left="5"/>
        <w:spacing w:after="0"/>
        <w:rPr>
          <w:sz w:val="20"/>
          <w:szCs w:val="20"/>
          <w:color w:val="auto"/>
        </w:rPr>
      </w:pPr>
      <w:r>
        <w:rPr>
          <w:rFonts w:ascii="Courier New" w:cs="Courier New" w:eastAsia="Courier New" w:hAnsi="Courier New"/>
          <w:sz w:val="16"/>
          <w:szCs w:val="16"/>
          <w:color w:val="auto"/>
        </w:rPr>
        <w:t>Item 2: Management's Discussion and Analysis of Financial Condition and</w:t>
      </w:r>
    </w:p>
    <w:p>
      <w:pPr>
        <w:ind w:left="185" w:hanging="185"/>
        <w:spacing w:after="0" w:line="236" w:lineRule="auto"/>
        <w:tabs>
          <w:tab w:leader="none" w:pos="18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Results of Operations.</w:t>
      </w:r>
    </w:p>
    <w:p>
      <w:pPr>
        <w:ind w:left="185" w:hanging="185"/>
        <w:spacing w:after="0" w:line="236" w:lineRule="auto"/>
        <w:tabs>
          <w:tab w:leader="none" w:pos="18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1305"/>
        <w:spacing w:after="0"/>
        <w:rPr>
          <w:sz w:val="20"/>
          <w:szCs w:val="20"/>
          <w:color w:val="auto"/>
        </w:rPr>
      </w:pPr>
      <w:r>
        <w:rPr>
          <w:rFonts w:ascii="Courier New" w:cs="Courier New" w:eastAsia="Courier New" w:hAnsi="Courier New"/>
          <w:sz w:val="16"/>
          <w:szCs w:val="16"/>
          <w:color w:val="auto"/>
        </w:rPr>
        <w:t>Second Quarter 1998 Compared to Second Quarter 1997</w:t>
      </w:r>
    </w:p>
    <w:p>
      <w:pPr>
        <w:ind w:left="1305"/>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5" w:right="3239"/>
        <w:spacing w:after="0" w:line="234" w:lineRule="auto"/>
        <w:rPr>
          <w:sz w:val="20"/>
          <w:szCs w:val="20"/>
          <w:color w:val="auto"/>
        </w:rPr>
      </w:pPr>
      <w:r>
        <w:rPr>
          <w:rFonts w:ascii="Courier New" w:cs="Courier New" w:eastAsia="Courier New" w:hAnsi="Courier New"/>
          <w:sz w:val="16"/>
          <w:szCs w:val="16"/>
          <w:color w:val="auto"/>
        </w:rPr>
        <w:t>Second quarter operating revenue was $2.9 billion, 10% higher than the same period last year.</w:t>
      </w:r>
    </w:p>
    <w:p>
      <w:pPr>
        <w:spacing w:after="0" w:line="183" w:lineRule="exact"/>
        <w:rPr>
          <w:sz w:val="20"/>
          <w:szCs w:val="20"/>
          <w:color w:val="auto"/>
        </w:rPr>
      </w:pPr>
    </w:p>
    <w:p>
      <w:pPr>
        <w:ind w:left="5" w:right="2879"/>
        <w:spacing w:after="0" w:line="234" w:lineRule="auto"/>
        <w:rPr>
          <w:sz w:val="20"/>
          <w:szCs w:val="20"/>
          <w:color w:val="auto"/>
        </w:rPr>
      </w:pPr>
      <w:r>
        <w:rPr>
          <w:rFonts w:ascii="Courier New" w:cs="Courier New" w:eastAsia="Courier New" w:hAnsi="Courier New"/>
          <w:sz w:val="16"/>
          <w:szCs w:val="16"/>
          <w:color w:val="auto"/>
        </w:rPr>
        <w:t>Net income of $359 million and diluted earnings per share of $0.69 were 17% and 15%, respectively, above second quarter 1997.</w:t>
      </w:r>
    </w:p>
    <w:p>
      <w:pPr>
        <w:spacing w:after="0" w:line="183" w:lineRule="exact"/>
        <w:rPr>
          <w:sz w:val="20"/>
          <w:szCs w:val="20"/>
          <w:color w:val="auto"/>
        </w:rPr>
      </w:pPr>
    </w:p>
    <w:p>
      <w:pPr>
        <w:ind w:left="5" w:right="2779"/>
        <w:spacing w:after="0" w:line="279" w:lineRule="auto"/>
        <w:rPr>
          <w:sz w:val="20"/>
          <w:szCs w:val="20"/>
          <w:color w:val="auto"/>
        </w:rPr>
      </w:pPr>
      <w:r>
        <w:rPr>
          <w:rFonts w:ascii="Courier New" w:cs="Courier New" w:eastAsia="Courier New" w:hAnsi="Courier New"/>
          <w:sz w:val="14"/>
          <w:szCs w:val="14"/>
          <w:color w:val="auto"/>
        </w:rPr>
        <w:t>Oilfield Services revenue increased 11%, while rig count decreased 8%. Operating income grew 16%. Contract drilling, marine seismic and pressure pumping and cementing services contributed strongly to the results. North and South America and Asia reported significant regional oilfield services revenue increases.</w:t>
      </w:r>
    </w:p>
    <w:p>
      <w:pPr>
        <w:spacing w:after="0" w:line="157" w:lineRule="exact"/>
        <w:rPr>
          <w:sz w:val="20"/>
          <w:szCs w:val="20"/>
          <w:color w:val="auto"/>
        </w:rPr>
      </w:pPr>
    </w:p>
    <w:p>
      <w:pPr>
        <w:jc w:val="both"/>
        <w:ind w:left="5" w:right="3339"/>
        <w:spacing w:after="0" w:line="235" w:lineRule="auto"/>
        <w:rPr>
          <w:sz w:val="20"/>
          <w:szCs w:val="20"/>
          <w:color w:val="auto"/>
        </w:rPr>
      </w:pPr>
      <w:r>
        <w:rPr>
          <w:rFonts w:ascii="Courier New" w:cs="Courier New" w:eastAsia="Courier New" w:hAnsi="Courier New"/>
          <w:sz w:val="16"/>
          <w:szCs w:val="16"/>
          <w:color w:val="auto"/>
        </w:rPr>
        <w:t>Measurement &amp; Systems revenue grew 6%. Significant growth at Smart Cards &amp; Terminals was offset by the decline in Metering activities and unfavorable currency exchange rates.</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Business Review</w:t>
      </w:r>
    </w:p>
    <w:tbl>
      <w:tblPr>
        <w:tblLayout w:type="fixed"/>
        <w:tblInd w:w="5" w:type="dxa"/>
        <w:tblCellMar>
          <w:top w:w="0" w:type="dxa"/>
          <w:left w:w="0" w:type="dxa"/>
          <w:bottom w:w="0" w:type="dxa"/>
          <w:right w:w="0" w:type="dxa"/>
        </w:tblCellMar>
      </w:tblPr>
      <w:tr>
        <w:trPr>
          <w:trHeight w:val="179"/>
        </w:trPr>
        <w:tc>
          <w:tcPr>
            <w:tcW w:w="1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40" w:type="dxa"/>
            <w:vAlign w:val="bottom"/>
            <w:gridSpan w:val="4"/>
          </w:tcPr>
          <w:p>
            <w:pPr>
              <w:jc w:val="right"/>
              <w:ind w:right="202"/>
              <w:spacing w:after="0" w:line="179" w:lineRule="exact"/>
              <w:rPr>
                <w:sz w:val="20"/>
                <w:szCs w:val="20"/>
                <w:color w:val="auto"/>
              </w:rPr>
            </w:pPr>
            <w:r>
              <w:rPr>
                <w:rFonts w:ascii="Courier New" w:cs="Courier New" w:eastAsia="Courier New" w:hAnsi="Courier New"/>
                <w:sz w:val="16"/>
                <w:szCs w:val="16"/>
                <w:color w:val="auto"/>
                <w:w w:val="95"/>
              </w:rPr>
              <w:t>(Stated in millions)</w:t>
            </w:r>
          </w:p>
        </w:tc>
      </w:tr>
      <w:tr>
        <w:trPr>
          <w:trHeight w:val="358"/>
        </w:trPr>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60" w:type="dxa"/>
            <w:vAlign w:val="bottom"/>
            <w:gridSpan w:val="4"/>
          </w:tcPr>
          <w:p>
            <w:pPr>
              <w:ind w:left="320"/>
              <w:spacing w:after="0"/>
              <w:rPr>
                <w:sz w:val="20"/>
                <w:szCs w:val="20"/>
                <w:color w:val="auto"/>
              </w:rPr>
            </w:pPr>
            <w:r>
              <w:rPr>
                <w:rFonts w:ascii="Courier New" w:cs="Courier New" w:eastAsia="Courier New" w:hAnsi="Courier New"/>
                <w:sz w:val="16"/>
                <w:szCs w:val="16"/>
                <w:color w:val="auto"/>
              </w:rPr>
              <w:t>Oilfield Services</w:t>
            </w:r>
          </w:p>
        </w:tc>
        <w:tc>
          <w:tcPr>
            <w:tcW w:w="180" w:type="dxa"/>
            <w:vAlign w:val="bottom"/>
          </w:tcPr>
          <w:p>
            <w:pPr>
              <w:spacing w:after="0"/>
              <w:rPr>
                <w:sz w:val="24"/>
                <w:szCs w:val="24"/>
                <w:color w:val="auto"/>
              </w:rPr>
            </w:pPr>
          </w:p>
        </w:tc>
        <w:tc>
          <w:tcPr>
            <w:tcW w:w="2140" w:type="dxa"/>
            <w:vAlign w:val="bottom"/>
            <w:gridSpan w:val="4"/>
          </w:tcPr>
          <w:p>
            <w:pPr>
              <w:jc w:val="right"/>
              <w:ind w:right="102"/>
              <w:spacing w:after="0"/>
              <w:rPr>
                <w:sz w:val="20"/>
                <w:szCs w:val="20"/>
                <w:color w:val="auto"/>
              </w:rPr>
            </w:pPr>
            <w:r>
              <w:rPr>
                <w:rFonts w:ascii="Courier New" w:cs="Courier New" w:eastAsia="Courier New" w:hAnsi="Courier New"/>
                <w:sz w:val="16"/>
                <w:szCs w:val="16"/>
                <w:color w:val="auto"/>
                <w:w w:val="96"/>
              </w:rPr>
              <w:t>Measurement &amp; Systems</w:t>
            </w:r>
          </w:p>
        </w:tc>
      </w:tr>
      <w:tr>
        <w:trPr>
          <w:trHeight w:val="179"/>
        </w:trPr>
        <w:tc>
          <w:tcPr>
            <w:tcW w:w="1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7"/>
              </w:rPr>
              <w:t>----------------------</w:t>
            </w:r>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320" w:type="dxa"/>
            <w:vAlign w:val="bottom"/>
            <w:gridSpan w:val="5"/>
          </w:tcPr>
          <w:p>
            <w:pPr>
              <w:ind w:left="10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940" w:type="dxa"/>
            <w:vAlign w:val="bottom"/>
          </w:tcPr>
          <w:p>
            <w:pPr>
              <w:spacing w:after="0" w:line="179" w:lineRule="exact"/>
              <w:rPr>
                <w:sz w:val="20"/>
                <w:szCs w:val="20"/>
                <w:color w:val="auto"/>
              </w:rPr>
            </w:pPr>
            <w:r>
              <w:rPr>
                <w:rFonts w:ascii="Courier New" w:cs="Courier New" w:eastAsia="Courier New" w:hAnsi="Courier New"/>
                <w:sz w:val="16"/>
                <w:szCs w:val="16"/>
                <w:color w:val="auto"/>
              </w:rPr>
              <w:t>Second Quarter</w:t>
            </w:r>
          </w:p>
        </w:tc>
        <w:tc>
          <w:tcPr>
            <w:tcW w:w="340" w:type="dxa"/>
            <w:vAlign w:val="bottom"/>
          </w:tcPr>
          <w:p>
            <w:pPr>
              <w:spacing w:after="0"/>
              <w:rPr>
                <w:sz w:val="15"/>
                <w:szCs w:val="15"/>
                <w:color w:val="auto"/>
              </w:rPr>
            </w:pPr>
          </w:p>
        </w:tc>
        <w:tc>
          <w:tcPr>
            <w:tcW w:w="600" w:type="dxa"/>
            <w:vAlign w:val="bottom"/>
          </w:tcPr>
          <w:p>
            <w:pPr>
              <w:jc w:val="right"/>
              <w:ind w:right="30"/>
              <w:spacing w:after="0" w:line="179" w:lineRule="exact"/>
              <w:rPr>
                <w:sz w:val="20"/>
                <w:szCs w:val="20"/>
                <w:color w:val="auto"/>
              </w:rPr>
            </w:pPr>
            <w:r>
              <w:rPr>
                <w:rFonts w:ascii="Courier New" w:cs="Courier New" w:eastAsia="Courier New" w:hAnsi="Courier New"/>
                <w:sz w:val="16"/>
                <w:szCs w:val="16"/>
                <w:color w:val="auto"/>
              </w:rPr>
              <w:t>1998</w:t>
            </w:r>
          </w:p>
        </w:tc>
        <w:tc>
          <w:tcPr>
            <w:tcW w:w="140" w:type="dxa"/>
            <w:vAlign w:val="bottom"/>
          </w:tcPr>
          <w:p>
            <w:pPr>
              <w:spacing w:after="0"/>
              <w:rPr>
                <w:sz w:val="15"/>
                <w:szCs w:val="15"/>
                <w:color w:val="auto"/>
              </w:rPr>
            </w:pPr>
          </w:p>
        </w:tc>
        <w:tc>
          <w:tcPr>
            <w:tcW w:w="7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1997</w:t>
            </w:r>
          </w:p>
        </w:tc>
        <w:tc>
          <w:tcPr>
            <w:tcW w:w="1020" w:type="dxa"/>
            <w:vAlign w:val="bottom"/>
          </w:tcPr>
          <w:p>
            <w:pPr>
              <w:spacing w:after="0" w:line="179" w:lineRule="exact"/>
              <w:rPr>
                <w:sz w:val="20"/>
                <w:szCs w:val="20"/>
                <w:color w:val="auto"/>
              </w:rPr>
            </w:pPr>
            <w:r>
              <w:rPr>
                <w:rFonts w:ascii="Courier New" w:cs="Courier New" w:eastAsia="Courier New" w:hAnsi="Courier New"/>
                <w:sz w:val="16"/>
                <w:szCs w:val="16"/>
                <w:color w:val="auto"/>
              </w:rPr>
              <w:t>% change</w:t>
            </w:r>
          </w:p>
        </w:tc>
        <w:tc>
          <w:tcPr>
            <w:tcW w:w="180" w:type="dxa"/>
            <w:vAlign w:val="bottom"/>
          </w:tcPr>
          <w:p>
            <w:pPr>
              <w:spacing w:after="0"/>
              <w:rPr>
                <w:sz w:val="15"/>
                <w:szCs w:val="15"/>
                <w:color w:val="auto"/>
              </w:rPr>
            </w:pPr>
          </w:p>
        </w:tc>
        <w:tc>
          <w:tcPr>
            <w:tcW w:w="6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3"/>
              </w:rPr>
              <w:t>1998</w:t>
            </w:r>
          </w:p>
        </w:tc>
        <w:tc>
          <w:tcPr>
            <w:tcW w:w="120" w:type="dxa"/>
            <w:vAlign w:val="bottom"/>
          </w:tcPr>
          <w:p>
            <w:pPr>
              <w:spacing w:after="0"/>
              <w:rPr>
                <w:sz w:val="15"/>
                <w:szCs w:val="15"/>
                <w:color w:val="auto"/>
              </w:rPr>
            </w:pP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1997</w:t>
            </w:r>
          </w:p>
        </w:tc>
        <w:tc>
          <w:tcPr>
            <w:tcW w:w="9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 change</w:t>
            </w:r>
          </w:p>
        </w:tc>
      </w:tr>
      <w:tr>
        <w:trPr>
          <w:trHeight w:val="179"/>
        </w:trPr>
        <w:tc>
          <w:tcPr>
            <w:tcW w:w="194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340" w:type="dxa"/>
            <w:vAlign w:val="bottom"/>
          </w:tcPr>
          <w:p>
            <w:pPr>
              <w:spacing w:after="0"/>
              <w:rPr>
                <w:sz w:val="15"/>
                <w:szCs w:val="15"/>
                <w:color w:val="auto"/>
              </w:rPr>
            </w:pPr>
          </w:p>
        </w:tc>
        <w:tc>
          <w:tcPr>
            <w:tcW w:w="7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6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0" w:type="dxa"/>
            <w:vAlign w:val="bottom"/>
          </w:tcPr>
          <w:p>
            <w:pPr>
              <w:spacing w:after="0"/>
              <w:rPr>
                <w:sz w:val="15"/>
                <w:szCs w:val="15"/>
                <w:color w:val="auto"/>
              </w:rPr>
            </w:pPr>
          </w:p>
        </w:tc>
        <w:tc>
          <w:tcPr>
            <w:tcW w:w="14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w:t>
            </w:r>
          </w:p>
        </w:tc>
      </w:tr>
      <w:tr>
        <w:trPr>
          <w:trHeight w:val="179"/>
        </w:trPr>
        <w:tc>
          <w:tcPr>
            <w:tcW w:w="194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Revenue</w:t>
            </w:r>
          </w:p>
        </w:tc>
        <w:tc>
          <w:tcPr>
            <w:tcW w:w="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30"/>
              <w:spacing w:after="0" w:line="179" w:lineRule="exact"/>
              <w:rPr>
                <w:sz w:val="20"/>
                <w:szCs w:val="20"/>
                <w:color w:val="auto"/>
              </w:rPr>
            </w:pPr>
            <w:r>
              <w:rPr>
                <w:rFonts w:ascii="Courier New" w:cs="Courier New" w:eastAsia="Courier New" w:hAnsi="Courier New"/>
                <w:sz w:val="16"/>
                <w:szCs w:val="16"/>
                <w:color w:val="auto"/>
                <w:w w:val="99"/>
              </w:rPr>
              <w:t>2,075</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w:t>
            </w:r>
          </w:p>
        </w:tc>
        <w:tc>
          <w:tcPr>
            <w:tcW w:w="7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1,871</w:t>
            </w:r>
          </w:p>
        </w:tc>
        <w:tc>
          <w:tcPr>
            <w:tcW w:w="10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11%</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779</w:t>
            </w:r>
          </w:p>
        </w:tc>
        <w:tc>
          <w:tcPr>
            <w:tcW w:w="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733</w:t>
            </w:r>
          </w:p>
        </w:tc>
        <w:tc>
          <w:tcPr>
            <w:tcW w:w="9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6%</w:t>
            </w:r>
          </w:p>
        </w:tc>
      </w:tr>
      <w:tr>
        <w:trPr>
          <w:trHeight w:val="179"/>
        </w:trPr>
        <w:tc>
          <w:tcPr>
            <w:tcW w:w="194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Income(1)</w:t>
            </w:r>
          </w:p>
        </w:tc>
        <w:tc>
          <w:tcPr>
            <w:tcW w:w="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30"/>
              <w:spacing w:after="0" w:line="179" w:lineRule="exact"/>
              <w:rPr>
                <w:sz w:val="20"/>
                <w:szCs w:val="20"/>
                <w:color w:val="auto"/>
              </w:rPr>
            </w:pPr>
            <w:r>
              <w:rPr>
                <w:rFonts w:ascii="Courier New" w:cs="Courier New" w:eastAsia="Courier New" w:hAnsi="Courier New"/>
                <w:sz w:val="16"/>
                <w:szCs w:val="16"/>
                <w:color w:val="auto"/>
              </w:rPr>
              <w:t>423</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w:t>
            </w:r>
          </w:p>
        </w:tc>
        <w:tc>
          <w:tcPr>
            <w:tcW w:w="7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364</w:t>
            </w:r>
          </w:p>
        </w:tc>
        <w:tc>
          <w:tcPr>
            <w:tcW w:w="10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16%</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40</w:t>
            </w:r>
          </w:p>
        </w:tc>
        <w:tc>
          <w:tcPr>
            <w:tcW w:w="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40</w:t>
            </w:r>
          </w:p>
        </w:tc>
        <w:tc>
          <w:tcPr>
            <w:tcW w:w="9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183" w:lineRule="exact"/>
        <w:rPr>
          <w:sz w:val="20"/>
          <w:szCs w:val="20"/>
          <w:color w:val="auto"/>
        </w:rPr>
      </w:pPr>
    </w:p>
    <w:p>
      <w:pPr>
        <w:ind w:left="5" w:right="3719" w:hanging="5"/>
        <w:spacing w:after="0" w:line="234" w:lineRule="auto"/>
        <w:tabs>
          <w:tab w:leader="none" w:pos="47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income represents income before income taxes, excluding interest expense, interest and other income.</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OILFIELD SERVICES</w:t>
      </w:r>
    </w:p>
    <w:p>
      <w:pPr>
        <w:spacing w:after="0" w:line="183" w:lineRule="exact"/>
        <w:rPr>
          <w:sz w:val="20"/>
          <w:szCs w:val="20"/>
          <w:color w:val="auto"/>
        </w:rPr>
      </w:pPr>
    </w:p>
    <w:p>
      <w:pPr>
        <w:ind w:left="5" w:right="2879"/>
        <w:spacing w:after="0" w:line="235" w:lineRule="auto"/>
        <w:rPr>
          <w:sz w:val="20"/>
          <w:szCs w:val="20"/>
          <w:color w:val="auto"/>
        </w:rPr>
      </w:pPr>
      <w:r>
        <w:rPr>
          <w:rFonts w:ascii="Courier New" w:cs="Courier New" w:eastAsia="Courier New" w:hAnsi="Courier New"/>
          <w:sz w:val="16"/>
          <w:szCs w:val="16"/>
          <w:color w:val="auto"/>
        </w:rPr>
        <w:t>Oilfield Services operating revenue grew 11% during the second quarter, led by contract drilling, up 25%, pumping and cementing, up 11%, and marine seismic services, up 28%. North and South America and Asia reported significant revenue increases.</w:t>
      </w:r>
    </w:p>
    <w:p>
      <w:pPr>
        <w:spacing w:after="0" w:line="185" w:lineRule="exact"/>
        <w:rPr>
          <w:sz w:val="20"/>
          <w:szCs w:val="20"/>
          <w:color w:val="auto"/>
        </w:rPr>
      </w:pPr>
    </w:p>
    <w:p>
      <w:pPr>
        <w:ind w:left="5" w:right="2879"/>
        <w:spacing w:after="0" w:line="236" w:lineRule="auto"/>
        <w:rPr>
          <w:sz w:val="20"/>
          <w:szCs w:val="20"/>
          <w:color w:val="auto"/>
        </w:rPr>
      </w:pPr>
      <w:r>
        <w:rPr>
          <w:rFonts w:ascii="Courier New" w:cs="Courier New" w:eastAsia="Courier New" w:hAnsi="Courier New"/>
          <w:sz w:val="16"/>
          <w:szCs w:val="16"/>
          <w:color w:val="auto"/>
        </w:rPr>
        <w:t>Schlumberger and Camco International Inc. announced the signing of a definitive stock merger agreement on June 19. This transaction, which is expected to be closed at the end of the third quarter and accounted for as a pooling of interests, further builds our capability to offer an unmatched array of premium reservoir optimization related solutions and systems to our customers through the combined excellence of Schlumberger and Camco people and the technical, product and service delivery strengths of the companies.</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North America</w:t>
      </w:r>
    </w:p>
    <w:p>
      <w:pPr>
        <w:spacing w:after="0" w:line="183" w:lineRule="exact"/>
        <w:rPr>
          <w:sz w:val="20"/>
          <w:szCs w:val="20"/>
          <w:color w:val="auto"/>
        </w:rPr>
      </w:pPr>
    </w:p>
    <w:p>
      <w:pPr>
        <w:ind w:left="5" w:right="2879"/>
        <w:spacing w:after="0" w:line="275" w:lineRule="auto"/>
        <w:rPr>
          <w:sz w:val="20"/>
          <w:szCs w:val="20"/>
          <w:color w:val="auto"/>
        </w:rPr>
      </w:pPr>
      <w:r>
        <w:rPr>
          <w:rFonts w:ascii="Courier New" w:cs="Courier New" w:eastAsia="Courier New" w:hAnsi="Courier New"/>
          <w:sz w:val="14"/>
          <w:szCs w:val="14"/>
          <w:color w:val="auto"/>
        </w:rPr>
        <w:t>Oilfield Services revenue was 13% higher than in the same period last year, representing 19% of consolidated revenue, despite a 13% fall in the number of drilling rigs. Operating income grew 9%. The largest increases in revenue were recorded in pressure pumping and cementing, up 21%, and seismic acquisition services, up 24%. Activity in gas-related markets remained buoyant, while oil-related operations were negatively affected as oil prices continued to decline.</w:t>
      </w:r>
    </w:p>
    <w:p>
      <w:pPr>
        <w:spacing w:after="0" w:line="15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Wireline services successfully completed the deepest logging job ever</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24"/>
          </w:cols>
          <w:pgMar w:left="235" w:top="648" w:right="1440" w:bottom="1440" w:gutter="0" w:footer="0" w:header="0"/>
        </w:sectPr>
      </w:pPr>
    </w:p>
    <w:bookmarkStart w:id="9" w:name="page10"/>
    <w:bookmarkEnd w:id="9"/>
    <w:p>
      <w:pPr>
        <w:ind w:right="2779"/>
        <w:spacing w:after="0" w:line="235" w:lineRule="auto"/>
        <w:rPr>
          <w:sz w:val="20"/>
          <w:szCs w:val="20"/>
          <w:color w:val="auto"/>
        </w:rPr>
      </w:pPr>
      <w:r>
        <w:rPr>
          <w:rFonts w:ascii="Courier New" w:cs="Courier New" w:eastAsia="Courier New" w:hAnsi="Courier New"/>
          <w:sz w:val="16"/>
          <w:szCs w:val="16"/>
          <w:color w:val="auto"/>
        </w:rPr>
        <w:t>performed in the Gulf of Mexico. Advanced wireline tools were deployed on drillpipe to acquire formation evaluation data down to a total vertical depth of 25,772 ft. Innovative packaging and design techniques were used to overcome the high-temperature and high-pressure well conditions.</w:t>
      </w:r>
    </w:p>
    <w:p>
      <w:pPr>
        <w:spacing w:after="0" w:line="185" w:lineRule="exact"/>
        <w:rPr>
          <w:sz w:val="20"/>
          <w:szCs w:val="20"/>
          <w:color w:val="auto"/>
        </w:rPr>
      </w:pPr>
    </w:p>
    <w:p>
      <w:pPr>
        <w:ind w:right="2779"/>
        <w:spacing w:after="0" w:line="295" w:lineRule="auto"/>
        <w:rPr>
          <w:sz w:val="20"/>
          <w:szCs w:val="20"/>
          <w:color w:val="auto"/>
        </w:rPr>
      </w:pPr>
      <w:r>
        <w:rPr>
          <w:rFonts w:ascii="Courier New" w:cs="Courier New" w:eastAsia="Courier New" w:hAnsi="Courier New"/>
          <w:sz w:val="14"/>
          <w:szCs w:val="14"/>
          <w:color w:val="auto"/>
        </w:rPr>
        <w:t>Also in the Gulf of Mexico, a Schlumberger Oilfield Services team won a contract for a 15-month exclusive production enhancement project involving 160 wells.</w:t>
      </w:r>
    </w:p>
    <w:p>
      <w:pPr>
        <w:spacing w:after="0" w:line="147"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Schlumberger and Marathon Oil Company signed a drilling contract covering five years for the third Sedco Express* new-generation deepwater semisubmersible rig, scheduled to start operating in the Gulf of Mexico in the third quarter of the year 2000.</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Outside North America</w:t>
      </w:r>
    </w:p>
    <w:p>
      <w:pPr>
        <w:spacing w:after="0" w:line="183"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Outside North America, revenue increased 10%, representing 53% of consolidated revenue. Operating income grew 18%, while the rig count fell 2%. Strong revenue growth was recorded in Asia, up 22%, and Latin America, up 22%. The benefits of our newly introduced organizational structure have been seen in North Africa, where Schlumberger was awarded two innovative field-optimization projects incorporating a capped risk-and-reward agreement linked to production enhancement results.</w:t>
      </w:r>
    </w:p>
    <w:p>
      <w:pPr>
        <w:spacing w:after="0" w:line="184" w:lineRule="exact"/>
        <w:rPr>
          <w:sz w:val="20"/>
          <w:szCs w:val="20"/>
          <w:color w:val="auto"/>
        </w:rPr>
      </w:pPr>
    </w:p>
    <w:p>
      <w:pPr>
        <w:ind w:right="2879"/>
        <w:spacing w:after="0" w:line="283" w:lineRule="auto"/>
        <w:rPr>
          <w:sz w:val="20"/>
          <w:szCs w:val="20"/>
          <w:color w:val="auto"/>
        </w:rPr>
      </w:pPr>
      <w:r>
        <w:rPr>
          <w:rFonts w:ascii="Courier New" w:cs="Courier New" w:eastAsia="Courier New" w:hAnsi="Courier New"/>
          <w:sz w:val="14"/>
          <w:szCs w:val="14"/>
          <w:color w:val="auto"/>
        </w:rPr>
        <w:t>In Saudi Arabia, Schlumberger completed a well construction contract for the first phase development of the giant Shaybah field. The project is now entering its next phase, aimed at maintaining production at the current level.</w:t>
      </w:r>
    </w:p>
    <w:p>
      <w:pPr>
        <w:spacing w:after="0" w:line="155" w:lineRule="exact"/>
        <w:rPr>
          <w:sz w:val="20"/>
          <w:szCs w:val="20"/>
          <w:color w:val="auto"/>
        </w:rPr>
      </w:pPr>
    </w:p>
    <w:p>
      <w:pPr>
        <w:ind w:right="2959"/>
        <w:spacing w:after="0" w:line="283" w:lineRule="auto"/>
        <w:rPr>
          <w:sz w:val="20"/>
          <w:szCs w:val="20"/>
          <w:color w:val="auto"/>
        </w:rPr>
      </w:pPr>
      <w:r>
        <w:rPr>
          <w:rFonts w:ascii="Courier New" w:cs="Courier New" w:eastAsia="Courier New" w:hAnsi="Courier New"/>
          <w:sz w:val="14"/>
          <w:szCs w:val="14"/>
          <w:color w:val="auto"/>
        </w:rPr>
        <w:t>In Russia, the preparatory phases of the strategic alliances with YUKOS and Sibneft are proceeding on schedule. Oilfield service operations and integrated project management are expected to commence on selected fields in early 1999.</w:t>
      </w:r>
    </w:p>
    <w:p>
      <w:pPr>
        <w:spacing w:after="0" w:line="155" w:lineRule="exact"/>
        <w:rPr>
          <w:sz w:val="20"/>
          <w:szCs w:val="20"/>
          <w:color w:val="auto"/>
        </w:rPr>
      </w:pPr>
    </w:p>
    <w:p>
      <w:pPr>
        <w:ind w:right="2779"/>
        <w:spacing w:after="0" w:line="279" w:lineRule="auto"/>
        <w:rPr>
          <w:sz w:val="20"/>
          <w:szCs w:val="20"/>
          <w:color w:val="auto"/>
        </w:rPr>
      </w:pPr>
      <w:r>
        <w:rPr>
          <w:rFonts w:ascii="Courier New" w:cs="Courier New" w:eastAsia="Courier New" w:hAnsi="Courier New"/>
          <w:sz w:val="14"/>
          <w:szCs w:val="14"/>
          <w:color w:val="auto"/>
        </w:rPr>
        <w:t>Schlumberger was awarded a contract covering five years for the construction and operation of an advanced jackup drilling unit, expected to be deployed in the Caspian Sea in the third quarter of 2000. The rig will have the capability to drill high-pressure wells as deep as 25,000 ft. in water depths up to 350 ft.</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Contract Drilling Activity</w:t>
      </w:r>
    </w:p>
    <w:p>
      <w:pPr>
        <w:spacing w:after="0" w:line="183" w:lineRule="exact"/>
        <w:rPr>
          <w:sz w:val="20"/>
          <w:szCs w:val="20"/>
          <w:color w:val="auto"/>
        </w:rPr>
      </w:pPr>
    </w:p>
    <w:p>
      <w:pPr>
        <w:ind w:right="2959"/>
        <w:spacing w:after="0" w:line="236" w:lineRule="auto"/>
        <w:rPr>
          <w:sz w:val="20"/>
          <w:szCs w:val="20"/>
          <w:color w:val="auto"/>
        </w:rPr>
      </w:pPr>
      <w:r>
        <w:rPr>
          <w:rFonts w:ascii="Courier New" w:cs="Courier New" w:eastAsia="Courier New" w:hAnsi="Courier New"/>
          <w:sz w:val="16"/>
          <w:szCs w:val="16"/>
          <w:color w:val="auto"/>
        </w:rPr>
        <w:t>Revenue from contract drilling operations grew 25% over the same quarter last year, reflecting higher dayrates for semisubmersibles and jackups in the North Sea, Africa, Asia and the Middle East. Total offshore rig utilization was marginally higher at 94%, with jackup utilization remaining at 100%, and semisubmersible utilization at 97%. Onshore rig utilization was 97%, compared with 87% a year ago. The fleet numbered 83 at the end of the quarter, with 51 offshore rigs and 32 land rigs, including 12 offshore units under bareboat charter or management contract.</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Technology</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Schlumberger continued to introduce superior technology that improves the productivity of oilfield services operations. In marine seismic acquisition, the implementation of the efficient, ultra-slim NESSIE*4 seismic streamer continued, with a major upgrade of the Geco Resolution to eight-streamer capacity. The rapid growth in demand for multicomponent seismic acquisition led to the major conversion of the Geco Angler to operate as a dedicated, multicomponent 3D survey vessel.</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54" w:right="1440" w:bottom="1440" w:gutter="0" w:footer="0" w:header="0"/>
        </w:sectPr>
      </w:pPr>
    </w:p>
    <w:bookmarkStart w:id="10" w:name="page11"/>
    <w:bookmarkEnd w:id="10"/>
    <w:p>
      <w:pPr>
        <w:ind w:right="2779"/>
        <w:spacing w:after="0" w:line="273" w:lineRule="auto"/>
        <w:rPr>
          <w:sz w:val="20"/>
          <w:szCs w:val="20"/>
          <w:color w:val="auto"/>
        </w:rPr>
      </w:pPr>
      <w:r>
        <w:rPr>
          <w:rFonts w:ascii="Courier New" w:cs="Courier New" w:eastAsia="Courier New" w:hAnsi="Courier New"/>
          <w:sz w:val="14"/>
          <w:szCs w:val="14"/>
          <w:color w:val="auto"/>
        </w:rPr>
        <w:t>To improve the ability to characterize the reservoir and its behavior over time, a specialized team has been established, which will provide advanced processing and analysis of multicomponent and time-lapse (4D) seismic data. In addition, unique reservoir simulation capability was added to the GeoQuest ECLIPSE* range of software products with the acquisition of Technical Software Consultants A.S. Their state-of-the-art FRONTSIM* flow simulator software provides enhanced tools for evaluating geological models and validating geological assumptions with dynamic data. It runs up to 100 times faster than conventional simulators, thus shortening interpretation cycle time as well as reducing uncertainty.</w:t>
      </w:r>
    </w:p>
    <w:p>
      <w:pPr>
        <w:spacing w:after="0" w:line="165"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Innovative interpretation techniques, developed for advanced technology measurements, are improving production through optimal well completion. In particular, the images acquired by the RAB* Resistivity-at-the-Bit LWD tool now identify the highest potential formations during the drilling process resulting in greater cost-effectiveness for the client.</w:t>
      </w:r>
    </w:p>
    <w:p>
      <w:pPr>
        <w:spacing w:after="0" w:line="186"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With the aim of improving hydrocarbon production, the revolutionary SCALE BLASTER* application has recently been tested, and proved successful at removing scale on downhole piping. In oil and gas wells, the buildup of inorganic scale can restrict, and even prevent, the flow of hydrocarbons to the surface. SCALE BLASTER technology, deployed on coiled tubing, has provided clients with a highly effective and valuable way of improving production without a rig intervention. Furthermore, to better measure multiphase production, Schlumberger and FRAMO Engineering A.S. of Norway signed a joint venture agreement to provide surface and subsea flow meters to measure oil, gas and water flow in producing wells. A joint technology center called 3-Phase Measurement A.S., to be located in Bergen, Norway, will design and manufacture products and provide marketing and technical support.</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MEASUREMENT &amp; SYSTEMS</w:t>
      </w:r>
    </w:p>
    <w:p>
      <w:pPr>
        <w:spacing w:after="0" w:line="183" w:lineRule="exact"/>
        <w:rPr>
          <w:sz w:val="20"/>
          <w:szCs w:val="20"/>
          <w:color w:val="auto"/>
        </w:rPr>
      </w:pPr>
    </w:p>
    <w:p>
      <w:pPr>
        <w:ind w:right="2879"/>
        <w:spacing w:after="0" w:line="274" w:lineRule="auto"/>
        <w:rPr>
          <w:sz w:val="20"/>
          <w:szCs w:val="20"/>
          <w:color w:val="auto"/>
        </w:rPr>
      </w:pPr>
      <w:r>
        <w:rPr>
          <w:rFonts w:ascii="Courier New" w:cs="Courier New" w:eastAsia="Courier New" w:hAnsi="Courier New"/>
          <w:sz w:val="14"/>
          <w:szCs w:val="14"/>
          <w:color w:val="auto"/>
        </w:rPr>
        <w:t>Measurement &amp; Systems revenue increased 6%, versus the second quarter of 1997, despite adverse exchange rate effects. Operating income was flat. Smart Cards &amp; Terminals experienced a significant rise in revenue, while almost tripling its operating income. During the quarter, Schlumberger signed an agreement to sell the Retail Petroleum Systems activities to the Tokheim Corporation. The sale is expected to close in the third quarter of this year. The Metering business rationalization plan is progressing and should be completed by year end. As a result, many activities have been streamlined, with 13 site closings.</w:t>
      </w:r>
    </w:p>
    <w:p>
      <w:pPr>
        <w:spacing w:after="0" w:line="162" w:lineRule="exact"/>
        <w:rPr>
          <w:sz w:val="20"/>
          <w:szCs w:val="20"/>
          <w:color w:val="auto"/>
        </w:rPr>
      </w:pPr>
    </w:p>
    <w:p>
      <w:pPr>
        <w:ind w:right="2779"/>
        <w:spacing w:after="0" w:line="272" w:lineRule="auto"/>
        <w:rPr>
          <w:sz w:val="20"/>
          <w:szCs w:val="20"/>
          <w:color w:val="auto"/>
        </w:rPr>
      </w:pPr>
      <w:r>
        <w:rPr>
          <w:rFonts w:ascii="Courier New" w:cs="Courier New" w:eastAsia="Courier New" w:hAnsi="Courier New"/>
          <w:sz w:val="14"/>
          <w:szCs w:val="14"/>
          <w:color w:val="auto"/>
        </w:rPr>
        <w:t>Compared with last year's second quarter, Smart Cards &amp; Terminals revenue rose 37%, primarily due to higher smart card shipments. Revenue for smart cards grew 40% over last year, propelled by a 75% increase in SIM (subscriber identity module) cards and a doubling of growth for bank cards. Regionally, card sales for Europe, North America and Asia increased 42%, 41% and 30%, respectively. Revenue for point-of-sale terminals more than doubled from last year, following the introduction of the new MagIC* 9000 portable terminal. Orders for Smart Cards &amp; Terminals were up 12% for the quarter. The Automated Test Equipment (ATE) business exhibited a 17% increase in revenue; however, market conditions began to soften during the quarter. The rise in revenue was primarily due to the demand for high-end 400-Mhz logic test systems. This demand is driven by the market's continued desire for faster microprocessor speeds, along with the growth of the multimedia segment. Test Systems activity was particularly strong in the Asia region, while Telecom products contributed significantly to the growth in the North America region. Consistent with the current industry trends, ATE orders declined 66% during the quarter.</w:t>
      </w:r>
    </w:p>
    <w:p>
      <w:pPr>
        <w:spacing w:after="0" w:line="200" w:lineRule="exact"/>
        <w:rPr>
          <w:sz w:val="20"/>
          <w:szCs w:val="20"/>
          <w:color w:val="auto"/>
        </w:rPr>
      </w:pPr>
    </w:p>
    <w:p>
      <w:pPr>
        <w:spacing w:after="0" w:line="31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54" w:right="1440" w:bottom="1440" w:gutter="0" w:footer="0" w:header="0"/>
        </w:sectPr>
      </w:pPr>
    </w:p>
    <w:bookmarkStart w:id="11" w:name="page12"/>
    <w:bookmarkEnd w:id="11"/>
    <w:p>
      <w:pPr>
        <w:ind w:left="5" w:right="2779"/>
        <w:spacing w:after="0" w:line="273" w:lineRule="auto"/>
        <w:rPr>
          <w:sz w:val="20"/>
          <w:szCs w:val="20"/>
          <w:color w:val="auto"/>
        </w:rPr>
      </w:pPr>
      <w:r>
        <w:rPr>
          <w:rFonts w:ascii="Courier New" w:cs="Courier New" w:eastAsia="Courier New" w:hAnsi="Courier New"/>
          <w:sz w:val="14"/>
          <w:szCs w:val="14"/>
          <w:color w:val="auto"/>
        </w:rPr>
        <w:t>In the Metering business, revenue was down 8% from last year. The most significant shortfall in Europe was in France, down 13%, as the electricity business was severely impacted by the ongoing technology shift toward electronic products, with lower market volumes and reduced prices. Activity in the UK fell 15%, reflecting the sharp decline in demand of U6 residential gas meters from BG Plc and reduced installation work by Maclean &amp; Nuttall. Italy also experienced a significant decrease on a 36% price drop in the electricity market. Orders decreased by 12% compared with the second quarter of 1997. North American orders dropped by 21% due to reduced electricity meter changeouts pending industry deregulation. In Europe, a 14% decline in orders in France due to a weaker local market was offset by the catch-up of orders by ENEL, the national utility in Italy, and stronger bookings in The Netherlands, Portugal and Scandinavia.</w:t>
      </w:r>
    </w:p>
    <w:p>
      <w:pPr>
        <w:spacing w:after="0" w:line="341" w:lineRule="exact"/>
        <w:rPr>
          <w:sz w:val="20"/>
          <w:szCs w:val="20"/>
          <w:color w:val="auto"/>
        </w:rPr>
      </w:pPr>
    </w:p>
    <w:p>
      <w:pPr>
        <w:ind w:left="5" w:right="2779"/>
        <w:spacing w:after="0" w:line="236" w:lineRule="auto"/>
        <w:rPr>
          <w:sz w:val="20"/>
          <w:szCs w:val="20"/>
          <w:color w:val="auto"/>
        </w:rPr>
      </w:pPr>
      <w:r>
        <w:rPr>
          <w:rFonts w:ascii="Courier New" w:cs="Courier New" w:eastAsia="Courier New" w:hAnsi="Courier New"/>
          <w:sz w:val="16"/>
          <w:szCs w:val="16"/>
          <w:color w:val="auto"/>
        </w:rPr>
        <w:t>Interest and other income increased $15 million from the same period last year primarily due to a $10 million increase in interest income (higher average investment balances). Gross margin increased from 26% to 27%. Research and engineering expense increased 19% from last year representing 4.9% of operating revenue compared with 4.6% in 1997. Marketing expense was up 8%. General expense, expressed as a percentage of operating revenue, remained at 3.6%. Interest expense increased $3 million from the same period last year due to higher average debt. The effective tax rate of 22% increased 2 percentage points from last year.</w:t>
      </w:r>
    </w:p>
    <w:p>
      <w:pPr>
        <w:spacing w:after="0" w:line="179" w:lineRule="exact"/>
        <w:rPr>
          <w:sz w:val="20"/>
          <w:szCs w:val="20"/>
          <w:color w:val="auto"/>
        </w:rPr>
      </w:pPr>
    </w:p>
    <w:p>
      <w:pPr>
        <w:ind w:left="1665"/>
        <w:spacing w:after="0"/>
        <w:rPr>
          <w:sz w:val="20"/>
          <w:szCs w:val="20"/>
          <w:color w:val="auto"/>
        </w:rPr>
      </w:pPr>
      <w:r>
        <w:rPr>
          <w:rFonts w:ascii="Courier New" w:cs="Courier New" w:eastAsia="Courier New" w:hAnsi="Courier New"/>
          <w:sz w:val="16"/>
          <w:szCs w:val="16"/>
          <w:color w:val="auto"/>
        </w:rPr>
        <w:t>First Half 1998 Compared to First Half 1997</w:t>
      </w:r>
    </w:p>
    <w:p>
      <w:pPr>
        <w:ind w:left="1665"/>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5" w:right="2959"/>
        <w:spacing w:after="0" w:line="283" w:lineRule="auto"/>
        <w:rPr>
          <w:sz w:val="20"/>
          <w:szCs w:val="20"/>
          <w:color w:val="auto"/>
        </w:rPr>
      </w:pPr>
      <w:r>
        <w:rPr>
          <w:rFonts w:ascii="Courier New" w:cs="Courier New" w:eastAsia="Courier New" w:hAnsi="Courier New"/>
          <w:sz w:val="14"/>
          <w:szCs w:val="14"/>
          <w:color w:val="auto"/>
        </w:rPr>
        <w:t>Net income for the first six months of $710 million and diluted earnings per share of $1.37 were 25% and 23%, respectively, above the same period 1997. Operating revenue for the first six months was $5.7 billion, up 13% from 1997.</w:t>
      </w:r>
    </w:p>
    <w:p>
      <w:pPr>
        <w:spacing w:after="0" w:line="155" w:lineRule="exact"/>
        <w:rPr>
          <w:sz w:val="20"/>
          <w:szCs w:val="20"/>
          <w:color w:val="auto"/>
        </w:rPr>
      </w:pPr>
    </w:p>
    <w:p>
      <w:pPr>
        <w:jc w:val="both"/>
        <w:ind w:left="5" w:right="3239"/>
        <w:spacing w:after="0" w:line="235" w:lineRule="auto"/>
        <w:rPr>
          <w:sz w:val="20"/>
          <w:szCs w:val="20"/>
          <w:color w:val="auto"/>
        </w:rPr>
      </w:pPr>
      <w:r>
        <w:rPr>
          <w:rFonts w:ascii="Courier New" w:cs="Courier New" w:eastAsia="Courier New" w:hAnsi="Courier New"/>
          <w:sz w:val="16"/>
          <w:szCs w:val="16"/>
          <w:color w:val="auto"/>
        </w:rPr>
        <w:t>Oilfield Services revenue increased 15%, while rig count worldwide rose 1%. Operating income grew 23%. Contract drilling and marine seismic contributed significantly to the results.</w:t>
      </w:r>
    </w:p>
    <w:p>
      <w:pPr>
        <w:spacing w:after="0" w:line="183" w:lineRule="exact"/>
        <w:rPr>
          <w:sz w:val="20"/>
          <w:szCs w:val="20"/>
          <w:color w:val="auto"/>
        </w:rPr>
      </w:pPr>
    </w:p>
    <w:p>
      <w:pPr>
        <w:ind w:left="5" w:right="2879"/>
        <w:spacing w:after="0" w:line="235" w:lineRule="auto"/>
        <w:rPr>
          <w:sz w:val="20"/>
          <w:szCs w:val="20"/>
          <w:color w:val="auto"/>
        </w:rPr>
      </w:pPr>
      <w:r>
        <w:rPr>
          <w:rFonts w:ascii="Courier New" w:cs="Courier New" w:eastAsia="Courier New" w:hAnsi="Courier New"/>
          <w:sz w:val="16"/>
          <w:szCs w:val="16"/>
          <w:color w:val="auto"/>
        </w:rPr>
        <w:t>Measurement &amp; Systems revenue grew 7%. Strong growth at Smart Cards &amp; Terminals and Automated Test Equipment (ATE) was offset by the decline in Metering activities and unfavorable currency exchange rates.</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Business Review</w:t>
      </w:r>
    </w:p>
    <w:tbl>
      <w:tblPr>
        <w:tblLayout w:type="fixed"/>
        <w:tblInd w:w="5" w:type="dxa"/>
        <w:tblCellMar>
          <w:top w:w="0" w:type="dxa"/>
          <w:left w:w="0" w:type="dxa"/>
          <w:bottom w:w="0" w:type="dxa"/>
          <w:right w:w="0" w:type="dxa"/>
        </w:tblCellMar>
      </w:tblPr>
      <w:tr>
        <w:trPr>
          <w:trHeight w:val="179"/>
        </w:trPr>
        <w:tc>
          <w:tcPr>
            <w:tcW w:w="1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20" w:type="dxa"/>
            <w:vAlign w:val="bottom"/>
            <w:gridSpan w:val="4"/>
          </w:tcPr>
          <w:p>
            <w:pPr>
              <w:jc w:val="right"/>
              <w:ind w:right="382"/>
              <w:spacing w:after="0" w:line="179" w:lineRule="exact"/>
              <w:rPr>
                <w:sz w:val="20"/>
                <w:szCs w:val="20"/>
                <w:color w:val="auto"/>
              </w:rPr>
            </w:pPr>
            <w:r>
              <w:rPr>
                <w:rFonts w:ascii="Courier New" w:cs="Courier New" w:eastAsia="Courier New" w:hAnsi="Courier New"/>
                <w:sz w:val="16"/>
                <w:szCs w:val="16"/>
                <w:color w:val="auto"/>
                <w:w w:val="95"/>
              </w:rPr>
              <w:t>(Stated in millions)</w:t>
            </w:r>
          </w:p>
        </w:tc>
      </w:tr>
      <w:tr>
        <w:trPr>
          <w:trHeight w:val="358"/>
        </w:trPr>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0" w:type="dxa"/>
            <w:vAlign w:val="bottom"/>
            <w:gridSpan w:val="3"/>
          </w:tcPr>
          <w:p>
            <w:pPr>
              <w:spacing w:after="0"/>
              <w:rPr>
                <w:sz w:val="20"/>
                <w:szCs w:val="20"/>
                <w:color w:val="auto"/>
              </w:rPr>
            </w:pPr>
            <w:r>
              <w:rPr>
                <w:rFonts w:ascii="Courier New" w:cs="Courier New" w:eastAsia="Courier New" w:hAnsi="Courier New"/>
                <w:sz w:val="16"/>
                <w:szCs w:val="16"/>
                <w:color w:val="auto"/>
              </w:rPr>
              <w:t>Oilfield Services</w:t>
            </w:r>
          </w:p>
        </w:tc>
        <w:tc>
          <w:tcPr>
            <w:tcW w:w="240" w:type="dxa"/>
            <w:vAlign w:val="bottom"/>
          </w:tcPr>
          <w:p>
            <w:pPr>
              <w:spacing w:after="0"/>
              <w:rPr>
                <w:sz w:val="24"/>
                <w:szCs w:val="24"/>
                <w:color w:val="auto"/>
              </w:rPr>
            </w:pPr>
          </w:p>
        </w:tc>
        <w:tc>
          <w:tcPr>
            <w:tcW w:w="2320" w:type="dxa"/>
            <w:vAlign w:val="bottom"/>
            <w:gridSpan w:val="4"/>
          </w:tcPr>
          <w:p>
            <w:pPr>
              <w:jc w:val="right"/>
              <w:ind w:right="202"/>
              <w:spacing w:after="0"/>
              <w:rPr>
                <w:sz w:val="20"/>
                <w:szCs w:val="20"/>
                <w:color w:val="auto"/>
              </w:rPr>
            </w:pPr>
            <w:r>
              <w:rPr>
                <w:rFonts w:ascii="Courier New" w:cs="Courier New" w:eastAsia="Courier New" w:hAnsi="Courier New"/>
                <w:sz w:val="16"/>
                <w:szCs w:val="16"/>
                <w:color w:val="auto"/>
              </w:rPr>
              <w:t>Measurement &amp; Systems</w:t>
            </w:r>
          </w:p>
        </w:tc>
      </w:tr>
      <w:tr>
        <w:trPr>
          <w:trHeight w:val="179"/>
        </w:trPr>
        <w:tc>
          <w:tcPr>
            <w:tcW w:w="1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7"/>
              </w:rPr>
              <w:t>----------------------</w:t>
            </w:r>
          </w:p>
        </w:tc>
        <w:tc>
          <w:tcPr>
            <w:tcW w:w="7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20" w:type="dxa"/>
            <w:vAlign w:val="bottom"/>
            <w:gridSpan w:val="4"/>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1940" w:type="dxa"/>
            <w:vAlign w:val="bottom"/>
          </w:tcPr>
          <w:p>
            <w:pPr>
              <w:spacing w:after="0" w:line="179" w:lineRule="exact"/>
              <w:rPr>
                <w:sz w:val="20"/>
                <w:szCs w:val="20"/>
                <w:color w:val="auto"/>
              </w:rPr>
            </w:pPr>
            <w:r>
              <w:rPr>
                <w:rFonts w:ascii="Courier New" w:cs="Courier New" w:eastAsia="Courier New" w:hAnsi="Courier New"/>
                <w:sz w:val="16"/>
                <w:szCs w:val="16"/>
                <w:color w:val="auto"/>
              </w:rPr>
              <w:t>Six Months</w:t>
            </w:r>
          </w:p>
        </w:tc>
        <w:tc>
          <w:tcPr>
            <w:tcW w:w="340" w:type="dxa"/>
            <w:vAlign w:val="bottom"/>
          </w:tcPr>
          <w:p>
            <w:pPr>
              <w:spacing w:after="0"/>
              <w:rPr>
                <w:sz w:val="15"/>
                <w:szCs w:val="15"/>
                <w:color w:val="auto"/>
              </w:rPr>
            </w:pP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1998</w:t>
            </w:r>
          </w:p>
        </w:tc>
        <w:tc>
          <w:tcPr>
            <w:tcW w:w="240" w:type="dxa"/>
            <w:vAlign w:val="bottom"/>
          </w:tcPr>
          <w:p>
            <w:pPr>
              <w:spacing w:after="0"/>
              <w:rPr>
                <w:sz w:val="15"/>
                <w:szCs w:val="15"/>
                <w:color w:val="auto"/>
              </w:rPr>
            </w:pPr>
          </w:p>
        </w:tc>
        <w:tc>
          <w:tcPr>
            <w:tcW w:w="7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1997</w:t>
            </w:r>
          </w:p>
        </w:tc>
        <w:tc>
          <w:tcPr>
            <w:tcW w:w="1060" w:type="dxa"/>
            <w:vAlign w:val="bottom"/>
          </w:tcPr>
          <w:p>
            <w:pPr>
              <w:spacing w:after="0" w:line="179" w:lineRule="exact"/>
              <w:rPr>
                <w:sz w:val="20"/>
                <w:szCs w:val="20"/>
                <w:color w:val="auto"/>
              </w:rPr>
            </w:pPr>
            <w:r>
              <w:rPr>
                <w:rFonts w:ascii="Courier New" w:cs="Courier New" w:eastAsia="Courier New" w:hAnsi="Courier New"/>
                <w:sz w:val="16"/>
                <w:szCs w:val="16"/>
                <w:color w:val="auto"/>
              </w:rPr>
              <w:t>% change</w:t>
            </w:r>
          </w:p>
        </w:tc>
        <w:tc>
          <w:tcPr>
            <w:tcW w:w="240" w:type="dxa"/>
            <w:vAlign w:val="bottom"/>
          </w:tcPr>
          <w:p>
            <w:pPr>
              <w:spacing w:after="0"/>
              <w:rPr>
                <w:sz w:val="15"/>
                <w:szCs w:val="15"/>
                <w:color w:val="auto"/>
              </w:rPr>
            </w:pP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1998</w:t>
            </w:r>
          </w:p>
        </w:tc>
        <w:tc>
          <w:tcPr>
            <w:tcW w:w="180" w:type="dxa"/>
            <w:vAlign w:val="bottom"/>
          </w:tcPr>
          <w:p>
            <w:pPr>
              <w:spacing w:after="0"/>
              <w:rPr>
                <w:sz w:val="15"/>
                <w:szCs w:val="15"/>
                <w:color w:val="auto"/>
              </w:rPr>
            </w:pPr>
          </w:p>
        </w:tc>
        <w:tc>
          <w:tcPr>
            <w:tcW w:w="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1997 %</w:t>
            </w:r>
          </w:p>
        </w:tc>
        <w:tc>
          <w:tcPr>
            <w:tcW w:w="7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change</w:t>
            </w:r>
          </w:p>
        </w:tc>
      </w:tr>
      <w:tr>
        <w:trPr>
          <w:trHeight w:val="179"/>
        </w:trPr>
        <w:tc>
          <w:tcPr>
            <w:tcW w:w="194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340" w:type="dxa"/>
            <w:vAlign w:val="bottom"/>
          </w:tcPr>
          <w:p>
            <w:pPr>
              <w:spacing w:after="0"/>
              <w:rPr>
                <w:sz w:val="15"/>
                <w:szCs w:val="15"/>
                <w:color w:val="auto"/>
              </w:rPr>
            </w:pPr>
          </w:p>
        </w:tc>
        <w:tc>
          <w:tcPr>
            <w:tcW w:w="7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7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194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Revenue</w:t>
            </w:r>
          </w:p>
        </w:tc>
        <w:tc>
          <w:tcPr>
            <w:tcW w:w="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4,146</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3,595</w:t>
            </w:r>
          </w:p>
        </w:tc>
        <w:tc>
          <w:tcPr>
            <w:tcW w:w="10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15%</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1,509</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1,413</w:t>
            </w:r>
          </w:p>
        </w:tc>
        <w:tc>
          <w:tcPr>
            <w:tcW w:w="7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7%</w:t>
            </w:r>
          </w:p>
        </w:tc>
      </w:tr>
      <w:tr>
        <w:trPr>
          <w:trHeight w:val="179"/>
        </w:trPr>
        <w:tc>
          <w:tcPr>
            <w:tcW w:w="194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Income(1)</w:t>
            </w:r>
          </w:p>
        </w:tc>
        <w:tc>
          <w:tcPr>
            <w:tcW w:w="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848</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689</w:t>
            </w:r>
          </w:p>
        </w:tc>
        <w:tc>
          <w:tcPr>
            <w:tcW w:w="10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23%</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72</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65</w:t>
            </w:r>
          </w:p>
        </w:tc>
        <w:tc>
          <w:tcPr>
            <w:tcW w:w="7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11%</w:t>
            </w:r>
          </w:p>
        </w:tc>
      </w:tr>
    </w:tbl>
    <w:p>
      <w:pPr>
        <w:spacing w:after="0" w:line="183" w:lineRule="exact"/>
        <w:rPr>
          <w:sz w:val="20"/>
          <w:szCs w:val="20"/>
          <w:color w:val="auto"/>
        </w:rPr>
      </w:pPr>
    </w:p>
    <w:p>
      <w:pPr>
        <w:ind w:left="5" w:right="3719" w:hanging="5"/>
        <w:spacing w:after="0" w:line="234" w:lineRule="auto"/>
        <w:tabs>
          <w:tab w:leader="none" w:pos="47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income represents income before income taxes, excluding interest expense, interest and other income.</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24"/>
          </w:cols>
          <w:pgMar w:left="235" w:top="833"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6"/>
          <w:szCs w:val="16"/>
          <w:color w:val="auto"/>
        </w:rPr>
        <w:t>Oilfield Services</w:t>
      </w:r>
    </w:p>
    <w:p>
      <w:pPr>
        <w:spacing w:after="0" w:line="183" w:lineRule="exact"/>
        <w:rPr>
          <w:sz w:val="20"/>
          <w:szCs w:val="20"/>
          <w:color w:val="auto"/>
        </w:rPr>
      </w:pPr>
    </w:p>
    <w:p>
      <w:pPr>
        <w:ind w:right="2779"/>
        <w:spacing w:after="0" w:line="279" w:lineRule="auto"/>
        <w:rPr>
          <w:sz w:val="20"/>
          <w:szCs w:val="20"/>
          <w:color w:val="auto"/>
        </w:rPr>
      </w:pPr>
      <w:r>
        <w:rPr>
          <w:rFonts w:ascii="Courier New" w:cs="Courier New" w:eastAsia="Courier New" w:hAnsi="Courier New"/>
          <w:sz w:val="14"/>
          <w:szCs w:val="14"/>
          <w:color w:val="auto"/>
        </w:rPr>
        <w:t>Operating revenue for Oilfield Services rose $551 million (15%) over last year. All businesses posted substantial increases led by contract drilling, up 31%, pumping and cementing, up 13%, and marine seismic services, up 14%. Revenue in North and South America and Asia regions increased significantly from last year.</w:t>
      </w:r>
    </w:p>
    <w:p>
      <w:pPr>
        <w:spacing w:after="0" w:line="157"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In response to evolving client needs and employee-identified opportunities, Schlumberger management undertook a reorganization of Oilfield Services into the Solutions Group and the Products Group. The Solutions Group is organized along geographic lines in close proximity to customers to develop, sell and implement all oilfield services as well as customized and integrated solutions to meet specific client needs. The Products Group, formed by utilizing existing service expertise, is responsible for product development across the organization as well as training and technical support for each type of service in the field to ensure the highest standards of service to clients. This new organizational structure has resulted in two innovative field-optimization projects awarded to Schlumberger.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North America</w:t>
      </w:r>
    </w:p>
    <w:p>
      <w:pPr>
        <w:spacing w:after="0" w:line="183" w:lineRule="exact"/>
        <w:rPr>
          <w:sz w:val="20"/>
          <w:szCs w:val="20"/>
          <w:color w:val="auto"/>
        </w:rPr>
      </w:pPr>
    </w:p>
    <w:p>
      <w:pPr>
        <w:ind w:right="2779"/>
        <w:spacing w:after="0" w:line="234" w:lineRule="auto"/>
        <w:rPr>
          <w:sz w:val="20"/>
          <w:szCs w:val="20"/>
          <w:color w:val="auto"/>
        </w:rPr>
      </w:pPr>
      <w:r>
        <w:rPr>
          <w:rFonts w:ascii="Courier New" w:cs="Courier New" w:eastAsia="Courier New" w:hAnsi="Courier New"/>
          <w:sz w:val="16"/>
          <w:szCs w:val="16"/>
          <w:color w:val="auto"/>
        </w:rPr>
        <w:t>Revenue increased 16% from the same period last year while operating income grew 12%. Rig count rose 1%.</w:t>
      </w:r>
    </w:p>
    <w:p>
      <w:pPr>
        <w:spacing w:after="0" w:line="183" w:lineRule="exact"/>
        <w:rPr>
          <w:sz w:val="20"/>
          <w:szCs w:val="20"/>
          <w:color w:val="auto"/>
        </w:rPr>
      </w:pPr>
    </w:p>
    <w:p>
      <w:pPr>
        <w:ind w:right="2779"/>
        <w:spacing w:after="0" w:line="275" w:lineRule="auto"/>
        <w:rPr>
          <w:sz w:val="20"/>
          <w:szCs w:val="20"/>
          <w:color w:val="auto"/>
        </w:rPr>
      </w:pPr>
      <w:r>
        <w:rPr>
          <w:rFonts w:ascii="Courier New" w:cs="Courier New" w:eastAsia="Courier New" w:hAnsi="Courier New"/>
          <w:sz w:val="14"/>
          <w:szCs w:val="14"/>
          <w:color w:val="auto"/>
        </w:rPr>
        <w:t>Wireline services experienced strong growth in the gas well-related market and higher demand for MDT* Modular Formation Dynamics Tester service, due to its new sampling and reservoir characterization techniques, delivering greater operating efficiency. Innovative packaging and design techniques were used to overcome the high-temperature and high-pressure wells of the Gulf of Mexico where the deepest logging job ever performed was successfully completed.</w:t>
      </w:r>
    </w:p>
    <w:p>
      <w:pPr>
        <w:spacing w:after="0" w:line="162" w:lineRule="exact"/>
        <w:rPr>
          <w:sz w:val="20"/>
          <w:szCs w:val="20"/>
          <w:color w:val="auto"/>
        </w:rPr>
      </w:pPr>
    </w:p>
    <w:p>
      <w:pPr>
        <w:ind w:right="2779"/>
        <w:spacing w:after="0" w:line="283" w:lineRule="auto"/>
        <w:rPr>
          <w:sz w:val="20"/>
          <w:szCs w:val="20"/>
          <w:color w:val="auto"/>
        </w:rPr>
      </w:pPr>
      <w:r>
        <w:rPr>
          <w:rFonts w:ascii="Courier New" w:cs="Courier New" w:eastAsia="Courier New" w:hAnsi="Courier New"/>
          <w:sz w:val="14"/>
          <w:szCs w:val="14"/>
          <w:color w:val="auto"/>
        </w:rPr>
        <w:t>Sand Control showed a large growth from one year ago fueled by increasing client acceptance of ClearFRAC* fracturing fluid, the industry's first polymer-free fluid which has been shown to improve the productivity of our clients' wells.</w:t>
      </w:r>
    </w:p>
    <w:p>
      <w:pPr>
        <w:spacing w:after="0" w:line="155" w:lineRule="exact"/>
        <w:rPr>
          <w:sz w:val="20"/>
          <w:szCs w:val="20"/>
          <w:color w:val="auto"/>
        </w:rPr>
      </w:pPr>
    </w:p>
    <w:p>
      <w:pPr>
        <w:ind w:right="2959"/>
        <w:spacing w:after="0" w:line="234" w:lineRule="auto"/>
        <w:rPr>
          <w:sz w:val="20"/>
          <w:szCs w:val="20"/>
          <w:color w:val="auto"/>
        </w:rPr>
      </w:pPr>
      <w:r>
        <w:rPr>
          <w:rFonts w:ascii="Courier New" w:cs="Courier New" w:eastAsia="Courier New" w:hAnsi="Courier New"/>
          <w:sz w:val="16"/>
          <w:szCs w:val="16"/>
          <w:color w:val="auto"/>
        </w:rPr>
        <w:t>Schlumberger acquired Coastal Management Corporation (CMC), a leading provider of integrated project management services to the North American</w:t>
      </w:r>
    </w:p>
    <w:p>
      <w:pPr>
        <w:spacing w:after="0" w:line="4" w:lineRule="exact"/>
        <w:rPr>
          <w:sz w:val="20"/>
          <w:szCs w:val="20"/>
          <w:color w:val="auto"/>
        </w:rPr>
      </w:pPr>
    </w:p>
    <w:p>
      <w:pPr>
        <w:ind w:right="3619"/>
        <w:spacing w:after="0" w:line="279" w:lineRule="auto"/>
        <w:rPr>
          <w:sz w:val="20"/>
          <w:szCs w:val="20"/>
          <w:color w:val="auto"/>
        </w:rPr>
      </w:pPr>
      <w:r>
        <w:rPr>
          <w:rFonts w:ascii="Courier New" w:cs="Courier New" w:eastAsia="Courier New" w:hAnsi="Courier New"/>
          <w:sz w:val="14"/>
          <w:szCs w:val="14"/>
          <w:color w:val="auto"/>
        </w:rPr>
        <w:t>oil and gas industry. This acquisition will enhance the Schlumberger position as the industry-leading provider of comprehensive project management and services in the areas of field development, drilling and workover operation, and production operations. CMC employs 160 people.</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Outside North America</w:t>
      </w:r>
    </w:p>
    <w:p>
      <w:pPr>
        <w:spacing w:after="0" w:line="183"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Outside North America revenue was up 15%. Operating income rose 24%. Rig count was unchanged from last year. Latin America recorded a 23% gain from last year, followed by Asia, up 27%. Drilling activity increased 31% reflecting higher dayrates for semisubmersibles and jackups in the North Sea and Asia as well as improved utilization levels and higher activity.</w:t>
      </w:r>
    </w:p>
    <w:p>
      <w:pPr>
        <w:spacing w:after="0" w:line="186" w:lineRule="exact"/>
        <w:rPr>
          <w:sz w:val="20"/>
          <w:szCs w:val="20"/>
          <w:color w:val="auto"/>
        </w:rPr>
      </w:pPr>
    </w:p>
    <w:p>
      <w:pPr>
        <w:ind w:right="3059"/>
        <w:spacing w:after="0" w:line="283" w:lineRule="auto"/>
        <w:rPr>
          <w:sz w:val="20"/>
          <w:szCs w:val="20"/>
          <w:color w:val="auto"/>
        </w:rPr>
      </w:pPr>
      <w:r>
        <w:rPr>
          <w:rFonts w:ascii="Courier New" w:cs="Courier New" w:eastAsia="Courier New" w:hAnsi="Courier New"/>
          <w:sz w:val="14"/>
          <w:szCs w:val="14"/>
          <w:color w:val="auto"/>
        </w:rPr>
        <w:t>Schlumberger entered into strategic alliances with two Russian oil companies, YUKOS and Sibneft which will enable them to outsource an agreed level of oilfield services in their Russian oil fields over the next five years.</w:t>
      </w:r>
    </w:p>
    <w:p>
      <w:pPr>
        <w:spacing w:after="0" w:line="14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48" w:right="1440" w:bottom="1440" w:gutter="0" w:footer="0" w:header="0"/>
        </w:sectPr>
      </w:pPr>
    </w:p>
    <w:bookmarkStart w:id="13" w:name="page14"/>
    <w:bookmarkEnd w:id="13"/>
    <w:p>
      <w:pPr>
        <w:ind w:right="2779"/>
        <w:spacing w:after="0" w:line="236" w:lineRule="auto"/>
        <w:rPr>
          <w:sz w:val="20"/>
          <w:szCs w:val="20"/>
          <w:color w:val="auto"/>
        </w:rPr>
      </w:pPr>
      <w:r>
        <w:rPr>
          <w:rFonts w:ascii="Courier New" w:cs="Courier New" w:eastAsia="Courier New" w:hAnsi="Courier New"/>
          <w:sz w:val="16"/>
          <w:szCs w:val="16"/>
          <w:color w:val="auto"/>
        </w:rPr>
        <w:t>Schlumberger will be the sole provider of services on a number of selected fields under development by YUKOS and Sibneft. In keeping with its long-standing policy, Schlumberger will remain an independent service provider and will not take ownership of reserves or production. Oilfield service operations and integrated project management are expected to commence on selected fields in early 1999.</w:t>
      </w:r>
    </w:p>
    <w:p>
      <w:pPr>
        <w:spacing w:after="0" w:line="183" w:lineRule="exact"/>
        <w:rPr>
          <w:sz w:val="20"/>
          <w:szCs w:val="20"/>
          <w:color w:val="auto"/>
        </w:rPr>
      </w:pPr>
    </w:p>
    <w:p>
      <w:pPr>
        <w:ind w:right="2779"/>
        <w:spacing w:after="0" w:line="274" w:lineRule="auto"/>
        <w:rPr>
          <w:sz w:val="20"/>
          <w:szCs w:val="20"/>
          <w:color w:val="auto"/>
        </w:rPr>
      </w:pPr>
      <w:r>
        <w:rPr>
          <w:rFonts w:ascii="Courier New" w:cs="Courier New" w:eastAsia="Courier New" w:hAnsi="Courier New"/>
          <w:sz w:val="14"/>
          <w:szCs w:val="14"/>
          <w:color w:val="auto"/>
        </w:rPr>
        <w:t>Marine seismic activity increased 14% from last year with the implementation of the ultra-slim NESSIE*4 seismic streamer, which provide improved data quality compared with other 4C systems, and significantly improves clients' ability to map the location and quantity of oil and gas. Schlumberger now offers a complete range of networked seismic services, including onboard processing, onshore processing and the new SeisConnect* data communication service. The SeisConnect service combines the convenience of an oil company's in-house processing operation with the massive computing power of our seismic processing hub.</w:t>
      </w:r>
    </w:p>
    <w:p>
      <w:pPr>
        <w:spacing w:after="0" w:line="162" w:lineRule="exact"/>
        <w:rPr>
          <w:sz w:val="20"/>
          <w:szCs w:val="20"/>
          <w:color w:val="auto"/>
        </w:rPr>
      </w:pPr>
    </w:p>
    <w:p>
      <w:pPr>
        <w:ind w:right="2959"/>
        <w:spacing w:after="0" w:line="236" w:lineRule="auto"/>
        <w:rPr>
          <w:sz w:val="20"/>
          <w:szCs w:val="20"/>
          <w:color w:val="auto"/>
        </w:rPr>
      </w:pPr>
      <w:r>
        <w:rPr>
          <w:rFonts w:ascii="Courier New" w:cs="Courier New" w:eastAsia="Courier New" w:hAnsi="Courier New"/>
          <w:sz w:val="16"/>
          <w:szCs w:val="16"/>
          <w:color w:val="auto"/>
        </w:rPr>
        <w:t>The worldwide introduction of the VISION475* MWD/LWD system for small-diameter wells has been highly successful. This application gives clients improved confidence in evaluating the growing number of horizontal and highly deviated wells, and reentry wells. The use of key acoustic velocity information during drilling has significantly increased following the introduction of the slimmer 6.75-inch ISONIC* logging-while-drilling tool.</w:t>
      </w:r>
    </w:p>
    <w:p>
      <w:pPr>
        <w:spacing w:after="0" w:line="183"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6"/>
          <w:szCs w:val="16"/>
          <w:color w:val="auto"/>
        </w:rPr>
        <w:t>The PLATFORM EXPRESS* service continues its market penetration as clients increasingly perceive the added value of high-resolution answers. The new CMR-200* combinable magnetic resonance technology is gaining recognition for its superior measurement of hydrocarbon type and quantity.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Measurement &amp; Systems</w:t>
      </w:r>
    </w:p>
    <w:p>
      <w:pPr>
        <w:spacing w:after="0" w:line="183"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Revenue grew 7% from last year, despite the impact of unfavorable exchange rate effects. Strong growth at Smart Cards &amp; Terminals and Automatic Test Equipment (ATE) more than offset the decline in Metering activities. Operating income rose 11%.</w:t>
      </w:r>
    </w:p>
    <w:p>
      <w:pPr>
        <w:spacing w:after="0" w:line="185"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During the first six months, Smart Cards &amp; Terminals revenue increased 37% fueled by higher smart card shipments. Revenue for smart cards was up 42% over last year due to increased demand for subscriber identity module (SIM) cards and higher shipments of microprocessor cards for financial applications and larger memory card shipments for prepaid phone applications. Banking terminal revenue was strong driven by the success of the MagIC* 9000 portable handheld electronic payment terminal and shipments of Delta* 21 terminals to Turkey and South Africa. Orders increased 21%. Revenue for ATE was 38% higher than last year reflecting the demand for 400-MHz high-end logic testers. Compared to last year, Asia and North America experienced high revenue growth. Orders for ATE declined 26%.</w:t>
      </w:r>
    </w:p>
    <w:p>
      <w:pPr>
        <w:spacing w:after="0" w:line="186" w:lineRule="exact"/>
        <w:rPr>
          <w:sz w:val="20"/>
          <w:szCs w:val="20"/>
          <w:color w:val="auto"/>
        </w:rPr>
      </w:pPr>
    </w:p>
    <w:p>
      <w:pPr>
        <w:ind w:right="2879"/>
        <w:spacing w:after="0" w:line="275" w:lineRule="auto"/>
        <w:rPr>
          <w:sz w:val="20"/>
          <w:szCs w:val="20"/>
          <w:color w:val="auto"/>
        </w:rPr>
      </w:pPr>
      <w:r>
        <w:rPr>
          <w:rFonts w:ascii="Courier New" w:cs="Courier New" w:eastAsia="Courier New" w:hAnsi="Courier New"/>
          <w:sz w:val="14"/>
          <w:szCs w:val="14"/>
          <w:color w:val="auto"/>
        </w:rPr>
        <w:t>In the Metering business, revenue was down 8% from last year. The most significant shortfall in Europe was in France, down 10%, due to lower shipments in electronic single phase and industrial electricity metering affected by the ongoing phase-out of electromechanical products at the electricity business. Orders were down 13% from last year. Italy revenue was down significantly reflecting decreased orders from ENEL, the national utility, and a 36% price</w:t>
      </w:r>
    </w:p>
    <w:p>
      <w:pPr>
        <w:spacing w:after="0" w:line="15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54" w:right="1440" w:bottom="1440" w:gutter="0" w:footer="0" w:header="0"/>
        </w:sectPr>
      </w:pPr>
    </w:p>
    <w:bookmarkStart w:id="14" w:name="page15"/>
    <w:bookmarkEnd w:id="14"/>
    <w:p>
      <w:pPr>
        <w:ind w:left="5" w:right="2779"/>
        <w:spacing w:after="0" w:line="236" w:lineRule="auto"/>
        <w:rPr>
          <w:sz w:val="20"/>
          <w:szCs w:val="20"/>
          <w:color w:val="auto"/>
        </w:rPr>
      </w:pPr>
      <w:r>
        <w:rPr>
          <w:rFonts w:ascii="Courier New" w:cs="Courier New" w:eastAsia="Courier New" w:hAnsi="Courier New"/>
          <w:sz w:val="16"/>
          <w:szCs w:val="16"/>
          <w:color w:val="auto"/>
        </w:rPr>
        <w:t>drop in the electricity market. Germany activity fell 13% from lower sales of residential and industrial gas meters and regulators, while the decline in the UK gas business reflected reduced deliveries of U6 residential gas meters to BG Plc and lower installation work by Maclean &amp; Nuttall. These declines were offset by improvements in South America due to strong activity in Brazil, Argentina, Chile and Colombia. CIS revenue also increased with higher sales across the region.</w:t>
      </w:r>
    </w:p>
    <w:p>
      <w:pPr>
        <w:spacing w:after="0" w:line="184" w:lineRule="exact"/>
        <w:rPr>
          <w:sz w:val="20"/>
          <w:szCs w:val="20"/>
          <w:color w:val="auto"/>
        </w:rPr>
      </w:pPr>
    </w:p>
    <w:p>
      <w:pPr>
        <w:ind w:left="5" w:right="2879"/>
        <w:spacing w:after="0" w:line="236" w:lineRule="auto"/>
        <w:rPr>
          <w:sz w:val="20"/>
          <w:szCs w:val="20"/>
          <w:color w:val="auto"/>
        </w:rPr>
      </w:pPr>
      <w:r>
        <w:rPr>
          <w:rFonts w:ascii="Courier New" w:cs="Courier New" w:eastAsia="Courier New" w:hAnsi="Courier New"/>
          <w:sz w:val="16"/>
          <w:szCs w:val="16"/>
          <w:color w:val="auto"/>
        </w:rPr>
        <w:t>Interest and other income increased $31 million from the same period last year primarily due to a $24 million increase in interest income (higher average investment balances). Gross margin increased from 26% to 27%. Research and engineering expense increased 17% from last year representing 4.9% of operating revenue compared with 4.7% in 1997. Marketing expense was up 8%. General expense, expressed as a percentage of operating revenue, remained at 3.6%. Interest expense increased $9 million from the same period last year due to higher average debt. The effective tax rate of 23% increased 1 percentage point from last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*Mark of Schlumberger</w:t>
      </w:r>
    </w:p>
    <w:p>
      <w:pPr>
        <w:ind w:left="285" w:hanging="285"/>
        <w:spacing w:after="0" w:line="236" w:lineRule="auto"/>
        <w:tabs>
          <w:tab w:leader="none" w:pos="285"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SAP and R/3 are registered trademarks of SAP AG</w:t>
      </w:r>
    </w:p>
    <w:p>
      <w:pPr>
        <w:ind w:left="365" w:hanging="365"/>
        <w:spacing w:after="0" w:line="236" w:lineRule="auto"/>
        <w:tabs>
          <w:tab w:leader="none" w:pos="365"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MFG/PRO is a registered trademark of QAD</w:t>
      </w:r>
    </w:p>
    <w:p>
      <w:pPr>
        <w:spacing w:after="0" w:line="200" w:lineRule="exact"/>
        <w:rPr>
          <w:sz w:val="20"/>
          <w:szCs w:val="20"/>
          <w:color w:val="auto"/>
        </w:rPr>
      </w:pPr>
    </w:p>
    <w:p>
      <w:pPr>
        <w:spacing w:after="0" w:line="335"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24"/>
          </w:cols>
          <w:pgMar w:left="235" w:top="654" w:right="1440" w:bottom="1440" w:gutter="0" w:footer="0" w:header="0"/>
        </w:sectPr>
      </w:pPr>
    </w:p>
    <w:bookmarkStart w:id="15" w:name="page16"/>
    <w:bookmarkEnd w:id="15"/>
    <w:p>
      <w:pPr>
        <w:ind w:left="2145"/>
        <w:spacing w:after="0"/>
        <w:rPr>
          <w:sz w:val="20"/>
          <w:szCs w:val="20"/>
          <w:color w:val="auto"/>
        </w:rPr>
      </w:pPr>
      <w:r>
        <w:rPr>
          <w:rFonts w:ascii="Courier New" w:cs="Courier New" w:eastAsia="Courier New" w:hAnsi="Courier New"/>
          <w:sz w:val="16"/>
          <w:szCs w:val="16"/>
          <w:color w:val="auto"/>
        </w:rPr>
        <w:t>PART II. OTHER INFORMATION</w:t>
      </w:r>
    </w:p>
    <w:p>
      <w:pPr>
        <w:ind w:left="2145"/>
        <w:spacing w:after="0" w:line="236" w:lineRule="auto"/>
        <w:rPr>
          <w:sz w:val="20"/>
          <w:szCs w:val="20"/>
          <w:color w:val="auto"/>
        </w:rPr>
      </w:pPr>
      <w:r>
        <w:rPr>
          <w:rFonts w:ascii="Courier New" w:cs="Courier New" w:eastAsia="Courier New" w:hAnsi="Courier New"/>
          <w:sz w:val="16"/>
          <w:szCs w:val="16"/>
          <w:color w:val="auto"/>
        </w:rPr>
        <w:t>--------------------------</w:t>
      </w:r>
    </w:p>
    <w:p>
      <w:pPr>
        <w:spacing w:after="0" w:line="35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Item 5. Other Information</w:t>
      </w:r>
    </w:p>
    <w:p>
      <w:pPr>
        <w:ind w:left="5"/>
        <w:spacing w:after="0" w:line="236" w:lineRule="auto"/>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left="5" w:right="2779"/>
        <w:spacing w:after="0" w:line="236" w:lineRule="auto"/>
        <w:rPr>
          <w:sz w:val="20"/>
          <w:szCs w:val="20"/>
          <w:color w:val="auto"/>
        </w:rPr>
      </w:pPr>
      <w:r>
        <w:rPr>
          <w:rFonts w:ascii="Courier New" w:cs="Courier New" w:eastAsia="Courier New" w:hAnsi="Courier New"/>
          <w:sz w:val="16"/>
          <w:szCs w:val="16"/>
          <w:color w:val="auto"/>
        </w:rPr>
        <w:t>Under Rule 14a-4(c)(1) under the Securities Exchange Act of 1934, the Company will be entitled to use discretionary authority to vote proxies with respect to proposals to be presented at the Company's Annual General Meeting that are not received by the Company at least 45 days prior to the anniversary date of mailing of the Company's prior year's Proxy Statement. The Company's Proxy Statement dated March 6, 1998 furnished to stockholders in connection with the Company's 1998 Annual General Meeting was first mailed to stockholders on March 6, 1998. Accordingly, the Company will be able to use discretionary authority to vote at the 1999 Annual General Meeting with respect to any proposal submitted after January 20, 1999.</w:t>
      </w:r>
    </w:p>
    <w:p>
      <w:pPr>
        <w:spacing w:after="0" w:line="179"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Item 6: Exhibits and Reports on Form 8-K</w:t>
      </w:r>
    </w:p>
    <w:p>
      <w:pPr>
        <w:ind w:left="5"/>
        <w:spacing w:after="0" w:line="236" w:lineRule="auto"/>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2985" w:right="3519" w:hanging="2985"/>
        <w:spacing w:after="0" w:line="235" w:lineRule="auto"/>
        <w:tabs>
          <w:tab w:leader="none" w:pos="3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 Exhibit 99(1)Press Release dated June 19, 1998 headed "Schlumberger and Camco Announce Merger Agreement"</w:t>
      </w:r>
    </w:p>
    <w:p>
      <w:pPr>
        <w:spacing w:after="0" w:line="183" w:lineRule="exact"/>
        <w:rPr>
          <w:sz w:val="20"/>
          <w:szCs w:val="20"/>
          <w:color w:val="auto"/>
        </w:rPr>
      </w:pPr>
    </w:p>
    <w:p>
      <w:pPr>
        <w:ind w:left="2985" w:right="3339" w:hanging="1673"/>
        <w:spacing w:after="0" w:line="235" w:lineRule="auto"/>
        <w:tabs>
          <w:tab w:leader="none" w:pos="2964" w:val="left"/>
        </w:tabs>
        <w:rPr>
          <w:sz w:val="20"/>
          <w:szCs w:val="20"/>
          <w:color w:val="auto"/>
        </w:rPr>
      </w:pPr>
      <w:r>
        <w:rPr>
          <w:rFonts w:ascii="Courier New" w:cs="Courier New" w:eastAsia="Courier New" w:hAnsi="Courier New"/>
          <w:sz w:val="16"/>
          <w:szCs w:val="16"/>
          <w:color w:val="auto"/>
        </w:rPr>
        <w:t>Exhibit 99(2)</w:t>
      </w:r>
      <w:r>
        <w:rPr>
          <w:sz w:val="20"/>
          <w:szCs w:val="20"/>
          <w:color w:val="auto"/>
        </w:rPr>
        <w:tab/>
      </w:r>
      <w:r>
        <w:rPr>
          <w:rFonts w:ascii="Courier New" w:cs="Courier New" w:eastAsia="Courier New" w:hAnsi="Courier New"/>
          <w:sz w:val="16"/>
          <w:szCs w:val="16"/>
          <w:color w:val="auto"/>
        </w:rPr>
        <w:t>Press Release dated July 30, 1998 headed "Schlumberger and Camco Clear US Antitrust Review"</w:t>
      </w:r>
    </w:p>
    <w:p>
      <w:pPr>
        <w:spacing w:after="0" w:line="200" w:lineRule="exact"/>
        <w:rPr>
          <w:sz w:val="20"/>
          <w:szCs w:val="20"/>
          <w:color w:val="auto"/>
        </w:rPr>
      </w:pPr>
    </w:p>
    <w:p>
      <w:pPr>
        <w:spacing w:after="0" w:line="341" w:lineRule="exact"/>
        <w:rPr>
          <w:sz w:val="20"/>
          <w:szCs w:val="20"/>
          <w:color w:val="auto"/>
        </w:rPr>
      </w:pPr>
    </w:p>
    <w:p>
      <w:pPr>
        <w:ind w:left="2985" w:right="2959" w:hanging="2985"/>
        <w:spacing w:after="0" w:line="276" w:lineRule="auto"/>
        <w:tabs>
          <w:tab w:leader="none" w:pos="3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w:t>
      </w:r>
      <w:r>
        <w:rPr>
          <w:rFonts w:ascii="Courier New" w:cs="Courier New" w:eastAsia="Courier New" w:hAnsi="Courier New"/>
          <w:sz w:val="14"/>
          <w:szCs w:val="14"/>
          <w:color w:val="auto"/>
        </w:rPr>
        <w:t>Filed Report dated June 26, 1998 to report on merger agreement among Schlumberger Technology Corporation, a Texas corporation, Schlumberger OFS, Inc., a Delaware corporation, and Camco International Inc., a Delaware corporation.</w:t>
      </w:r>
    </w:p>
    <w:p>
      <w:pPr>
        <w:spacing w:after="0" w:line="155"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24"/>
          </w:cols>
          <w:pgMar w:left="235" w:top="648" w:right="1440" w:bottom="1440" w:gutter="0" w:footer="0" w:header="0"/>
        </w:sectPr>
      </w:pPr>
    </w:p>
    <w:bookmarkStart w:id="16" w:name="page17"/>
    <w:bookmarkEnd w:id="16"/>
    <w:p>
      <w:pPr>
        <w:ind w:left="3260"/>
        <w:spacing w:after="0"/>
        <w:rPr>
          <w:sz w:val="20"/>
          <w:szCs w:val="20"/>
          <w:color w:val="auto"/>
        </w:rPr>
      </w:pPr>
      <w:r>
        <w:rPr>
          <w:rFonts w:ascii="Courier New" w:cs="Courier New" w:eastAsia="Courier New" w:hAnsi="Courier New"/>
          <w:sz w:val="16"/>
          <w:szCs w:val="16"/>
          <w:color w:val="auto"/>
        </w:rPr>
        <w:t>SIGNATURE</w:t>
      </w:r>
    </w:p>
    <w:p>
      <w:pPr>
        <w:ind w:left="326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 and in his capacity as principal financial officer.</w:t>
      </w:r>
    </w:p>
    <w:p>
      <w:pPr>
        <w:spacing w:after="0" w:line="178" w:lineRule="exact"/>
        <w:rPr>
          <w:sz w:val="20"/>
          <w:szCs w:val="20"/>
          <w:color w:val="auto"/>
        </w:rPr>
      </w:pPr>
    </w:p>
    <w:p>
      <w:pPr>
        <w:jc w:val="center"/>
        <w:ind w:right="-380"/>
        <w:spacing w:after="0"/>
        <w:rPr>
          <w:sz w:val="20"/>
          <w:szCs w:val="20"/>
          <w:color w:val="auto"/>
        </w:rPr>
      </w:pPr>
      <w:r>
        <w:rPr>
          <w:rFonts w:ascii="Courier New" w:cs="Courier New" w:eastAsia="Courier New" w:hAnsi="Courier New"/>
          <w:sz w:val="16"/>
          <w:szCs w:val="16"/>
          <w:color w:val="auto"/>
        </w:rPr>
        <w:t>Schlumberger Limited</w:t>
      </w:r>
    </w:p>
    <w:p>
      <w:pPr>
        <w:jc w:val="center"/>
        <w:ind w:right="-380"/>
        <w:spacing w:after="0" w:line="236" w:lineRule="auto"/>
        <w:rPr>
          <w:sz w:val="20"/>
          <w:szCs w:val="20"/>
          <w:color w:val="auto"/>
        </w:rPr>
      </w:pPr>
      <w:r>
        <w:rPr>
          <w:rFonts w:ascii="Courier New" w:cs="Courier New" w:eastAsia="Courier New" w:hAnsi="Courier New"/>
          <w:sz w:val="16"/>
          <w:szCs w:val="16"/>
          <w:color w:val="auto"/>
        </w:rPr>
        <w:t>(Registrant)</w:t>
      </w:r>
    </w:p>
    <w:p>
      <w:pPr>
        <w:sectPr>
          <w:pgSz w:w="11900" w:h="16838" w:orient="portrait"/>
          <w:cols w:equalWidth="0" w:num="1">
            <w:col w:w="10219"/>
          </w:cols>
          <w:pgMar w:left="240" w:top="64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ind w:right="1060"/>
        <w:spacing w:after="0" w:line="234" w:lineRule="auto"/>
        <w:rPr>
          <w:sz w:val="20"/>
          <w:szCs w:val="20"/>
          <w:color w:val="auto"/>
        </w:rPr>
      </w:pPr>
      <w:r>
        <w:rPr>
          <w:rFonts w:ascii="Courier New" w:cs="Courier New" w:eastAsia="Courier New" w:hAnsi="Courier New"/>
          <w:sz w:val="16"/>
          <w:szCs w:val="16"/>
          <w:color w:val="auto"/>
        </w:rPr>
        <w:t>Date: August 14, 1998 ---------------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/s/ Arthur Lindenauer</w:t>
      </w:r>
    </w:p>
    <w:p>
      <w:pPr>
        <w:ind w:left="560"/>
        <w:spacing w:after="0" w:line="236" w:lineRule="auto"/>
        <w:rPr>
          <w:sz w:val="20"/>
          <w:szCs w:val="20"/>
          <w:color w:val="auto"/>
        </w:rPr>
      </w:pPr>
      <w:r>
        <w:rPr>
          <w:rFonts w:ascii="Courier New" w:cs="Courier New" w:eastAsia="Courier New" w:hAnsi="Courier New"/>
          <w:sz w:val="16"/>
          <w:szCs w:val="16"/>
          <w:color w:val="auto"/>
        </w:rPr>
        <w:t>---------------------</w:t>
      </w:r>
    </w:p>
    <w:p>
      <w:pPr>
        <w:ind w:left="840"/>
        <w:spacing w:after="0" w:line="237" w:lineRule="auto"/>
        <w:rPr>
          <w:sz w:val="20"/>
          <w:szCs w:val="20"/>
          <w:color w:val="auto"/>
        </w:rPr>
      </w:pPr>
      <w:r>
        <w:rPr>
          <w:rFonts w:ascii="Courier New" w:cs="Courier New" w:eastAsia="Courier New" w:hAnsi="Courier New"/>
          <w:sz w:val="16"/>
          <w:szCs w:val="16"/>
          <w:color w:val="auto"/>
        </w:rPr>
        <w:t>Arthur Lindenauer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Vice President - Finance</w:t>
      </w:r>
    </w:p>
    <w:p>
      <w:pPr>
        <w:spacing w:after="0" w:line="14"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and Chief Financial Officer</w:t>
      </w:r>
    </w:p>
    <w:p>
      <w:pPr>
        <w:spacing w:after="0" w:line="183" w:lineRule="exact"/>
        <w:rPr>
          <w:sz w:val="20"/>
          <w:szCs w:val="20"/>
          <w:color w:val="auto"/>
        </w:rPr>
      </w:pPr>
    </w:p>
    <w:p>
      <w:pPr>
        <w:sectPr>
          <w:pgSz w:w="11900" w:h="16838" w:orient="portrait"/>
          <w:cols w:equalWidth="0" w:num="2">
            <w:col w:w="3000" w:space="720"/>
            <w:col w:w="6499"/>
          </w:cols>
          <w:pgMar w:left="240" w:top="648" w:right="1440" w:bottom="1440" w:gutter="0" w:footer="0" w:header="0"/>
          <w:type w:val="continuous"/>
        </w:sectPr>
      </w:pPr>
    </w:p>
    <w:p>
      <w:pPr>
        <w:ind w:left="354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19"/>
          </w:cols>
          <w:pgMar w:left="240" w:top="648" w:right="1440"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181"/>
        </w:trPr>
        <w:tc>
          <w:tcPr>
            <w:tcW w:w="1760" w:type="dxa"/>
            <w:vAlign w:val="bottom"/>
          </w:tcPr>
          <w:p>
            <w:pPr>
              <w:spacing w:after="0"/>
              <w:rPr>
                <w:sz w:val="15"/>
                <w:szCs w:val="15"/>
                <w:color w:val="auto"/>
              </w:rPr>
            </w:pPr>
          </w:p>
        </w:tc>
        <w:tc>
          <w:tcPr>
            <w:tcW w:w="4660" w:type="dxa"/>
            <w:vAlign w:val="bottom"/>
            <w:gridSpan w:val="2"/>
          </w:tcPr>
          <w:p>
            <w:pPr>
              <w:ind w:left="1120"/>
              <w:spacing w:after="0"/>
              <w:rPr>
                <w:sz w:val="20"/>
                <w:szCs w:val="20"/>
                <w:color w:val="auto"/>
              </w:rPr>
            </w:pPr>
            <w:r>
              <w:rPr>
                <w:rFonts w:ascii="Courier New" w:cs="Courier New" w:eastAsia="Courier New" w:hAnsi="Courier New"/>
                <w:sz w:val="16"/>
                <w:szCs w:val="16"/>
                <w:color w:val="auto"/>
              </w:rPr>
              <w:t>INDEX TO EXHIBITS</w:t>
            </w:r>
          </w:p>
        </w:tc>
        <w:tc>
          <w:tcPr>
            <w:tcW w:w="840" w:type="dxa"/>
            <w:vAlign w:val="bottom"/>
          </w:tcPr>
          <w:p>
            <w:pPr>
              <w:spacing w:after="0"/>
              <w:rPr>
                <w:sz w:val="15"/>
                <w:szCs w:val="15"/>
                <w:color w:val="auto"/>
              </w:rPr>
            </w:pPr>
          </w:p>
        </w:tc>
      </w:tr>
      <w:tr>
        <w:trPr>
          <w:trHeight w:val="537"/>
        </w:trPr>
        <w:tc>
          <w:tcPr>
            <w:tcW w:w="1760" w:type="dxa"/>
            <w:vAlign w:val="bottom"/>
          </w:tcPr>
          <w:p>
            <w:pPr>
              <w:spacing w:after="0"/>
              <w:rPr>
                <w:sz w:val="20"/>
                <w:szCs w:val="20"/>
                <w:color w:val="auto"/>
              </w:rPr>
            </w:pPr>
            <w:r>
              <w:rPr>
                <w:rFonts w:ascii="Courier New" w:cs="Courier New" w:eastAsia="Courier New" w:hAnsi="Courier New"/>
                <w:sz w:val="16"/>
                <w:szCs w:val="16"/>
                <w:color w:val="auto"/>
              </w:rPr>
              <w:t>Exhibit No.</w:t>
            </w:r>
          </w:p>
        </w:tc>
        <w:tc>
          <w:tcPr>
            <w:tcW w:w="1720" w:type="dxa"/>
            <w:vAlign w:val="bottom"/>
          </w:tcPr>
          <w:p>
            <w:pPr>
              <w:ind w:left="460"/>
              <w:spacing w:after="0"/>
              <w:rPr>
                <w:sz w:val="20"/>
                <w:szCs w:val="20"/>
                <w:color w:val="auto"/>
              </w:rPr>
            </w:pPr>
            <w:r>
              <w:rPr>
                <w:rFonts w:ascii="Courier New" w:cs="Courier New" w:eastAsia="Courier New" w:hAnsi="Courier New"/>
                <w:sz w:val="16"/>
                <w:szCs w:val="16"/>
                <w:color w:val="auto"/>
              </w:rPr>
              <w:t>Description</w:t>
            </w:r>
          </w:p>
        </w:tc>
        <w:tc>
          <w:tcPr>
            <w:tcW w:w="2940" w:type="dxa"/>
            <w:vAlign w:val="bottom"/>
          </w:tcPr>
          <w:p>
            <w:pPr>
              <w:spacing w:after="0"/>
              <w:rPr>
                <w:sz w:val="24"/>
                <w:szCs w:val="24"/>
                <w:color w:val="auto"/>
              </w:rPr>
            </w:pPr>
          </w:p>
        </w:tc>
        <w:tc>
          <w:tcPr>
            <w:tcW w:w="840" w:type="dxa"/>
            <w:vAlign w:val="bottom"/>
          </w:tcPr>
          <w:p>
            <w:pPr>
              <w:ind w:left="280"/>
              <w:spacing w:after="0"/>
              <w:rPr>
                <w:sz w:val="20"/>
                <w:szCs w:val="20"/>
                <w:color w:val="auto"/>
              </w:rPr>
            </w:pPr>
            <w:r>
              <w:rPr>
                <w:rFonts w:ascii="Courier New" w:cs="Courier New" w:eastAsia="Courier New" w:hAnsi="Courier New"/>
                <w:sz w:val="16"/>
                <w:szCs w:val="16"/>
                <w:color w:val="auto"/>
              </w:rPr>
              <w:t>Page</w:t>
            </w:r>
          </w:p>
        </w:tc>
      </w:tr>
      <w:tr>
        <w:trPr>
          <w:trHeight w:val="179"/>
        </w:trPr>
        <w:tc>
          <w:tcPr>
            <w:tcW w:w="176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1720" w:type="dxa"/>
            <w:vAlign w:val="bottom"/>
          </w:tcPr>
          <w:p>
            <w:pPr>
              <w:ind w:left="660"/>
              <w:spacing w:after="0" w:line="179" w:lineRule="exact"/>
              <w:rPr>
                <w:sz w:val="20"/>
                <w:szCs w:val="20"/>
                <w:color w:val="auto"/>
              </w:rPr>
            </w:pPr>
            <w:r>
              <w:rPr>
                <w:rFonts w:ascii="Courier New" w:cs="Courier New" w:eastAsia="Courier New" w:hAnsi="Courier New"/>
                <w:sz w:val="16"/>
                <w:szCs w:val="16"/>
                <w:color w:val="auto"/>
                <w:w w:val="98"/>
              </w:rPr>
              <w:t>-----------</w:t>
            </w:r>
          </w:p>
        </w:tc>
        <w:tc>
          <w:tcPr>
            <w:tcW w:w="2940" w:type="dxa"/>
            <w:vAlign w:val="bottom"/>
          </w:tcPr>
          <w:p>
            <w:pPr>
              <w:spacing w:after="0"/>
              <w:rPr>
                <w:sz w:val="15"/>
                <w:szCs w:val="15"/>
                <w:color w:val="auto"/>
              </w:rPr>
            </w:pPr>
          </w:p>
        </w:tc>
        <w:tc>
          <w:tcPr>
            <w:tcW w:w="84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3"/>
              </w:rPr>
              <w:t>----</w:t>
            </w:r>
          </w:p>
        </w:tc>
      </w:tr>
      <w:tr>
        <w:trPr>
          <w:trHeight w:val="358"/>
        </w:trPr>
        <w:tc>
          <w:tcPr>
            <w:tcW w:w="1760" w:type="dxa"/>
            <w:vAlign w:val="bottom"/>
          </w:tcPr>
          <w:p>
            <w:pPr>
              <w:spacing w:after="0"/>
              <w:rPr>
                <w:sz w:val="20"/>
                <w:szCs w:val="20"/>
                <w:color w:val="auto"/>
              </w:rPr>
            </w:pPr>
            <w:r>
              <w:rPr>
                <w:rFonts w:ascii="Courier New" w:cs="Courier New" w:eastAsia="Courier New" w:hAnsi="Courier New"/>
                <w:sz w:val="16"/>
                <w:szCs w:val="16"/>
                <w:color w:val="auto"/>
              </w:rPr>
              <w:t>Exhibit 99 (1)</w:t>
            </w:r>
          </w:p>
        </w:tc>
        <w:tc>
          <w:tcPr>
            <w:tcW w:w="1720" w:type="dxa"/>
            <w:vAlign w:val="bottom"/>
          </w:tcPr>
          <w:p>
            <w:pPr>
              <w:ind w:left="460"/>
              <w:spacing w:after="0"/>
              <w:rPr>
                <w:sz w:val="20"/>
                <w:szCs w:val="20"/>
                <w:color w:val="auto"/>
              </w:rPr>
            </w:pPr>
            <w:r>
              <w:rPr>
                <w:rFonts w:ascii="Courier New" w:cs="Courier New" w:eastAsia="Courier New" w:hAnsi="Courier New"/>
                <w:sz w:val="16"/>
                <w:szCs w:val="16"/>
                <w:color w:val="auto"/>
                <w:w w:val="99"/>
              </w:rPr>
              <w:t>Press Release</w:t>
            </w:r>
          </w:p>
        </w:tc>
        <w:tc>
          <w:tcPr>
            <w:tcW w:w="2940" w:type="dxa"/>
            <w:vAlign w:val="bottom"/>
          </w:tcPr>
          <w:p>
            <w:pPr>
              <w:ind w:left="60"/>
              <w:spacing w:after="0"/>
              <w:rPr>
                <w:sz w:val="20"/>
                <w:szCs w:val="20"/>
                <w:color w:val="auto"/>
              </w:rPr>
            </w:pPr>
            <w:r>
              <w:rPr>
                <w:rFonts w:ascii="Courier New" w:cs="Courier New" w:eastAsia="Courier New" w:hAnsi="Courier New"/>
                <w:sz w:val="16"/>
                <w:szCs w:val="16"/>
                <w:color w:val="auto"/>
              </w:rPr>
              <w:t>dated June 19, 1998 headed</w:t>
            </w:r>
          </w:p>
        </w:tc>
        <w:tc>
          <w:tcPr>
            <w:tcW w:w="840" w:type="dxa"/>
            <w:vAlign w:val="bottom"/>
          </w:tcPr>
          <w:p>
            <w:pPr>
              <w:spacing w:after="0"/>
              <w:rPr>
                <w:sz w:val="24"/>
                <w:szCs w:val="24"/>
                <w:color w:val="auto"/>
              </w:rPr>
            </w:pPr>
          </w:p>
        </w:tc>
      </w:tr>
      <w:tr>
        <w:trPr>
          <w:trHeight w:val="179"/>
        </w:trPr>
        <w:tc>
          <w:tcPr>
            <w:tcW w:w="1760" w:type="dxa"/>
            <w:vAlign w:val="bottom"/>
          </w:tcPr>
          <w:p>
            <w:pPr>
              <w:spacing w:after="0"/>
              <w:rPr>
                <w:sz w:val="15"/>
                <w:szCs w:val="15"/>
                <w:color w:val="auto"/>
              </w:rPr>
            </w:pPr>
          </w:p>
        </w:tc>
        <w:tc>
          <w:tcPr>
            <w:tcW w:w="17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9"/>
              </w:rPr>
              <w:t>"Schlumberger</w:t>
            </w:r>
          </w:p>
        </w:tc>
        <w:tc>
          <w:tcPr>
            <w:tcW w:w="294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and Camco Announce Merger</w:t>
            </w:r>
          </w:p>
        </w:tc>
        <w:tc>
          <w:tcPr>
            <w:tcW w:w="84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19</w:t>
            </w:r>
          </w:p>
        </w:tc>
      </w:tr>
      <w:tr>
        <w:trPr>
          <w:trHeight w:val="179"/>
        </w:trPr>
        <w:tc>
          <w:tcPr>
            <w:tcW w:w="1760" w:type="dxa"/>
            <w:vAlign w:val="bottom"/>
          </w:tcPr>
          <w:p>
            <w:pPr>
              <w:spacing w:after="0"/>
              <w:rPr>
                <w:sz w:val="15"/>
                <w:szCs w:val="15"/>
                <w:color w:val="auto"/>
              </w:rPr>
            </w:pPr>
          </w:p>
        </w:tc>
        <w:tc>
          <w:tcPr>
            <w:tcW w:w="17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Agreement"</w:t>
            </w:r>
          </w:p>
        </w:tc>
        <w:tc>
          <w:tcPr>
            <w:tcW w:w="29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358"/>
        </w:trPr>
        <w:tc>
          <w:tcPr>
            <w:tcW w:w="1760" w:type="dxa"/>
            <w:vAlign w:val="bottom"/>
          </w:tcPr>
          <w:p>
            <w:pPr>
              <w:spacing w:after="0"/>
              <w:rPr>
                <w:sz w:val="20"/>
                <w:szCs w:val="20"/>
                <w:color w:val="auto"/>
              </w:rPr>
            </w:pPr>
            <w:r>
              <w:rPr>
                <w:rFonts w:ascii="Courier New" w:cs="Courier New" w:eastAsia="Courier New" w:hAnsi="Courier New"/>
                <w:sz w:val="16"/>
                <w:szCs w:val="16"/>
                <w:color w:val="auto"/>
              </w:rPr>
              <w:t>Exhibit 99 (2)</w:t>
            </w:r>
          </w:p>
        </w:tc>
        <w:tc>
          <w:tcPr>
            <w:tcW w:w="1720" w:type="dxa"/>
            <w:vAlign w:val="bottom"/>
          </w:tcPr>
          <w:p>
            <w:pPr>
              <w:ind w:left="460"/>
              <w:spacing w:after="0"/>
              <w:rPr>
                <w:sz w:val="20"/>
                <w:szCs w:val="20"/>
                <w:color w:val="auto"/>
              </w:rPr>
            </w:pPr>
            <w:r>
              <w:rPr>
                <w:rFonts w:ascii="Courier New" w:cs="Courier New" w:eastAsia="Courier New" w:hAnsi="Courier New"/>
                <w:sz w:val="16"/>
                <w:szCs w:val="16"/>
                <w:color w:val="auto"/>
                <w:w w:val="99"/>
              </w:rPr>
              <w:t>Press Release</w:t>
            </w:r>
          </w:p>
        </w:tc>
        <w:tc>
          <w:tcPr>
            <w:tcW w:w="2940" w:type="dxa"/>
            <w:vAlign w:val="bottom"/>
          </w:tcPr>
          <w:p>
            <w:pPr>
              <w:ind w:left="60"/>
              <w:spacing w:after="0"/>
              <w:rPr>
                <w:sz w:val="20"/>
                <w:szCs w:val="20"/>
                <w:color w:val="auto"/>
              </w:rPr>
            </w:pPr>
            <w:r>
              <w:rPr>
                <w:rFonts w:ascii="Courier New" w:cs="Courier New" w:eastAsia="Courier New" w:hAnsi="Courier New"/>
                <w:sz w:val="16"/>
                <w:szCs w:val="16"/>
                <w:color w:val="auto"/>
              </w:rPr>
              <w:t>dated July 30, 1998 headed</w:t>
            </w:r>
          </w:p>
        </w:tc>
        <w:tc>
          <w:tcPr>
            <w:tcW w:w="840" w:type="dxa"/>
            <w:vAlign w:val="bottom"/>
          </w:tcPr>
          <w:p>
            <w:pPr>
              <w:spacing w:after="0"/>
              <w:rPr>
                <w:sz w:val="24"/>
                <w:szCs w:val="24"/>
                <w:color w:val="auto"/>
              </w:rPr>
            </w:pPr>
          </w:p>
        </w:tc>
      </w:tr>
      <w:tr>
        <w:trPr>
          <w:trHeight w:val="179"/>
        </w:trPr>
        <w:tc>
          <w:tcPr>
            <w:tcW w:w="1760" w:type="dxa"/>
            <w:vAlign w:val="bottom"/>
          </w:tcPr>
          <w:p>
            <w:pPr>
              <w:spacing w:after="0"/>
              <w:rPr>
                <w:sz w:val="15"/>
                <w:szCs w:val="15"/>
                <w:color w:val="auto"/>
              </w:rPr>
            </w:pPr>
          </w:p>
        </w:tc>
        <w:tc>
          <w:tcPr>
            <w:tcW w:w="17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9"/>
              </w:rPr>
              <w:t>"Schlumberger</w:t>
            </w:r>
          </w:p>
        </w:tc>
        <w:tc>
          <w:tcPr>
            <w:tcW w:w="294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and Camco Clear US Antitrust</w:t>
            </w:r>
          </w:p>
        </w:tc>
        <w:tc>
          <w:tcPr>
            <w:tcW w:w="84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21</w:t>
            </w:r>
          </w:p>
        </w:tc>
      </w:tr>
      <w:tr>
        <w:trPr>
          <w:trHeight w:val="179"/>
        </w:trPr>
        <w:tc>
          <w:tcPr>
            <w:tcW w:w="1760" w:type="dxa"/>
            <w:vAlign w:val="bottom"/>
          </w:tcPr>
          <w:p>
            <w:pPr>
              <w:spacing w:after="0"/>
              <w:rPr>
                <w:sz w:val="15"/>
                <w:szCs w:val="15"/>
                <w:color w:val="auto"/>
              </w:rPr>
            </w:pPr>
          </w:p>
        </w:tc>
        <w:tc>
          <w:tcPr>
            <w:tcW w:w="17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Review"</w:t>
            </w:r>
          </w:p>
        </w:tc>
        <w:tc>
          <w:tcPr>
            <w:tcW w:w="29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358"/>
        </w:trPr>
        <w:tc>
          <w:tcPr>
            <w:tcW w:w="1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940" w:type="dxa"/>
            <w:vAlign w:val="bottom"/>
          </w:tcPr>
          <w:p>
            <w:pPr>
              <w:ind w:left="60"/>
              <w:spacing w:after="0"/>
              <w:rPr>
                <w:sz w:val="20"/>
                <w:szCs w:val="20"/>
                <w:color w:val="auto"/>
              </w:rPr>
            </w:pPr>
            <w:r>
              <w:rPr>
                <w:rFonts w:ascii="Courier New" w:cs="Courier New" w:eastAsia="Courier New" w:hAnsi="Courier New"/>
                <w:sz w:val="16"/>
                <w:szCs w:val="16"/>
                <w:color w:val="auto"/>
              </w:rPr>
              <w:t>-18-</w:t>
            </w:r>
          </w:p>
        </w:tc>
        <w:tc>
          <w:tcPr>
            <w:tcW w:w="840" w:type="dxa"/>
            <w:vAlign w:val="bottom"/>
          </w:tcPr>
          <w:p>
            <w:pPr>
              <w:spacing w:after="0"/>
              <w:rPr>
                <w:sz w:val="24"/>
                <w:szCs w:val="24"/>
                <w:color w:val="auto"/>
              </w:rPr>
            </w:pPr>
          </w:p>
        </w:tc>
      </w:tr>
    </w:tbl>
    <w:p>
      <w:pPr>
        <w:sectPr>
          <w:pgSz w:w="11900" w:h="16838" w:orient="portrait"/>
          <w:cols w:equalWidth="0" w:num="1">
            <w:col w:w="10219"/>
          </w:cols>
          <w:pgMar w:left="240" w:top="648" w:right="1440"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80" w:type="dxa"/>
            <w:vAlign w:val="bottom"/>
          </w:tcPr>
          <w:p>
            <w:pPr>
              <w:spacing w:after="0"/>
              <w:rPr>
                <w:sz w:val="15"/>
                <w:szCs w:val="15"/>
                <w:color w:val="auto"/>
              </w:rPr>
            </w:pPr>
          </w:p>
        </w:tc>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Exhibit 99</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358"/>
        </w:trPr>
        <w:tc>
          <w:tcPr>
            <w:tcW w:w="2080" w:type="dxa"/>
            <w:vAlign w:val="bottom"/>
          </w:tcPr>
          <w:p>
            <w:pPr>
              <w:spacing w:after="0"/>
              <w:rPr>
                <w:sz w:val="24"/>
                <w:szCs w:val="24"/>
                <w:color w:val="auto"/>
              </w:rPr>
            </w:pPr>
          </w:p>
        </w:tc>
        <w:tc>
          <w:tcPr>
            <w:tcW w:w="5040" w:type="dxa"/>
            <w:vAlign w:val="bottom"/>
          </w:tcPr>
          <w:p>
            <w:pPr>
              <w:jc w:val="right"/>
              <w:ind w:right="2762"/>
              <w:spacing w:after="0"/>
              <w:rPr>
                <w:sz w:val="20"/>
                <w:szCs w:val="20"/>
                <w:color w:val="auto"/>
              </w:rPr>
            </w:pPr>
            <w:r>
              <w:rPr>
                <w:rFonts w:ascii="Courier New" w:cs="Courier New" w:eastAsia="Courier New" w:hAnsi="Courier New"/>
                <w:sz w:val="16"/>
                <w:szCs w:val="16"/>
                <w:color w:val="auto"/>
              </w:rPr>
              <w:t>PRESS RELEASE</w:t>
            </w:r>
          </w:p>
        </w:tc>
        <w:tc>
          <w:tcPr>
            <w:tcW w:w="320" w:type="dxa"/>
            <w:vAlign w:val="bottom"/>
          </w:tcPr>
          <w:p>
            <w:pPr>
              <w:spacing w:after="0"/>
              <w:rPr>
                <w:sz w:val="24"/>
                <w:szCs w:val="24"/>
                <w:color w:val="auto"/>
              </w:rPr>
            </w:pPr>
          </w:p>
        </w:tc>
      </w:tr>
      <w:tr>
        <w:trPr>
          <w:trHeight w:val="179"/>
        </w:trPr>
        <w:tc>
          <w:tcPr>
            <w:tcW w:w="2080" w:type="dxa"/>
            <w:vAlign w:val="bottom"/>
          </w:tcPr>
          <w:p>
            <w:pPr>
              <w:jc w:val="center"/>
              <w:ind w:right="882"/>
              <w:spacing w:after="0" w:line="179" w:lineRule="exact"/>
              <w:rPr>
                <w:sz w:val="20"/>
                <w:szCs w:val="20"/>
                <w:color w:val="auto"/>
              </w:rPr>
            </w:pPr>
            <w:r>
              <w:rPr>
                <w:rFonts w:ascii="Courier New" w:cs="Courier New" w:eastAsia="Courier New" w:hAnsi="Courier New"/>
                <w:sz w:val="16"/>
                <w:szCs w:val="16"/>
                <w:color w:val="auto"/>
                <w:w w:val="97"/>
              </w:rPr>
              <w:t>[LOGO]</w:t>
            </w:r>
          </w:p>
        </w:tc>
        <w:tc>
          <w:tcPr>
            <w:tcW w:w="5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[LOGO]</w:t>
            </w:r>
          </w:p>
        </w:tc>
        <w:tc>
          <w:tcPr>
            <w:tcW w:w="320" w:type="dxa"/>
            <w:vAlign w:val="bottom"/>
          </w:tcPr>
          <w:p>
            <w:pPr>
              <w:spacing w:after="0"/>
              <w:rPr>
                <w:sz w:val="15"/>
                <w:szCs w:val="15"/>
                <w:color w:val="auto"/>
              </w:rPr>
            </w:pPr>
          </w:p>
        </w:tc>
      </w:tr>
      <w:tr>
        <w:trPr>
          <w:trHeight w:val="179"/>
        </w:trPr>
        <w:tc>
          <w:tcPr>
            <w:tcW w:w="2080" w:type="dxa"/>
            <w:vAlign w:val="bottom"/>
          </w:tcPr>
          <w:p>
            <w:pPr>
              <w:jc w:val="center"/>
              <w:ind w:right="882"/>
              <w:spacing w:after="0" w:line="179" w:lineRule="exact"/>
              <w:rPr>
                <w:sz w:val="20"/>
                <w:szCs w:val="20"/>
                <w:color w:val="auto"/>
              </w:rPr>
            </w:pPr>
            <w:r>
              <w:rPr>
                <w:rFonts w:ascii="Courier New" w:cs="Courier New" w:eastAsia="Courier New" w:hAnsi="Courier New"/>
                <w:sz w:val="16"/>
                <w:szCs w:val="16"/>
                <w:color w:val="auto"/>
                <w:w w:val="97"/>
              </w:rPr>
              <w:t>Schlumberger</w:t>
            </w:r>
          </w:p>
        </w:tc>
        <w:tc>
          <w:tcPr>
            <w:tcW w:w="5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CAMCO</w:t>
            </w:r>
          </w:p>
        </w:tc>
        <w:tc>
          <w:tcPr>
            <w:tcW w:w="320" w:type="dxa"/>
            <w:vAlign w:val="bottom"/>
          </w:tcPr>
          <w:p>
            <w:pPr>
              <w:spacing w:after="0"/>
              <w:rPr>
                <w:sz w:val="15"/>
                <w:szCs w:val="15"/>
                <w:color w:val="auto"/>
              </w:rPr>
            </w:pPr>
          </w:p>
        </w:tc>
      </w:tr>
    </w:tbl>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IMMEDIATE RELEASE: FRIDAY, JUNE 19, 1998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SCHLUMBERGER AND CAMCO ANNOUNCE MERGER AGREEMENT</w:t>
      </w:r>
    </w:p>
    <w:p>
      <w:pPr>
        <w:spacing w:after="0" w:line="183"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New York, June 19 -- Schlumberger [NYSE:SLB] and Camco [NYSE:CAM] today announced the signing of a definitive merger agreement by Schlumberger Technology Corporation, a wholly owned subsidiary of Schlumberger, and Camco, which was unanimously approved by the boards of directors of the companies. The combined company will offer an unmatched array of oilfield services to its customers for reservoir optimization throughout the world.</w:t>
      </w:r>
    </w:p>
    <w:p>
      <w:pPr>
        <w:spacing w:after="0" w:line="183" w:lineRule="exact"/>
        <w:rPr>
          <w:sz w:val="20"/>
          <w:szCs w:val="20"/>
          <w:color w:val="auto"/>
        </w:rPr>
      </w:pPr>
    </w:p>
    <w:p>
      <w:pPr>
        <w:ind w:right="2959"/>
        <w:spacing w:after="0" w:line="274" w:lineRule="auto"/>
        <w:rPr>
          <w:sz w:val="20"/>
          <w:szCs w:val="20"/>
          <w:color w:val="auto"/>
        </w:rPr>
      </w:pPr>
      <w:r>
        <w:rPr>
          <w:rFonts w:ascii="Courier New" w:cs="Courier New" w:eastAsia="Courier New" w:hAnsi="Courier New"/>
          <w:sz w:val="14"/>
          <w:szCs w:val="14"/>
          <w:color w:val="auto"/>
        </w:rPr>
        <w:t>Under the terms of the agreement, Camco shareholders will receive 1.18 newly issued shares of Schlumberger common stock for each outstanding share of Camco common stock. The exchange ratio is fixed and not subject to adjustment. The transaction is expected to be tax free to Camco shareholders and will be accounted for as a pooling of interests. Based on the closing price of Schlumberger yesterday at $69 15/16 and Camco's 38 million common shares outstanding, the transaction is currently valued at about $3.14 billion.</w:t>
      </w:r>
    </w:p>
    <w:p>
      <w:pPr>
        <w:spacing w:after="0" w:line="164" w:lineRule="exact"/>
        <w:rPr>
          <w:sz w:val="20"/>
          <w:szCs w:val="20"/>
          <w:color w:val="auto"/>
        </w:rPr>
      </w:pPr>
    </w:p>
    <w:p>
      <w:pPr>
        <w:ind w:right="3059"/>
        <w:spacing w:after="0" w:line="279" w:lineRule="auto"/>
        <w:rPr>
          <w:sz w:val="20"/>
          <w:szCs w:val="20"/>
          <w:color w:val="auto"/>
        </w:rPr>
      </w:pPr>
      <w:r>
        <w:rPr>
          <w:rFonts w:ascii="Courier New" w:cs="Courier New" w:eastAsia="Courier New" w:hAnsi="Courier New"/>
          <w:sz w:val="14"/>
          <w:szCs w:val="14"/>
          <w:color w:val="auto"/>
        </w:rPr>
        <w:t>Consolidated operating revenue and net income of Schlumberger and Camco would have been approximately $11.6 billion and $1.38 billion in 1997. The current combined market capitalization is approximately $37 billion. Camco will be operated as a division within the Schlumberger Oilfield Services group.</w:t>
      </w:r>
    </w:p>
    <w:p>
      <w:pPr>
        <w:spacing w:after="0" w:line="157"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Euan Baird, Chairman and Chief Executive officer of Schlumberger, said, "This combination provides an exciting opportunity to further enhance our position as the leader in the reservoir optimization business. The highly complementary activities of Camco improve our capability to respond to customers' demands for integrated solution and to engineer systems to improve the productivity of their oil and gas operations."</w:t>
      </w:r>
    </w:p>
    <w:p>
      <w:pPr>
        <w:spacing w:after="0" w:line="183" w:lineRule="exact"/>
        <w:rPr>
          <w:sz w:val="20"/>
          <w:szCs w:val="20"/>
          <w:color w:val="auto"/>
        </w:rPr>
      </w:pPr>
    </w:p>
    <w:p>
      <w:pPr>
        <w:ind w:right="2779"/>
        <w:spacing w:after="0" w:line="275" w:lineRule="auto"/>
        <w:rPr>
          <w:sz w:val="20"/>
          <w:szCs w:val="20"/>
          <w:color w:val="auto"/>
        </w:rPr>
      </w:pPr>
      <w:r>
        <w:rPr>
          <w:rFonts w:ascii="Courier New" w:cs="Courier New" w:eastAsia="Courier New" w:hAnsi="Courier New"/>
          <w:sz w:val="14"/>
          <w:szCs w:val="14"/>
          <w:color w:val="auto"/>
        </w:rPr>
        <w:t>Gilbert Tausch, Chairman and Chief Executive Officer of Camco, said, "This merger satisfies Camco's strategic plan to be able to participate in more phases of our customers' field operations. Camco will be able to add its technology of production operations to the well known technology of Schlumberger in ares of reservoir enhancement. We have practically no overlap of operations and have worked successfully with Schlumberger in many areas of the world."</w:t>
      </w:r>
    </w:p>
    <w:p>
      <w:pPr>
        <w:spacing w:after="0" w:line="162"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6"/>
          <w:szCs w:val="16"/>
          <w:color w:val="auto"/>
        </w:rPr>
        <w:t>Schlumberger and Camco have historically been the most profitable companies in their peer group. Both companies have an extensive geographic presence worldwide, exhibit an excellent cultural fit and share strengths in relationships with customers, governments and suppliers.</w:t>
      </w:r>
    </w:p>
    <w:p>
      <w:pPr>
        <w:spacing w:after="0" w:line="185" w:lineRule="exact"/>
        <w:rPr>
          <w:sz w:val="20"/>
          <w:szCs w:val="20"/>
          <w:color w:val="auto"/>
        </w:rPr>
      </w:pPr>
    </w:p>
    <w:p>
      <w:pPr>
        <w:ind w:right="3059"/>
        <w:spacing w:after="0" w:line="283" w:lineRule="auto"/>
        <w:rPr>
          <w:sz w:val="20"/>
          <w:szCs w:val="20"/>
          <w:color w:val="auto"/>
        </w:rPr>
      </w:pPr>
      <w:r>
        <w:rPr>
          <w:rFonts w:ascii="Courier New" w:cs="Courier New" w:eastAsia="Courier New" w:hAnsi="Courier New"/>
          <w:sz w:val="14"/>
          <w:szCs w:val="14"/>
          <w:color w:val="auto"/>
        </w:rPr>
        <w:t>The merger will enhance services for customers, broaden opportunities for employees, and add value for shareholders. The transaction is expected to be accretive to earnings per share in 1999, which is anticipated to be the first</w:t>
      </w:r>
    </w:p>
    <w:p>
      <w:pPr>
        <w:spacing w:after="0" w:line="327"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493" w:right="1440" w:bottom="1440" w:gutter="0" w:footer="0" w:header="0"/>
        </w:sectPr>
      </w:pPr>
    </w:p>
    <w:bookmarkStart w:id="19" w:name="page20"/>
    <w:bookmarkEnd w:id="19"/>
    <w:p>
      <w:pPr>
        <w:ind w:right="3339"/>
        <w:spacing w:after="0" w:line="283" w:lineRule="auto"/>
        <w:rPr>
          <w:sz w:val="20"/>
          <w:szCs w:val="20"/>
          <w:color w:val="auto"/>
        </w:rPr>
      </w:pPr>
      <w:r>
        <w:rPr>
          <w:rFonts w:ascii="Courier New" w:cs="Courier New" w:eastAsia="Courier New" w:hAnsi="Courier New"/>
          <w:sz w:val="14"/>
          <w:szCs w:val="14"/>
          <w:color w:val="auto"/>
        </w:rPr>
        <w:t>full year of combined operations. It is subject to the approval of Camco shareholders as well as customary regulatory approvals. The transaction is expected to close around the end of the third quarter of 1998.</w:t>
      </w:r>
    </w:p>
    <w:p>
      <w:pPr>
        <w:spacing w:after="0" w:line="155" w:lineRule="exact"/>
        <w:rPr>
          <w:sz w:val="20"/>
          <w:szCs w:val="20"/>
          <w:color w:val="auto"/>
        </w:rPr>
      </w:pPr>
    </w:p>
    <w:p>
      <w:pPr>
        <w:ind w:right="2959"/>
        <w:spacing w:after="0" w:line="295" w:lineRule="auto"/>
        <w:rPr>
          <w:sz w:val="20"/>
          <w:szCs w:val="20"/>
          <w:color w:val="auto"/>
        </w:rPr>
      </w:pPr>
      <w:r>
        <w:rPr>
          <w:rFonts w:ascii="Courier New" w:cs="Courier New" w:eastAsia="Courier New" w:hAnsi="Courier New"/>
          <w:sz w:val="14"/>
          <w:szCs w:val="14"/>
          <w:color w:val="auto"/>
        </w:rPr>
        <w:t>Schlumberger is a worldwide leader in technical services with 63,500 employees and operations in over 100 countries. In 1997, revenue was $10.65 billion.</w:t>
      </w:r>
    </w:p>
    <w:p>
      <w:pPr>
        <w:spacing w:after="0" w:line="147"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Camco International Inc. is a worldwide oilfield equipment and service company providing specialized products and services in drilling, well completion, production and well services for the oil and gas industry. Camco's trade names include Camco Coiled Tubing Services, Camco Products, Camco Wireline, Hycalog, Lasalle Engineering, Lawrence Technology, Production Operators, Reda, Reed Tool and Site Oil Tools.</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further information, contact:</w:t>
      </w:r>
    </w:p>
    <w:p>
      <w:pPr>
        <w:spacing w:after="0" w:line="236" w:lineRule="auto"/>
        <w:rPr>
          <w:sz w:val="20"/>
          <w:szCs w:val="20"/>
          <w:color w:val="auto"/>
        </w:rPr>
      </w:pPr>
      <w:r>
        <w:rPr>
          <w:rFonts w:ascii="Courier New" w:cs="Courier New" w:eastAsia="Courier New" w:hAnsi="Courier New"/>
          <w:sz w:val="16"/>
          <w:szCs w:val="16"/>
          <w:color w:val="auto"/>
        </w:rPr>
        <w:t>- --------------------------------</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Simone Crook</w:t>
      </w:r>
    </w:p>
    <w:p>
      <w:pPr>
        <w:spacing w:after="0" w:line="236" w:lineRule="auto"/>
        <w:rPr>
          <w:sz w:val="20"/>
          <w:szCs w:val="20"/>
          <w:color w:val="auto"/>
        </w:rPr>
      </w:pPr>
      <w:r>
        <w:rPr>
          <w:rFonts w:ascii="Courier New" w:cs="Courier New" w:eastAsia="Courier New" w:hAnsi="Courier New"/>
          <w:sz w:val="16"/>
          <w:szCs w:val="16"/>
          <w:color w:val="auto"/>
        </w:rPr>
        <w:t>Director Investor Relations &amp; Communications</w:t>
      </w:r>
    </w:p>
    <w:p>
      <w:pPr>
        <w:spacing w:after="0" w:line="237" w:lineRule="auto"/>
        <w:rPr>
          <w:sz w:val="20"/>
          <w:szCs w:val="20"/>
          <w:color w:val="auto"/>
        </w:rPr>
      </w:pPr>
      <w:r>
        <w:rPr>
          <w:rFonts w:ascii="Courier New" w:cs="Courier New" w:eastAsia="Courier New" w:hAnsi="Courier New"/>
          <w:sz w:val="16"/>
          <w:szCs w:val="16"/>
          <w:color w:val="auto"/>
        </w:rPr>
        <w:t>Schlumberger Limited New York</w:t>
      </w:r>
    </w:p>
    <w:p>
      <w:pPr>
        <w:spacing w:after="0" w:line="237" w:lineRule="auto"/>
        <w:rPr>
          <w:sz w:val="20"/>
          <w:szCs w:val="20"/>
          <w:color w:val="auto"/>
        </w:rPr>
      </w:pPr>
      <w:r>
        <w:rPr>
          <w:rFonts w:ascii="Courier New" w:cs="Courier New" w:eastAsia="Courier New" w:hAnsi="Courier New"/>
          <w:sz w:val="16"/>
          <w:szCs w:val="16"/>
          <w:color w:val="auto"/>
        </w:rPr>
        <w:t>Phone: (1-212) 350-9432</w:t>
      </w:r>
    </w:p>
    <w:p>
      <w:pPr>
        <w:spacing w:after="0" w:line="237" w:lineRule="auto"/>
        <w:rPr>
          <w:sz w:val="20"/>
          <w:szCs w:val="20"/>
          <w:color w:val="auto"/>
        </w:rPr>
      </w:pPr>
      <w:r>
        <w:rPr>
          <w:rFonts w:ascii="Courier New" w:cs="Courier New" w:eastAsia="Courier New" w:hAnsi="Courier New"/>
          <w:sz w:val="16"/>
          <w:szCs w:val="16"/>
          <w:color w:val="auto"/>
        </w:rPr>
        <w:t>Email: crook@new-york.sl.slb.com</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Claude Suter</w:t>
      </w:r>
    </w:p>
    <w:p>
      <w:pPr>
        <w:spacing w:after="0" w:line="236" w:lineRule="auto"/>
        <w:rPr>
          <w:sz w:val="20"/>
          <w:szCs w:val="20"/>
          <w:color w:val="auto"/>
        </w:rPr>
      </w:pPr>
      <w:r>
        <w:rPr>
          <w:rFonts w:ascii="Courier New" w:cs="Courier New" w:eastAsia="Courier New" w:hAnsi="Courier New"/>
          <w:sz w:val="16"/>
          <w:szCs w:val="16"/>
          <w:color w:val="auto"/>
        </w:rPr>
        <w:t>Investor Relations &amp; Communications</w:t>
      </w:r>
    </w:p>
    <w:p>
      <w:pPr>
        <w:spacing w:after="0" w:line="237" w:lineRule="auto"/>
        <w:rPr>
          <w:sz w:val="20"/>
          <w:szCs w:val="20"/>
          <w:color w:val="auto"/>
        </w:rPr>
      </w:pPr>
      <w:r>
        <w:rPr>
          <w:rFonts w:ascii="Courier New" w:cs="Courier New" w:eastAsia="Courier New" w:hAnsi="Courier New"/>
          <w:sz w:val="16"/>
          <w:szCs w:val="16"/>
          <w:color w:val="auto"/>
        </w:rPr>
        <w:t>Schlumberger Limited Paris</w:t>
      </w:r>
    </w:p>
    <w:p>
      <w:pPr>
        <w:spacing w:after="0" w:line="237" w:lineRule="auto"/>
        <w:rPr>
          <w:sz w:val="20"/>
          <w:szCs w:val="20"/>
          <w:color w:val="auto"/>
        </w:rPr>
      </w:pPr>
      <w:r>
        <w:rPr>
          <w:rFonts w:ascii="Courier New" w:cs="Courier New" w:eastAsia="Courier New" w:hAnsi="Courier New"/>
          <w:sz w:val="16"/>
          <w:szCs w:val="16"/>
          <w:color w:val="auto"/>
        </w:rPr>
        <w:t>Phone: (33-1) 40 62 13 30</w:t>
      </w:r>
    </w:p>
    <w:p>
      <w:pPr>
        <w:spacing w:after="0" w:line="237" w:lineRule="auto"/>
        <w:rPr>
          <w:sz w:val="20"/>
          <w:szCs w:val="20"/>
          <w:color w:val="auto"/>
        </w:rPr>
      </w:pPr>
      <w:r>
        <w:rPr>
          <w:rFonts w:ascii="Courier New" w:cs="Courier New" w:eastAsia="Courier New" w:hAnsi="Courier New"/>
          <w:sz w:val="16"/>
          <w:szCs w:val="16"/>
          <w:color w:val="auto"/>
        </w:rPr>
        <w:t>Email: suter@paris.sl.slb.com</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Bruce Longaker</w:t>
      </w:r>
    </w:p>
    <w:p>
      <w:pPr>
        <w:spacing w:after="0" w:line="236" w:lineRule="auto"/>
        <w:rPr>
          <w:sz w:val="20"/>
          <w:szCs w:val="20"/>
          <w:color w:val="auto"/>
        </w:rPr>
      </w:pPr>
      <w:r>
        <w:rPr>
          <w:rFonts w:ascii="Courier New" w:cs="Courier New" w:eastAsia="Courier New" w:hAnsi="Courier New"/>
          <w:sz w:val="16"/>
          <w:szCs w:val="16"/>
          <w:color w:val="auto"/>
        </w:rPr>
        <w:t>Vice President, Finance</w:t>
      </w:r>
    </w:p>
    <w:p>
      <w:pPr>
        <w:spacing w:after="0" w:line="237" w:lineRule="auto"/>
        <w:rPr>
          <w:sz w:val="20"/>
          <w:szCs w:val="20"/>
          <w:color w:val="auto"/>
        </w:rPr>
      </w:pPr>
      <w:r>
        <w:rPr>
          <w:rFonts w:ascii="Courier New" w:cs="Courier New" w:eastAsia="Courier New" w:hAnsi="Courier New"/>
          <w:sz w:val="16"/>
          <w:szCs w:val="16"/>
          <w:color w:val="auto"/>
        </w:rPr>
        <w:t>Camco International, Inc. - Houston</w:t>
      </w:r>
    </w:p>
    <w:p>
      <w:pPr>
        <w:spacing w:after="0" w:line="237" w:lineRule="auto"/>
        <w:rPr>
          <w:sz w:val="20"/>
          <w:szCs w:val="20"/>
          <w:color w:val="auto"/>
        </w:rPr>
      </w:pPr>
      <w:r>
        <w:rPr>
          <w:rFonts w:ascii="Courier New" w:cs="Courier New" w:eastAsia="Courier New" w:hAnsi="Courier New"/>
          <w:sz w:val="16"/>
          <w:szCs w:val="16"/>
          <w:color w:val="auto"/>
        </w:rPr>
        <w:t>Phone: (1-713) 749-5650</w:t>
      </w:r>
    </w:p>
    <w:p>
      <w:pPr>
        <w:spacing w:after="0" w:line="200" w:lineRule="exact"/>
        <w:rPr>
          <w:sz w:val="20"/>
          <w:szCs w:val="20"/>
          <w:color w:val="auto"/>
        </w:rPr>
      </w:pPr>
    </w:p>
    <w:p>
      <w:pPr>
        <w:spacing w:after="0" w:line="335"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54" w:right="1440"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81"/>
        </w:trPr>
        <w:tc>
          <w:tcPr>
            <w:tcW w:w="2080" w:type="dxa"/>
            <w:vAlign w:val="bottom"/>
          </w:tcPr>
          <w:p>
            <w:pPr>
              <w:spacing w:after="0"/>
              <w:rPr>
                <w:sz w:val="15"/>
                <w:szCs w:val="15"/>
                <w:color w:val="auto"/>
              </w:rPr>
            </w:pPr>
          </w:p>
        </w:tc>
        <w:tc>
          <w:tcPr>
            <w:tcW w:w="5040" w:type="dxa"/>
            <w:vAlign w:val="bottom"/>
          </w:tcPr>
          <w:p>
            <w:pPr>
              <w:jc w:val="right"/>
              <w:spacing w:after="0"/>
              <w:rPr>
                <w:sz w:val="20"/>
                <w:szCs w:val="20"/>
                <w:color w:val="auto"/>
              </w:rPr>
            </w:pPr>
            <w:r>
              <w:rPr>
                <w:rFonts w:ascii="Courier New" w:cs="Courier New" w:eastAsia="Courier New" w:hAnsi="Courier New"/>
                <w:sz w:val="16"/>
                <w:szCs w:val="16"/>
                <w:color w:val="auto"/>
              </w:rPr>
              <w:t>Exhibit 99</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358"/>
        </w:trPr>
        <w:tc>
          <w:tcPr>
            <w:tcW w:w="2080" w:type="dxa"/>
            <w:vAlign w:val="bottom"/>
          </w:tcPr>
          <w:p>
            <w:pPr>
              <w:spacing w:after="0"/>
              <w:rPr>
                <w:sz w:val="24"/>
                <w:szCs w:val="24"/>
                <w:color w:val="auto"/>
              </w:rPr>
            </w:pPr>
          </w:p>
        </w:tc>
        <w:tc>
          <w:tcPr>
            <w:tcW w:w="5040" w:type="dxa"/>
            <w:vAlign w:val="bottom"/>
          </w:tcPr>
          <w:p>
            <w:pPr>
              <w:jc w:val="right"/>
              <w:ind w:right="2762"/>
              <w:spacing w:after="0"/>
              <w:rPr>
                <w:sz w:val="20"/>
                <w:szCs w:val="20"/>
                <w:color w:val="auto"/>
              </w:rPr>
            </w:pPr>
            <w:r>
              <w:rPr>
                <w:rFonts w:ascii="Courier New" w:cs="Courier New" w:eastAsia="Courier New" w:hAnsi="Courier New"/>
                <w:sz w:val="16"/>
                <w:szCs w:val="16"/>
                <w:color w:val="auto"/>
              </w:rPr>
              <w:t>PRESS RELEASE</w:t>
            </w:r>
          </w:p>
        </w:tc>
        <w:tc>
          <w:tcPr>
            <w:tcW w:w="320" w:type="dxa"/>
            <w:vAlign w:val="bottom"/>
          </w:tcPr>
          <w:p>
            <w:pPr>
              <w:spacing w:after="0"/>
              <w:rPr>
                <w:sz w:val="24"/>
                <w:szCs w:val="24"/>
                <w:color w:val="auto"/>
              </w:rPr>
            </w:pPr>
          </w:p>
        </w:tc>
      </w:tr>
      <w:tr>
        <w:trPr>
          <w:trHeight w:val="179"/>
        </w:trPr>
        <w:tc>
          <w:tcPr>
            <w:tcW w:w="2080" w:type="dxa"/>
            <w:vAlign w:val="bottom"/>
          </w:tcPr>
          <w:p>
            <w:pPr>
              <w:jc w:val="center"/>
              <w:ind w:right="882"/>
              <w:spacing w:after="0" w:line="179" w:lineRule="exact"/>
              <w:rPr>
                <w:sz w:val="20"/>
                <w:szCs w:val="20"/>
                <w:color w:val="auto"/>
              </w:rPr>
            </w:pPr>
            <w:r>
              <w:rPr>
                <w:rFonts w:ascii="Courier New" w:cs="Courier New" w:eastAsia="Courier New" w:hAnsi="Courier New"/>
                <w:sz w:val="16"/>
                <w:szCs w:val="16"/>
                <w:color w:val="auto"/>
                <w:w w:val="97"/>
              </w:rPr>
              <w:t>[LOGO]</w:t>
            </w:r>
          </w:p>
        </w:tc>
        <w:tc>
          <w:tcPr>
            <w:tcW w:w="5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[LOGO]</w:t>
            </w:r>
          </w:p>
        </w:tc>
        <w:tc>
          <w:tcPr>
            <w:tcW w:w="320" w:type="dxa"/>
            <w:vAlign w:val="bottom"/>
          </w:tcPr>
          <w:p>
            <w:pPr>
              <w:spacing w:after="0"/>
              <w:rPr>
                <w:sz w:val="15"/>
                <w:szCs w:val="15"/>
                <w:color w:val="auto"/>
              </w:rPr>
            </w:pPr>
          </w:p>
        </w:tc>
      </w:tr>
      <w:tr>
        <w:trPr>
          <w:trHeight w:val="179"/>
        </w:trPr>
        <w:tc>
          <w:tcPr>
            <w:tcW w:w="2080" w:type="dxa"/>
            <w:vAlign w:val="bottom"/>
          </w:tcPr>
          <w:p>
            <w:pPr>
              <w:jc w:val="center"/>
              <w:ind w:right="882"/>
              <w:spacing w:after="0" w:line="179" w:lineRule="exact"/>
              <w:rPr>
                <w:sz w:val="20"/>
                <w:szCs w:val="20"/>
                <w:color w:val="auto"/>
              </w:rPr>
            </w:pPr>
            <w:r>
              <w:rPr>
                <w:rFonts w:ascii="Courier New" w:cs="Courier New" w:eastAsia="Courier New" w:hAnsi="Courier New"/>
                <w:sz w:val="16"/>
                <w:szCs w:val="16"/>
                <w:color w:val="auto"/>
                <w:w w:val="97"/>
              </w:rPr>
              <w:t>Schlumberger</w:t>
            </w:r>
          </w:p>
        </w:tc>
        <w:tc>
          <w:tcPr>
            <w:tcW w:w="5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CAMCO</w:t>
            </w:r>
          </w:p>
        </w:tc>
        <w:tc>
          <w:tcPr>
            <w:tcW w:w="320" w:type="dxa"/>
            <w:vAlign w:val="bottom"/>
          </w:tcPr>
          <w:p>
            <w:pPr>
              <w:spacing w:after="0"/>
              <w:rPr>
                <w:sz w:val="15"/>
                <w:szCs w:val="15"/>
                <w:color w:val="auto"/>
              </w:rPr>
            </w:pPr>
          </w:p>
        </w:tc>
      </w:tr>
    </w:tbl>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IMMEDIATE RELEASE: THURSDAY, JULY 30, 1998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SCHLUMBERGER AND CAMCO CLEAR US ANTITRUST REVIEW</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New York, July 30 -- Schlumberger Limited [NYSE:SLB] and Camco International, Inc. [NYSE:CAM] today announced that the required waiting period under the US Hart-Scott-Rodino Antitrust Improvements Act of 1976 has expired. The proposed merger between Schlumberger Technology Corporation, a wholly-owned subsidiary of Schlumberger, and Camco International, Inc., is expected to proceed without further US antitrust review.</w:t>
      </w:r>
    </w:p>
    <w:p>
      <w:pPr>
        <w:spacing w:after="0" w:line="183" w:lineRule="exact"/>
        <w:rPr>
          <w:sz w:val="20"/>
          <w:szCs w:val="20"/>
          <w:color w:val="auto"/>
        </w:rPr>
      </w:pPr>
    </w:p>
    <w:p>
      <w:pPr>
        <w:ind w:right="3159"/>
        <w:spacing w:after="0" w:line="234" w:lineRule="auto"/>
        <w:rPr>
          <w:sz w:val="20"/>
          <w:szCs w:val="20"/>
          <w:color w:val="auto"/>
        </w:rPr>
      </w:pPr>
      <w:r>
        <w:rPr>
          <w:rFonts w:ascii="Courier New" w:cs="Courier New" w:eastAsia="Courier New" w:hAnsi="Courier New"/>
          <w:sz w:val="16"/>
          <w:szCs w:val="16"/>
          <w:color w:val="auto"/>
        </w:rPr>
        <w:t>The Companies anticipate that the transaction will close on August 31, 1998, following the Camco stockholders meeting.</w:t>
      </w:r>
    </w:p>
    <w:p>
      <w:pPr>
        <w:spacing w:after="0" w:line="183" w:lineRule="exact"/>
        <w:rPr>
          <w:sz w:val="20"/>
          <w:szCs w:val="20"/>
          <w:color w:val="auto"/>
        </w:rPr>
      </w:pPr>
    </w:p>
    <w:p>
      <w:pPr>
        <w:ind w:right="2959"/>
        <w:spacing w:after="0" w:line="295" w:lineRule="auto"/>
        <w:rPr>
          <w:sz w:val="20"/>
          <w:szCs w:val="20"/>
          <w:color w:val="auto"/>
        </w:rPr>
      </w:pPr>
      <w:r>
        <w:rPr>
          <w:rFonts w:ascii="Courier New" w:cs="Courier New" w:eastAsia="Courier New" w:hAnsi="Courier New"/>
          <w:sz w:val="14"/>
          <w:szCs w:val="14"/>
          <w:color w:val="auto"/>
        </w:rPr>
        <w:t>Schlumberger is a worldwide leader in technical services with 65,000 employees and operations in over 100 countries. In 1997, revenue was $10.65 billion.</w:t>
      </w:r>
    </w:p>
    <w:p>
      <w:pPr>
        <w:spacing w:after="0" w:line="147"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Camco International, Inc. is a worldwide oilfield equipment and service company with 5500 employees. Camco provides specialized products and services in drilling, well completion, production and well services for the oil and gas industry. In 1997, revenue was $914 million.</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further information, contact:</w:t>
      </w:r>
    </w:p>
    <w:p>
      <w:pPr>
        <w:spacing w:after="0" w:line="236" w:lineRule="auto"/>
        <w:rPr>
          <w:sz w:val="20"/>
          <w:szCs w:val="20"/>
          <w:color w:val="auto"/>
        </w:rPr>
      </w:pPr>
      <w:r>
        <w:rPr>
          <w:rFonts w:ascii="Courier New" w:cs="Courier New" w:eastAsia="Courier New" w:hAnsi="Courier New"/>
          <w:sz w:val="16"/>
          <w:szCs w:val="16"/>
          <w:color w:val="auto"/>
        </w:rPr>
        <w:t>- --------------------------------</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Simone Crook</w:t>
      </w:r>
    </w:p>
    <w:p>
      <w:pPr>
        <w:spacing w:after="0" w:line="236" w:lineRule="auto"/>
        <w:rPr>
          <w:sz w:val="20"/>
          <w:szCs w:val="20"/>
          <w:color w:val="auto"/>
        </w:rPr>
      </w:pPr>
      <w:r>
        <w:rPr>
          <w:rFonts w:ascii="Courier New" w:cs="Courier New" w:eastAsia="Courier New" w:hAnsi="Courier New"/>
          <w:sz w:val="16"/>
          <w:szCs w:val="16"/>
          <w:color w:val="auto"/>
        </w:rPr>
        <w:t>Director Investor Relations &amp; Communications</w:t>
      </w:r>
    </w:p>
    <w:p>
      <w:pPr>
        <w:spacing w:after="0" w:line="237" w:lineRule="auto"/>
        <w:rPr>
          <w:sz w:val="20"/>
          <w:szCs w:val="20"/>
          <w:color w:val="auto"/>
        </w:rPr>
      </w:pPr>
      <w:r>
        <w:rPr>
          <w:rFonts w:ascii="Courier New" w:cs="Courier New" w:eastAsia="Courier New" w:hAnsi="Courier New"/>
          <w:sz w:val="16"/>
          <w:szCs w:val="16"/>
          <w:color w:val="auto"/>
        </w:rPr>
        <w:t>Schlumberger Limited New York</w:t>
      </w:r>
    </w:p>
    <w:p>
      <w:pPr>
        <w:spacing w:after="0" w:line="237" w:lineRule="auto"/>
        <w:rPr>
          <w:sz w:val="20"/>
          <w:szCs w:val="20"/>
          <w:color w:val="auto"/>
        </w:rPr>
      </w:pPr>
      <w:r>
        <w:rPr>
          <w:rFonts w:ascii="Courier New" w:cs="Courier New" w:eastAsia="Courier New" w:hAnsi="Courier New"/>
          <w:sz w:val="16"/>
          <w:szCs w:val="16"/>
          <w:color w:val="auto"/>
        </w:rPr>
        <w:t>Phone: (1-212) 350-9432</w:t>
      </w:r>
    </w:p>
    <w:p>
      <w:pPr>
        <w:spacing w:after="0" w:line="237" w:lineRule="auto"/>
        <w:rPr>
          <w:sz w:val="20"/>
          <w:szCs w:val="20"/>
          <w:color w:val="auto"/>
        </w:rPr>
      </w:pPr>
      <w:r>
        <w:rPr>
          <w:rFonts w:ascii="Courier New" w:cs="Courier New" w:eastAsia="Courier New" w:hAnsi="Courier New"/>
          <w:sz w:val="16"/>
          <w:szCs w:val="16"/>
          <w:color w:val="auto"/>
        </w:rPr>
        <w:t>Email: crook@new-york.sl.slb.com</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Bruce Longaker</w:t>
      </w:r>
    </w:p>
    <w:p>
      <w:pPr>
        <w:spacing w:after="0" w:line="236" w:lineRule="auto"/>
        <w:rPr>
          <w:sz w:val="20"/>
          <w:szCs w:val="20"/>
          <w:color w:val="auto"/>
        </w:rPr>
      </w:pPr>
      <w:r>
        <w:rPr>
          <w:rFonts w:ascii="Courier New" w:cs="Courier New" w:eastAsia="Courier New" w:hAnsi="Courier New"/>
          <w:sz w:val="16"/>
          <w:szCs w:val="16"/>
          <w:color w:val="auto"/>
        </w:rPr>
        <w:t>Vice President, Finance</w:t>
      </w:r>
    </w:p>
    <w:p>
      <w:pPr>
        <w:spacing w:after="0" w:line="237" w:lineRule="auto"/>
        <w:rPr>
          <w:sz w:val="20"/>
          <w:szCs w:val="20"/>
          <w:color w:val="auto"/>
        </w:rPr>
      </w:pPr>
      <w:r>
        <w:rPr>
          <w:rFonts w:ascii="Courier New" w:cs="Courier New" w:eastAsia="Courier New" w:hAnsi="Courier New"/>
          <w:sz w:val="16"/>
          <w:szCs w:val="16"/>
          <w:color w:val="auto"/>
        </w:rPr>
        <w:t>Camco International, Inc. - Houston</w:t>
      </w:r>
    </w:p>
    <w:p>
      <w:pPr>
        <w:spacing w:after="0" w:line="237" w:lineRule="auto"/>
        <w:rPr>
          <w:sz w:val="20"/>
          <w:szCs w:val="20"/>
          <w:color w:val="auto"/>
        </w:rPr>
      </w:pPr>
      <w:r>
        <w:rPr>
          <w:rFonts w:ascii="Courier New" w:cs="Courier New" w:eastAsia="Courier New" w:hAnsi="Courier New"/>
          <w:sz w:val="16"/>
          <w:szCs w:val="16"/>
          <w:color w:val="auto"/>
        </w:rPr>
        <w:t>Phone: (1-713) 749-5650</w:t>
      </w:r>
    </w:p>
    <w:p>
      <w:pPr>
        <w:spacing w:after="0" w:line="356"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493" w:right="1440" w:bottom="1440" w:gutter="0" w:footer="0" w:header="0"/>
        </w:sectPr>
      </w:pPr>
    </w:p>
    <w:bookmarkStart w:id="21" w:name="page22"/>
    <w:bookmarkEnd w:id="2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2" w:name="page23"/>
    <w:bookmarkEnd w:id="22"/>
    <w:p>
      <w:pPr>
        <w:ind w:left="80"/>
        <w:spacing w:after="0"/>
        <w:rPr>
          <w:sz w:val="20"/>
          <w:szCs w:val="20"/>
          <w:color w:val="auto"/>
        </w:rPr>
      </w:pPr>
      <w:r>
        <w:rPr>
          <w:rFonts w:ascii="Courier New" w:cs="Courier New" w:eastAsia="Courier New" w:hAnsi="Courier New"/>
          <w:sz w:val="16"/>
          <w:szCs w:val="16"/>
          <w:color w:val="auto"/>
        </w:rPr>
        <w:t>5</w:t>
      </w:r>
    </w:p>
    <w:p>
      <w:pPr>
        <w:spacing w:after="0" w:line="183" w:lineRule="exact"/>
        <w:rPr>
          <w:sz w:val="20"/>
          <w:szCs w:val="20"/>
          <w:color w:val="auto"/>
        </w:rPr>
      </w:pPr>
    </w:p>
    <w:p>
      <w:pPr>
        <w:ind w:left="20" w:right="3039"/>
        <w:spacing w:after="0" w:line="295" w:lineRule="auto"/>
        <w:rPr>
          <w:sz w:val="20"/>
          <w:szCs w:val="20"/>
          <w:color w:val="auto"/>
        </w:rPr>
      </w:pPr>
      <w:r>
        <w:rPr>
          <w:rFonts w:ascii="Courier New" w:cs="Courier New" w:eastAsia="Courier New" w:hAnsi="Courier New"/>
          <w:sz w:val="14"/>
          <w:szCs w:val="14"/>
          <w:color w:val="auto"/>
        </w:rPr>
        <w:t>THIS SCHEDULE CONTAINS SUMMARY FINANCIAL INFORMATION EXTRACTED FROM FORM 10-Q AND IS QUALIFIED IN ITS ENTIRETY BY REFERENCE TO SUCH FINANCIAL STATEMENTS.</w:t>
      </w:r>
    </w:p>
    <w:p>
      <w:pPr>
        <w:spacing w:after="0" w:line="14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1,000</w:t>
      </w:r>
    </w:p>
    <w:p>
      <w:pPr>
        <w:spacing w:after="0" w:line="355"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6-MOS</w:t>
      </w:r>
    </w:p>
    <w:p>
      <w:pPr>
        <w:ind w:left="2420"/>
        <w:spacing w:after="0" w:line="236" w:lineRule="auto"/>
        <w:rPr>
          <w:sz w:val="20"/>
          <w:szCs w:val="20"/>
          <w:color w:val="auto"/>
        </w:rPr>
      </w:pPr>
      <w:r>
        <w:rPr>
          <w:rFonts w:ascii="Courier New" w:cs="Courier New" w:eastAsia="Courier New" w:hAnsi="Courier New"/>
          <w:sz w:val="16"/>
          <w:szCs w:val="16"/>
          <w:color w:val="auto"/>
        </w:rPr>
        <w:t>DEC-31-1998</w:t>
      </w:r>
    </w:p>
    <w:p>
      <w:pPr>
        <w:ind w:left="2700"/>
        <w:spacing w:after="0" w:line="237" w:lineRule="auto"/>
        <w:rPr>
          <w:sz w:val="20"/>
          <w:szCs w:val="20"/>
          <w:color w:val="auto"/>
        </w:rPr>
      </w:pPr>
      <w:r>
        <w:rPr>
          <w:rFonts w:ascii="Courier New" w:cs="Courier New" w:eastAsia="Courier New" w:hAnsi="Courier New"/>
          <w:sz w:val="16"/>
          <w:szCs w:val="16"/>
          <w:color w:val="auto"/>
        </w:rPr>
        <w:t>JAN-01-1998</w:t>
      </w:r>
    </w:p>
    <w:p>
      <w:pPr>
        <w:ind w:left="2880"/>
        <w:spacing w:after="0" w:line="237" w:lineRule="auto"/>
        <w:rPr>
          <w:sz w:val="20"/>
          <w:szCs w:val="20"/>
          <w:color w:val="auto"/>
        </w:rPr>
      </w:pPr>
      <w:r>
        <w:rPr>
          <w:rFonts w:ascii="Courier New" w:cs="Courier New" w:eastAsia="Courier New" w:hAnsi="Courier New"/>
          <w:sz w:val="16"/>
          <w:szCs w:val="16"/>
          <w:color w:val="auto"/>
        </w:rPr>
        <w:t>JUN-30-1998</w:t>
      </w:r>
    </w:p>
    <w:p>
      <w:pPr>
        <w:ind w:left="3620"/>
        <w:spacing w:after="0" w:line="237" w:lineRule="auto"/>
        <w:rPr>
          <w:sz w:val="20"/>
          <w:szCs w:val="20"/>
          <w:color w:val="auto"/>
        </w:rPr>
      </w:pPr>
      <w:r>
        <w:rPr>
          <w:rFonts w:ascii="Courier New" w:cs="Courier New" w:eastAsia="Courier New" w:hAnsi="Courier New"/>
          <w:sz w:val="16"/>
          <w:szCs w:val="16"/>
          <w:color w:val="auto"/>
        </w:rPr>
        <w:t>1,781,252</w:t>
      </w:r>
    </w:p>
    <w:p>
      <w:pPr>
        <w:ind w:left="3800"/>
        <w:spacing w:after="0" w:line="237" w:lineRule="auto"/>
        <w:rPr>
          <w:sz w:val="20"/>
          <w:szCs w:val="20"/>
          <w:color w:val="auto"/>
        </w:rPr>
      </w:pPr>
      <w:r>
        <w:rPr>
          <w:rFonts w:ascii="Courier New" w:cs="Courier New" w:eastAsia="Courier New" w:hAnsi="Courier New"/>
          <w:sz w:val="16"/>
          <w:szCs w:val="16"/>
          <w:color w:val="auto"/>
        </w:rPr>
        <w:t>0</w:t>
      </w:r>
    </w:p>
    <w:p>
      <w:pPr>
        <w:ind w:left="2980"/>
        <w:spacing w:after="0" w:line="237" w:lineRule="auto"/>
        <w:rPr>
          <w:sz w:val="20"/>
          <w:szCs w:val="20"/>
          <w:color w:val="auto"/>
        </w:rPr>
      </w:pPr>
      <w:r>
        <w:rPr>
          <w:rFonts w:ascii="Courier New" w:cs="Courier New" w:eastAsia="Courier New" w:hAnsi="Courier New"/>
          <w:sz w:val="16"/>
          <w:szCs w:val="16"/>
          <w:color w:val="auto"/>
        </w:rPr>
        <w:t>3,181,996</w:t>
      </w:r>
    </w:p>
    <w:p>
      <w:pPr>
        <w:ind w:left="3160"/>
        <w:spacing w:after="0" w:line="237" w:lineRule="auto"/>
        <w:rPr>
          <w:sz w:val="20"/>
          <w:szCs w:val="20"/>
          <w:color w:val="auto"/>
        </w:rPr>
      </w:pPr>
      <w:r>
        <w:rPr>
          <w:rFonts w:ascii="Courier New" w:cs="Courier New" w:eastAsia="Courier New" w:hAnsi="Courier New"/>
          <w:sz w:val="16"/>
          <w:szCs w:val="16"/>
          <w:color w:val="auto"/>
        </w:rPr>
        <w:t>(71,237)</w:t>
      </w:r>
    </w:p>
    <w:p>
      <w:pPr>
        <w:ind w:left="3160"/>
        <w:spacing w:after="0" w:line="237" w:lineRule="auto"/>
        <w:rPr>
          <w:sz w:val="20"/>
          <w:szCs w:val="20"/>
          <w:color w:val="auto"/>
        </w:rPr>
      </w:pPr>
      <w:r>
        <w:rPr>
          <w:rFonts w:ascii="Courier New" w:cs="Courier New" w:eastAsia="Courier New" w:hAnsi="Courier New"/>
          <w:sz w:val="16"/>
          <w:szCs w:val="16"/>
          <w:color w:val="auto"/>
        </w:rPr>
        <w:t>1,224,328</w:t>
      </w:r>
    </w:p>
    <w:p>
      <w:pPr>
        <w:ind w:left="2700"/>
        <w:spacing w:after="0" w:line="236" w:lineRule="auto"/>
        <w:rPr>
          <w:sz w:val="20"/>
          <w:szCs w:val="20"/>
          <w:color w:val="auto"/>
        </w:rPr>
      </w:pPr>
      <w:r>
        <w:rPr>
          <w:rFonts w:ascii="Courier New" w:cs="Courier New" w:eastAsia="Courier New" w:hAnsi="Courier New"/>
          <w:sz w:val="16"/>
          <w:szCs w:val="16"/>
          <w:color w:val="auto"/>
        </w:rPr>
        <w:t>6,520,080</w:t>
      </w:r>
    </w:p>
    <w:p>
      <w:pPr>
        <w:ind w:left="3540"/>
        <w:spacing w:after="0" w:line="237" w:lineRule="auto"/>
        <w:rPr>
          <w:sz w:val="20"/>
          <w:szCs w:val="20"/>
          <w:color w:val="auto"/>
        </w:rPr>
      </w:pPr>
      <w:r>
        <w:rPr>
          <w:rFonts w:ascii="Courier New" w:cs="Courier New" w:eastAsia="Courier New" w:hAnsi="Courier New"/>
          <w:sz w:val="16"/>
          <w:szCs w:val="16"/>
          <w:color w:val="auto"/>
        </w:rPr>
        <w:t>10,622,855</w:t>
      </w:r>
    </w:p>
    <w:p>
      <w:pPr>
        <w:ind w:left="2700"/>
        <w:spacing w:after="0" w:line="237" w:lineRule="auto"/>
        <w:rPr>
          <w:sz w:val="20"/>
          <w:szCs w:val="20"/>
          <w:color w:val="auto"/>
        </w:rPr>
      </w:pPr>
      <w:r>
        <w:rPr>
          <w:rFonts w:ascii="Courier New" w:cs="Courier New" w:eastAsia="Courier New" w:hAnsi="Courier New"/>
          <w:sz w:val="16"/>
          <w:szCs w:val="16"/>
          <w:color w:val="auto"/>
        </w:rPr>
        <w:t>(6,614,868)</w:t>
      </w:r>
    </w:p>
    <w:p>
      <w:pPr>
        <w:ind w:left="2780"/>
        <w:spacing w:after="0" w:line="237" w:lineRule="auto"/>
        <w:rPr>
          <w:sz w:val="20"/>
          <w:szCs w:val="20"/>
          <w:color w:val="auto"/>
        </w:rPr>
      </w:pPr>
      <w:r>
        <w:rPr>
          <w:rFonts w:ascii="Courier New" w:cs="Courier New" w:eastAsia="Courier New" w:hAnsi="Courier New"/>
          <w:sz w:val="16"/>
          <w:szCs w:val="16"/>
          <w:color w:val="auto"/>
        </w:rPr>
        <w:t>12,725,491</w:t>
      </w:r>
    </w:p>
    <w:p>
      <w:pPr>
        <w:ind w:left="2220"/>
        <w:spacing w:after="0" w:line="237" w:lineRule="auto"/>
        <w:rPr>
          <w:sz w:val="20"/>
          <w:szCs w:val="20"/>
          <w:color w:val="auto"/>
        </w:rPr>
      </w:pPr>
      <w:r>
        <w:rPr>
          <w:rFonts w:ascii="Courier New" w:cs="Courier New" w:eastAsia="Courier New" w:hAnsi="Courier New"/>
          <w:sz w:val="16"/>
          <w:szCs w:val="16"/>
          <w:color w:val="auto"/>
        </w:rPr>
        <w:t>3,672,438</w:t>
      </w:r>
    </w:p>
    <w:p>
      <w:pPr>
        <w:ind w:left="4280"/>
        <w:spacing w:after="0" w:line="237" w:lineRule="auto"/>
        <w:rPr>
          <w:sz w:val="20"/>
          <w:szCs w:val="20"/>
          <w:color w:val="auto"/>
        </w:rPr>
      </w:pPr>
      <w:r>
        <w:rPr>
          <w:rFonts w:ascii="Courier New" w:cs="Courier New" w:eastAsia="Courier New" w:hAnsi="Courier New"/>
          <w:sz w:val="16"/>
          <w:szCs w:val="16"/>
          <w:color w:val="auto"/>
        </w:rPr>
        <w:t>0</w:t>
      </w:r>
    </w:p>
    <w:p>
      <w:pPr>
        <w:ind w:left="2980"/>
        <w:spacing w:after="0" w:line="237" w:lineRule="auto"/>
        <w:rPr>
          <w:sz w:val="20"/>
          <w:szCs w:val="20"/>
          <w:color w:val="auto"/>
        </w:rPr>
      </w:pPr>
      <w:r>
        <w:rPr>
          <w:rFonts w:ascii="Courier New" w:cs="Courier New" w:eastAsia="Courier New" w:hAnsi="Courier New"/>
          <w:sz w:val="16"/>
          <w:szCs w:val="16"/>
          <w:color w:val="auto"/>
        </w:rPr>
        <w:t>0</w:t>
      </w:r>
    </w:p>
    <w:p>
      <w:pPr>
        <w:ind w:left="3900"/>
        <w:spacing w:after="0" w:line="237" w:lineRule="auto"/>
        <w:rPr>
          <w:sz w:val="20"/>
          <w:szCs w:val="20"/>
          <w:color w:val="auto"/>
        </w:rPr>
      </w:pPr>
      <w:r>
        <w:rPr>
          <w:rFonts w:ascii="Courier New" w:cs="Courier New" w:eastAsia="Courier New" w:hAnsi="Courier New"/>
          <w:sz w:val="16"/>
          <w:szCs w:val="16"/>
          <w:color w:val="auto"/>
        </w:rPr>
        <w:t>0</w:t>
      </w:r>
    </w:p>
    <w:p>
      <w:pPr>
        <w:ind w:left="3620"/>
        <w:spacing w:after="0" w:line="236" w:lineRule="auto"/>
        <w:rPr>
          <w:sz w:val="20"/>
          <w:szCs w:val="20"/>
          <w:color w:val="auto"/>
        </w:rPr>
      </w:pPr>
      <w:r>
        <w:rPr>
          <w:rFonts w:ascii="Courier New" w:cs="Courier New" w:eastAsia="Courier New" w:hAnsi="Courier New"/>
          <w:sz w:val="16"/>
          <w:szCs w:val="16"/>
          <w:color w:val="auto"/>
        </w:rPr>
        <w:t>941,221</w:t>
      </w:r>
    </w:p>
    <w:p>
      <w:pPr>
        <w:ind w:left="3260"/>
        <w:spacing w:after="0" w:line="237" w:lineRule="auto"/>
        <w:rPr>
          <w:sz w:val="20"/>
          <w:szCs w:val="20"/>
          <w:color w:val="auto"/>
        </w:rPr>
      </w:pPr>
      <w:r>
        <w:rPr>
          <w:rFonts w:ascii="Courier New" w:cs="Courier New" w:eastAsia="Courier New" w:hAnsi="Courier New"/>
          <w:sz w:val="16"/>
          <w:szCs w:val="16"/>
          <w:color w:val="auto"/>
        </w:rPr>
        <w:t>6,304,827</w:t>
      </w:r>
    </w:p>
    <w:p>
      <w:pPr>
        <w:ind w:left="1480"/>
        <w:spacing w:after="0" w:line="237" w:lineRule="auto"/>
        <w:rPr>
          <w:sz w:val="20"/>
          <w:szCs w:val="20"/>
          <w:color w:val="auto"/>
        </w:rPr>
      </w:pPr>
      <w:r>
        <w:rPr>
          <w:rFonts w:ascii="Courier New" w:cs="Courier New" w:eastAsia="Courier New" w:hAnsi="Courier New"/>
          <w:sz w:val="16"/>
          <w:szCs w:val="16"/>
          <w:color w:val="auto"/>
        </w:rPr>
        <w:t>12,725,491</w:t>
      </w:r>
    </w:p>
    <w:p>
      <w:pPr>
        <w:ind w:left="3540"/>
        <w:spacing w:after="0" w:line="237" w:lineRule="auto"/>
        <w:rPr>
          <w:sz w:val="20"/>
          <w:szCs w:val="20"/>
          <w:color w:val="auto"/>
        </w:rPr>
      </w:pPr>
      <w:r>
        <w:rPr>
          <w:rFonts w:ascii="Courier New" w:cs="Courier New" w:eastAsia="Courier New" w:hAnsi="Courier New"/>
          <w:sz w:val="16"/>
          <w:szCs w:val="16"/>
          <w:color w:val="auto"/>
        </w:rPr>
        <w:t>1,357,873</w:t>
      </w:r>
    </w:p>
    <w:p>
      <w:pPr>
        <w:ind w:left="2700"/>
        <w:spacing w:after="0" w:line="237" w:lineRule="auto"/>
        <w:rPr>
          <w:sz w:val="20"/>
          <w:szCs w:val="20"/>
          <w:color w:val="auto"/>
        </w:rPr>
      </w:pPr>
      <w:r>
        <w:rPr>
          <w:rFonts w:ascii="Courier New" w:cs="Courier New" w:eastAsia="Courier New" w:hAnsi="Courier New"/>
          <w:sz w:val="16"/>
          <w:szCs w:val="16"/>
          <w:color w:val="auto"/>
        </w:rPr>
        <w:t>5,723,414</w:t>
      </w:r>
    </w:p>
    <w:p>
      <w:pPr>
        <w:ind w:left="3900"/>
        <w:spacing w:after="0" w:line="237" w:lineRule="auto"/>
        <w:rPr>
          <w:sz w:val="20"/>
          <w:szCs w:val="20"/>
          <w:color w:val="auto"/>
        </w:rPr>
      </w:pPr>
      <w:r>
        <w:rPr>
          <w:rFonts w:ascii="Courier New" w:cs="Courier New" w:eastAsia="Courier New" w:hAnsi="Courier New"/>
          <w:sz w:val="16"/>
          <w:szCs w:val="16"/>
          <w:color w:val="auto"/>
        </w:rPr>
        <w:t>901,962</w:t>
      </w:r>
    </w:p>
    <w:p>
      <w:pPr>
        <w:ind w:left="2980"/>
        <w:spacing w:after="0" w:line="237" w:lineRule="auto"/>
        <w:rPr>
          <w:sz w:val="20"/>
          <w:szCs w:val="20"/>
          <w:color w:val="auto"/>
        </w:rPr>
      </w:pPr>
      <w:r>
        <w:rPr>
          <w:rFonts w:ascii="Courier New" w:cs="Courier New" w:eastAsia="Courier New" w:hAnsi="Courier New"/>
          <w:sz w:val="16"/>
          <w:szCs w:val="16"/>
          <w:color w:val="auto"/>
        </w:rPr>
        <w:t>4,116,154</w:t>
      </w:r>
    </w:p>
    <w:p>
      <w:pPr>
        <w:ind w:left="2880"/>
        <w:spacing w:after="0" w:line="237" w:lineRule="auto"/>
        <w:rPr>
          <w:sz w:val="20"/>
          <w:szCs w:val="20"/>
          <w:color w:val="auto"/>
        </w:rPr>
      </w:pPr>
      <w:r>
        <w:rPr>
          <w:rFonts w:ascii="Courier New" w:cs="Courier New" w:eastAsia="Courier New" w:hAnsi="Courier New"/>
          <w:sz w:val="16"/>
          <w:szCs w:val="16"/>
          <w:color w:val="auto"/>
        </w:rPr>
        <w:t>645,334</w:t>
      </w:r>
    </w:p>
    <w:p>
      <w:pPr>
        <w:ind w:left="2980"/>
        <w:spacing w:after="0" w:line="236" w:lineRule="auto"/>
        <w:rPr>
          <w:sz w:val="20"/>
          <w:szCs w:val="20"/>
          <w:color w:val="auto"/>
        </w:rPr>
      </w:pPr>
      <w:r>
        <w:rPr>
          <w:rFonts w:ascii="Courier New" w:cs="Courier New" w:eastAsia="Courier New" w:hAnsi="Courier New"/>
          <w:sz w:val="16"/>
          <w:szCs w:val="16"/>
          <w:color w:val="auto"/>
        </w:rPr>
        <w:t>16,943</w:t>
      </w:r>
    </w:p>
    <w:p>
      <w:pPr>
        <w:ind w:left="2780"/>
        <w:spacing w:after="0" w:line="237" w:lineRule="auto"/>
        <w:rPr>
          <w:sz w:val="20"/>
          <w:szCs w:val="20"/>
          <w:color w:val="auto"/>
        </w:rPr>
      </w:pPr>
      <w:r>
        <w:rPr>
          <w:rFonts w:ascii="Courier New" w:cs="Courier New" w:eastAsia="Courier New" w:hAnsi="Courier New"/>
          <w:sz w:val="16"/>
          <w:szCs w:val="16"/>
          <w:color w:val="auto"/>
        </w:rPr>
        <w:t>45,844</w:t>
      </w:r>
    </w:p>
    <w:p>
      <w:pPr>
        <w:ind w:left="2980"/>
        <w:spacing w:after="0" w:line="237" w:lineRule="auto"/>
        <w:rPr>
          <w:sz w:val="20"/>
          <w:szCs w:val="20"/>
          <w:color w:val="auto"/>
        </w:rPr>
      </w:pPr>
      <w:r>
        <w:rPr>
          <w:rFonts w:ascii="Courier New" w:cs="Courier New" w:eastAsia="Courier New" w:hAnsi="Courier New"/>
          <w:sz w:val="16"/>
          <w:szCs w:val="16"/>
          <w:color w:val="auto"/>
        </w:rPr>
        <w:t>916,082</w:t>
      </w:r>
    </w:p>
    <w:p>
      <w:pPr>
        <w:ind w:left="3260"/>
        <w:spacing w:after="0" w:line="237" w:lineRule="auto"/>
        <w:rPr>
          <w:sz w:val="20"/>
          <w:szCs w:val="20"/>
          <w:color w:val="auto"/>
        </w:rPr>
      </w:pPr>
      <w:r>
        <w:rPr>
          <w:rFonts w:ascii="Courier New" w:cs="Courier New" w:eastAsia="Courier New" w:hAnsi="Courier New"/>
          <w:sz w:val="16"/>
          <w:szCs w:val="16"/>
          <w:color w:val="auto"/>
        </w:rPr>
        <w:t>205,995</w:t>
      </w:r>
    </w:p>
    <w:p>
      <w:pPr>
        <w:ind w:left="2600"/>
        <w:spacing w:after="0" w:line="237" w:lineRule="auto"/>
        <w:rPr>
          <w:sz w:val="20"/>
          <w:szCs w:val="20"/>
          <w:color w:val="auto"/>
        </w:rPr>
      </w:pPr>
      <w:r>
        <w:rPr>
          <w:rFonts w:ascii="Courier New" w:cs="Courier New" w:eastAsia="Courier New" w:hAnsi="Courier New"/>
          <w:sz w:val="16"/>
          <w:szCs w:val="16"/>
          <w:color w:val="auto"/>
        </w:rPr>
        <w:t>710,087</w:t>
      </w:r>
    </w:p>
    <w:p>
      <w:pPr>
        <w:ind w:left="3620"/>
        <w:spacing w:after="0" w:line="237" w:lineRule="auto"/>
        <w:rPr>
          <w:sz w:val="20"/>
          <w:szCs w:val="20"/>
          <w:color w:val="auto"/>
        </w:rPr>
      </w:pPr>
      <w:r>
        <w:rPr>
          <w:rFonts w:ascii="Courier New" w:cs="Courier New" w:eastAsia="Courier New" w:hAnsi="Courier New"/>
          <w:sz w:val="16"/>
          <w:szCs w:val="16"/>
          <w:color w:val="auto"/>
        </w:rPr>
        <w:t>0</w:t>
      </w:r>
    </w:p>
    <w:p>
      <w:pPr>
        <w:ind w:left="3540"/>
        <w:spacing w:after="0" w:line="237" w:lineRule="auto"/>
        <w:rPr>
          <w:sz w:val="20"/>
          <w:szCs w:val="20"/>
          <w:color w:val="auto"/>
        </w:rPr>
      </w:pPr>
      <w:r>
        <w:rPr>
          <w:rFonts w:ascii="Courier New" w:cs="Courier New" w:eastAsia="Courier New" w:hAnsi="Courier New"/>
          <w:sz w:val="16"/>
          <w:szCs w:val="16"/>
          <w:color w:val="auto"/>
        </w:rPr>
        <w:t>0</w:t>
      </w:r>
    </w:p>
    <w:p>
      <w:pPr>
        <w:ind w:left="4080"/>
        <w:spacing w:after="0" w:line="237" w:lineRule="auto"/>
        <w:rPr>
          <w:sz w:val="20"/>
          <w:szCs w:val="20"/>
          <w:color w:val="auto"/>
        </w:rPr>
      </w:pPr>
      <w:r>
        <w:rPr>
          <w:rFonts w:ascii="Courier New" w:cs="Courier New" w:eastAsia="Courier New" w:hAnsi="Courier New"/>
          <w:sz w:val="16"/>
          <w:szCs w:val="16"/>
          <w:color w:val="auto"/>
        </w:rPr>
        <w:t>0</w:t>
      </w:r>
    </w:p>
    <w:p>
      <w:pPr>
        <w:ind w:left="3260"/>
        <w:spacing w:after="0" w:line="236" w:lineRule="auto"/>
        <w:rPr>
          <w:sz w:val="20"/>
          <w:szCs w:val="20"/>
          <w:color w:val="auto"/>
        </w:rPr>
      </w:pPr>
      <w:r>
        <w:rPr>
          <w:rFonts w:ascii="Courier New" w:cs="Courier New" w:eastAsia="Courier New" w:hAnsi="Courier New"/>
          <w:sz w:val="16"/>
          <w:szCs w:val="16"/>
          <w:color w:val="auto"/>
        </w:rPr>
        <w:t>710,087</w:t>
      </w:r>
    </w:p>
    <w:p>
      <w:pPr>
        <w:ind w:left="3440"/>
        <w:spacing w:after="0" w:line="237" w:lineRule="auto"/>
        <w:rPr>
          <w:sz w:val="20"/>
          <w:szCs w:val="20"/>
          <w:color w:val="auto"/>
        </w:rPr>
      </w:pPr>
      <w:r>
        <w:rPr>
          <w:rFonts w:ascii="Courier New" w:cs="Courier New" w:eastAsia="Courier New" w:hAnsi="Courier New"/>
          <w:sz w:val="16"/>
          <w:szCs w:val="16"/>
          <w:color w:val="auto"/>
        </w:rPr>
        <w:t>1.42</w:t>
      </w:r>
    </w:p>
    <w:p>
      <w:pPr>
        <w:ind w:left="3440"/>
        <w:spacing w:after="0" w:line="237" w:lineRule="auto"/>
        <w:rPr>
          <w:sz w:val="20"/>
          <w:szCs w:val="20"/>
          <w:color w:val="auto"/>
        </w:rPr>
      </w:pPr>
      <w:r>
        <w:rPr>
          <w:rFonts w:ascii="Courier New" w:cs="Courier New" w:eastAsia="Courier New" w:hAnsi="Courier New"/>
          <w:sz w:val="16"/>
          <w:szCs w:val="16"/>
          <w:color w:val="auto"/>
        </w:rPr>
        <w:t>1.37</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required by SFAS 128</w:t>
      </w:r>
    </w:p>
    <w:p>
      <w:pPr>
        <w:sectPr>
          <w:pgSz w:w="11900" w:h="16838" w:orient="portrait"/>
          <w:cols w:equalWidth="0" w:num="1">
            <w:col w:w="10219"/>
          </w:cols>
          <w:pgMar w:left="240" w:top="135" w:right="1440" w:bottom="1440" w:gutter="0" w:footer="0" w:header="0"/>
        </w:sectPr>
      </w:pPr>
    </w:p>
    <w:bookmarkStart w:id="23" w:name="page24"/>
    <w:bookmarkEnd w:id="2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4" w:name="page25"/>
    <w:bookmarkEnd w:id="24"/>
    <w:p>
      <w:pPr>
        <w:ind w:left="80"/>
        <w:spacing w:after="0"/>
        <w:rPr>
          <w:sz w:val="20"/>
          <w:szCs w:val="20"/>
          <w:color w:val="auto"/>
        </w:rPr>
      </w:pPr>
      <w:r>
        <w:rPr>
          <w:rFonts w:ascii="Courier New" w:cs="Courier New" w:eastAsia="Courier New" w:hAnsi="Courier New"/>
          <w:sz w:val="16"/>
          <w:szCs w:val="16"/>
          <w:color w:val="auto"/>
        </w:rPr>
        <w:t>5</w:t>
      </w:r>
    </w:p>
    <w:p>
      <w:pPr>
        <w:spacing w:after="0" w:line="183" w:lineRule="exact"/>
        <w:rPr>
          <w:sz w:val="20"/>
          <w:szCs w:val="20"/>
          <w:color w:val="auto"/>
        </w:rPr>
      </w:pPr>
    </w:p>
    <w:p>
      <w:pPr>
        <w:ind w:left="20" w:right="3039"/>
        <w:spacing w:after="0" w:line="295" w:lineRule="auto"/>
        <w:rPr>
          <w:sz w:val="20"/>
          <w:szCs w:val="20"/>
          <w:color w:val="auto"/>
        </w:rPr>
      </w:pPr>
      <w:r>
        <w:rPr>
          <w:rFonts w:ascii="Courier New" w:cs="Courier New" w:eastAsia="Courier New" w:hAnsi="Courier New"/>
          <w:sz w:val="14"/>
          <w:szCs w:val="14"/>
          <w:color w:val="auto"/>
        </w:rPr>
        <w:t>THIS SCHEDULE CONTAINS SUMMARY FINANCIAL INFORMATION EXTRACTED FROM FORM 10-Q AND IS QUALIFIED IN ITS ENTIRETY BY REFERENCE TO SUCH FINANCIAL STATEMENTS.</w:t>
      </w:r>
    </w:p>
    <w:p>
      <w:pPr>
        <w:spacing w:after="0" w:line="320"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1,000</w:t>
      </w:r>
    </w:p>
    <w:p>
      <w:pPr>
        <w:spacing w:after="0" w:line="355"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6-MOS</w:t>
      </w:r>
    </w:p>
    <w:p>
      <w:pPr>
        <w:ind w:left="2420"/>
        <w:spacing w:after="0" w:line="236" w:lineRule="auto"/>
        <w:rPr>
          <w:sz w:val="20"/>
          <w:szCs w:val="20"/>
          <w:color w:val="auto"/>
        </w:rPr>
      </w:pPr>
      <w:r>
        <w:rPr>
          <w:rFonts w:ascii="Courier New" w:cs="Courier New" w:eastAsia="Courier New" w:hAnsi="Courier New"/>
          <w:sz w:val="16"/>
          <w:szCs w:val="16"/>
          <w:color w:val="auto"/>
        </w:rPr>
        <w:t>DEC-31-1997</w:t>
      </w:r>
    </w:p>
    <w:p>
      <w:pPr>
        <w:ind w:left="2700"/>
        <w:spacing w:after="0" w:line="237" w:lineRule="auto"/>
        <w:rPr>
          <w:sz w:val="20"/>
          <w:szCs w:val="20"/>
          <w:color w:val="auto"/>
        </w:rPr>
      </w:pPr>
      <w:r>
        <w:rPr>
          <w:rFonts w:ascii="Courier New" w:cs="Courier New" w:eastAsia="Courier New" w:hAnsi="Courier New"/>
          <w:sz w:val="16"/>
          <w:szCs w:val="16"/>
          <w:color w:val="auto"/>
        </w:rPr>
        <w:t>JAN-01-1997</w:t>
      </w:r>
    </w:p>
    <w:p>
      <w:pPr>
        <w:ind w:left="2880"/>
        <w:spacing w:after="0" w:line="237" w:lineRule="auto"/>
        <w:rPr>
          <w:sz w:val="20"/>
          <w:szCs w:val="20"/>
          <w:color w:val="auto"/>
        </w:rPr>
      </w:pPr>
      <w:r>
        <w:rPr>
          <w:rFonts w:ascii="Courier New" w:cs="Courier New" w:eastAsia="Courier New" w:hAnsi="Courier New"/>
          <w:sz w:val="16"/>
          <w:szCs w:val="16"/>
          <w:color w:val="auto"/>
        </w:rPr>
        <w:t>JUN-30-1997</w:t>
      </w:r>
    </w:p>
    <w:p>
      <w:pPr>
        <w:ind w:left="3620"/>
        <w:spacing w:after="0" w:line="237" w:lineRule="auto"/>
        <w:rPr>
          <w:sz w:val="20"/>
          <w:szCs w:val="20"/>
          <w:color w:val="auto"/>
        </w:rPr>
      </w:pPr>
      <w:r>
        <w:rPr>
          <w:rFonts w:ascii="Courier New" w:cs="Courier New" w:eastAsia="Courier New" w:hAnsi="Courier New"/>
          <w:sz w:val="16"/>
          <w:szCs w:val="16"/>
          <w:color w:val="auto"/>
        </w:rPr>
        <w:t>1,442,165</w:t>
      </w:r>
    </w:p>
    <w:p>
      <w:pPr>
        <w:ind w:left="3800"/>
        <w:spacing w:after="0" w:line="237" w:lineRule="auto"/>
        <w:rPr>
          <w:sz w:val="20"/>
          <w:szCs w:val="20"/>
          <w:color w:val="auto"/>
        </w:rPr>
      </w:pPr>
      <w:r>
        <w:rPr>
          <w:rFonts w:ascii="Courier New" w:cs="Courier New" w:eastAsia="Courier New" w:hAnsi="Courier New"/>
          <w:sz w:val="16"/>
          <w:szCs w:val="16"/>
          <w:color w:val="auto"/>
        </w:rPr>
        <w:t>0</w:t>
      </w:r>
    </w:p>
    <w:p>
      <w:pPr>
        <w:ind w:left="2980"/>
        <w:spacing w:after="0" w:line="237" w:lineRule="auto"/>
        <w:rPr>
          <w:sz w:val="20"/>
          <w:szCs w:val="20"/>
          <w:color w:val="auto"/>
        </w:rPr>
      </w:pPr>
      <w:r>
        <w:rPr>
          <w:rFonts w:ascii="Courier New" w:cs="Courier New" w:eastAsia="Courier New" w:hAnsi="Courier New"/>
          <w:sz w:val="16"/>
          <w:szCs w:val="16"/>
          <w:color w:val="auto"/>
        </w:rPr>
        <w:t>2,625,676</w:t>
      </w:r>
    </w:p>
    <w:p>
      <w:pPr>
        <w:ind w:left="3160"/>
        <w:spacing w:after="0" w:line="237" w:lineRule="auto"/>
        <w:rPr>
          <w:sz w:val="20"/>
          <w:szCs w:val="20"/>
          <w:color w:val="auto"/>
        </w:rPr>
      </w:pPr>
      <w:r>
        <w:rPr>
          <w:rFonts w:ascii="Courier New" w:cs="Courier New" w:eastAsia="Courier New" w:hAnsi="Courier New"/>
          <w:sz w:val="16"/>
          <w:szCs w:val="16"/>
          <w:color w:val="auto"/>
        </w:rPr>
        <w:t>(57,608)</w:t>
      </w:r>
    </w:p>
    <w:p>
      <w:pPr>
        <w:ind w:left="3160"/>
        <w:spacing w:after="0" w:line="237" w:lineRule="auto"/>
        <w:rPr>
          <w:sz w:val="20"/>
          <w:szCs w:val="20"/>
          <w:color w:val="auto"/>
        </w:rPr>
      </w:pPr>
      <w:r>
        <w:rPr>
          <w:rFonts w:ascii="Courier New" w:cs="Courier New" w:eastAsia="Courier New" w:hAnsi="Courier New"/>
          <w:sz w:val="16"/>
          <w:szCs w:val="16"/>
          <w:color w:val="auto"/>
        </w:rPr>
        <w:t>1,053,522</w:t>
      </w:r>
    </w:p>
    <w:p>
      <w:pPr>
        <w:ind w:left="2700"/>
        <w:spacing w:after="0" w:line="236" w:lineRule="auto"/>
        <w:rPr>
          <w:sz w:val="20"/>
          <w:szCs w:val="20"/>
          <w:color w:val="auto"/>
        </w:rPr>
      </w:pPr>
      <w:r>
        <w:rPr>
          <w:rFonts w:ascii="Courier New" w:cs="Courier New" w:eastAsia="Courier New" w:hAnsi="Courier New"/>
          <w:sz w:val="16"/>
          <w:szCs w:val="16"/>
          <w:color w:val="auto"/>
        </w:rPr>
        <w:t>5,492,470</w:t>
      </w:r>
    </w:p>
    <w:p>
      <w:pPr>
        <w:ind w:left="3620"/>
        <w:spacing w:after="0" w:line="237" w:lineRule="auto"/>
        <w:rPr>
          <w:sz w:val="20"/>
          <w:szCs w:val="20"/>
          <w:color w:val="auto"/>
        </w:rPr>
      </w:pPr>
      <w:r>
        <w:rPr>
          <w:rFonts w:ascii="Courier New" w:cs="Courier New" w:eastAsia="Courier New" w:hAnsi="Courier New"/>
          <w:sz w:val="16"/>
          <w:szCs w:val="16"/>
          <w:color w:val="auto"/>
        </w:rPr>
        <w:t>9,798,712</w:t>
      </w:r>
    </w:p>
    <w:p>
      <w:pPr>
        <w:ind w:left="2700"/>
        <w:spacing w:after="0" w:line="237" w:lineRule="auto"/>
        <w:rPr>
          <w:sz w:val="20"/>
          <w:szCs w:val="20"/>
          <w:color w:val="auto"/>
        </w:rPr>
      </w:pPr>
      <w:r>
        <w:rPr>
          <w:rFonts w:ascii="Courier New" w:cs="Courier New" w:eastAsia="Courier New" w:hAnsi="Courier New"/>
          <w:sz w:val="16"/>
          <w:szCs w:val="16"/>
          <w:color w:val="auto"/>
        </w:rPr>
        <w:t>(6,357,615)</w:t>
      </w:r>
    </w:p>
    <w:p>
      <w:pPr>
        <w:ind w:left="2780"/>
        <w:spacing w:after="0" w:line="237" w:lineRule="auto"/>
        <w:rPr>
          <w:sz w:val="20"/>
          <w:szCs w:val="20"/>
          <w:color w:val="auto"/>
        </w:rPr>
      </w:pPr>
      <w:r>
        <w:rPr>
          <w:rFonts w:ascii="Courier New" w:cs="Courier New" w:eastAsia="Courier New" w:hAnsi="Courier New"/>
          <w:sz w:val="16"/>
          <w:szCs w:val="16"/>
          <w:color w:val="auto"/>
        </w:rPr>
        <w:t>10,800,745</w:t>
      </w:r>
    </w:p>
    <w:p>
      <w:pPr>
        <w:ind w:left="2220"/>
        <w:spacing w:after="0" w:line="237" w:lineRule="auto"/>
        <w:rPr>
          <w:sz w:val="20"/>
          <w:szCs w:val="20"/>
          <w:color w:val="auto"/>
        </w:rPr>
      </w:pPr>
      <w:r>
        <w:rPr>
          <w:rFonts w:ascii="Courier New" w:cs="Courier New" w:eastAsia="Courier New" w:hAnsi="Courier New"/>
          <w:sz w:val="16"/>
          <w:szCs w:val="16"/>
          <w:color w:val="auto"/>
        </w:rPr>
        <w:t>3,470,163</w:t>
      </w:r>
    </w:p>
    <w:p>
      <w:pPr>
        <w:ind w:left="4280"/>
        <w:spacing w:after="0" w:line="237" w:lineRule="auto"/>
        <w:rPr>
          <w:sz w:val="20"/>
          <w:szCs w:val="20"/>
          <w:color w:val="auto"/>
        </w:rPr>
      </w:pPr>
      <w:r>
        <w:rPr>
          <w:rFonts w:ascii="Courier New" w:cs="Courier New" w:eastAsia="Courier New" w:hAnsi="Courier New"/>
          <w:sz w:val="16"/>
          <w:szCs w:val="16"/>
          <w:color w:val="auto"/>
        </w:rPr>
        <w:t>0</w:t>
      </w:r>
    </w:p>
    <w:p>
      <w:pPr>
        <w:ind w:left="2980"/>
        <w:spacing w:after="0" w:line="237" w:lineRule="auto"/>
        <w:rPr>
          <w:sz w:val="20"/>
          <w:szCs w:val="20"/>
          <w:color w:val="auto"/>
        </w:rPr>
      </w:pPr>
      <w:r>
        <w:rPr>
          <w:rFonts w:ascii="Courier New" w:cs="Courier New" w:eastAsia="Courier New" w:hAnsi="Courier New"/>
          <w:sz w:val="16"/>
          <w:szCs w:val="16"/>
          <w:color w:val="auto"/>
        </w:rPr>
        <w:t>0</w:t>
      </w:r>
    </w:p>
    <w:p>
      <w:pPr>
        <w:ind w:left="3900"/>
        <w:spacing w:after="0" w:line="237" w:lineRule="auto"/>
        <w:rPr>
          <w:sz w:val="20"/>
          <w:szCs w:val="20"/>
          <w:color w:val="auto"/>
        </w:rPr>
      </w:pPr>
      <w:r>
        <w:rPr>
          <w:rFonts w:ascii="Courier New" w:cs="Courier New" w:eastAsia="Courier New" w:hAnsi="Courier New"/>
          <w:sz w:val="16"/>
          <w:szCs w:val="16"/>
          <w:color w:val="auto"/>
        </w:rPr>
        <w:t>0</w:t>
      </w:r>
    </w:p>
    <w:p>
      <w:pPr>
        <w:ind w:left="3620"/>
        <w:spacing w:after="0" w:line="236" w:lineRule="auto"/>
        <w:rPr>
          <w:sz w:val="20"/>
          <w:szCs w:val="20"/>
          <w:color w:val="auto"/>
        </w:rPr>
      </w:pPr>
      <w:r>
        <w:rPr>
          <w:rFonts w:ascii="Courier New" w:cs="Courier New" w:eastAsia="Courier New" w:hAnsi="Courier New"/>
          <w:sz w:val="16"/>
          <w:szCs w:val="16"/>
          <w:color w:val="auto"/>
        </w:rPr>
        <w:t>829,743</w:t>
      </w:r>
    </w:p>
    <w:p>
      <w:pPr>
        <w:ind w:left="3260"/>
        <w:spacing w:after="0" w:line="237" w:lineRule="auto"/>
        <w:rPr>
          <w:sz w:val="20"/>
          <w:szCs w:val="20"/>
          <w:color w:val="auto"/>
        </w:rPr>
      </w:pPr>
      <w:r>
        <w:rPr>
          <w:rFonts w:ascii="Courier New" w:cs="Courier New" w:eastAsia="Courier New" w:hAnsi="Courier New"/>
          <w:sz w:val="16"/>
          <w:szCs w:val="16"/>
          <w:color w:val="auto"/>
        </w:rPr>
        <w:t>5,187,473</w:t>
      </w:r>
    </w:p>
    <w:p>
      <w:pPr>
        <w:ind w:left="1480"/>
        <w:spacing w:after="0" w:line="237" w:lineRule="auto"/>
        <w:rPr>
          <w:sz w:val="20"/>
          <w:szCs w:val="20"/>
          <w:color w:val="auto"/>
        </w:rPr>
      </w:pPr>
      <w:r>
        <w:rPr>
          <w:rFonts w:ascii="Courier New" w:cs="Courier New" w:eastAsia="Courier New" w:hAnsi="Courier New"/>
          <w:sz w:val="16"/>
          <w:szCs w:val="16"/>
          <w:color w:val="auto"/>
        </w:rPr>
        <w:t>10,800,745</w:t>
      </w:r>
    </w:p>
    <w:p>
      <w:pPr>
        <w:ind w:left="3540"/>
        <w:spacing w:after="0" w:line="237" w:lineRule="auto"/>
        <w:rPr>
          <w:sz w:val="20"/>
          <w:szCs w:val="20"/>
          <w:color w:val="auto"/>
        </w:rPr>
      </w:pPr>
      <w:r>
        <w:rPr>
          <w:rFonts w:ascii="Courier New" w:cs="Courier New" w:eastAsia="Courier New" w:hAnsi="Courier New"/>
          <w:sz w:val="16"/>
          <w:szCs w:val="16"/>
          <w:color w:val="auto"/>
        </w:rPr>
        <w:t>1,284,372</w:t>
      </w:r>
    </w:p>
    <w:p>
      <w:pPr>
        <w:ind w:left="2700"/>
        <w:spacing w:after="0" w:line="237" w:lineRule="auto"/>
        <w:rPr>
          <w:sz w:val="20"/>
          <w:szCs w:val="20"/>
          <w:color w:val="auto"/>
        </w:rPr>
      </w:pPr>
      <w:r>
        <w:rPr>
          <w:rFonts w:ascii="Courier New" w:cs="Courier New" w:eastAsia="Courier New" w:hAnsi="Courier New"/>
          <w:sz w:val="16"/>
          <w:szCs w:val="16"/>
          <w:color w:val="auto"/>
        </w:rPr>
        <w:t>5,042,582</w:t>
      </w:r>
    </w:p>
    <w:p>
      <w:pPr>
        <w:ind w:left="3900"/>
        <w:spacing w:after="0" w:line="237" w:lineRule="auto"/>
        <w:rPr>
          <w:sz w:val="20"/>
          <w:szCs w:val="20"/>
          <w:color w:val="auto"/>
        </w:rPr>
      </w:pPr>
      <w:r>
        <w:rPr>
          <w:rFonts w:ascii="Courier New" w:cs="Courier New" w:eastAsia="Courier New" w:hAnsi="Courier New"/>
          <w:sz w:val="16"/>
          <w:szCs w:val="16"/>
          <w:color w:val="auto"/>
        </w:rPr>
        <w:t>855,241</w:t>
      </w:r>
    </w:p>
    <w:p>
      <w:pPr>
        <w:ind w:left="2980"/>
        <w:spacing w:after="0" w:line="237" w:lineRule="auto"/>
        <w:rPr>
          <w:sz w:val="20"/>
          <w:szCs w:val="20"/>
          <w:color w:val="auto"/>
        </w:rPr>
      </w:pPr>
      <w:r>
        <w:rPr>
          <w:rFonts w:ascii="Courier New" w:cs="Courier New" w:eastAsia="Courier New" w:hAnsi="Courier New"/>
          <w:sz w:val="16"/>
          <w:szCs w:val="16"/>
          <w:color w:val="auto"/>
        </w:rPr>
        <w:t>3,712,112</w:t>
      </w:r>
    </w:p>
    <w:p>
      <w:pPr>
        <w:ind w:left="2880"/>
        <w:spacing w:after="0" w:line="237" w:lineRule="auto"/>
        <w:rPr>
          <w:sz w:val="20"/>
          <w:szCs w:val="20"/>
          <w:color w:val="auto"/>
        </w:rPr>
      </w:pPr>
      <w:r>
        <w:rPr>
          <w:rFonts w:ascii="Courier New" w:cs="Courier New" w:eastAsia="Courier New" w:hAnsi="Courier New"/>
          <w:sz w:val="16"/>
          <w:szCs w:val="16"/>
          <w:color w:val="auto"/>
        </w:rPr>
        <w:t>569,577</w:t>
      </w:r>
    </w:p>
    <w:p>
      <w:pPr>
        <w:ind w:left="3060"/>
        <w:spacing w:after="0" w:line="236" w:lineRule="auto"/>
        <w:rPr>
          <w:sz w:val="20"/>
          <w:szCs w:val="20"/>
          <w:color w:val="auto"/>
        </w:rPr>
      </w:pPr>
      <w:r>
        <w:rPr>
          <w:rFonts w:ascii="Courier New" w:cs="Courier New" w:eastAsia="Courier New" w:hAnsi="Courier New"/>
          <w:sz w:val="16"/>
          <w:szCs w:val="16"/>
          <w:color w:val="auto"/>
        </w:rPr>
        <w:t>6,041</w:t>
      </w:r>
    </w:p>
    <w:p>
      <w:pPr>
        <w:ind w:left="2780"/>
        <w:spacing w:after="0" w:line="237" w:lineRule="auto"/>
        <w:rPr>
          <w:sz w:val="20"/>
          <w:szCs w:val="20"/>
          <w:color w:val="auto"/>
        </w:rPr>
      </w:pPr>
      <w:r>
        <w:rPr>
          <w:rFonts w:ascii="Courier New" w:cs="Courier New" w:eastAsia="Courier New" w:hAnsi="Courier New"/>
          <w:sz w:val="16"/>
          <w:szCs w:val="16"/>
          <w:color w:val="auto"/>
        </w:rPr>
        <w:t>37,136</w:t>
      </w:r>
    </w:p>
    <w:p>
      <w:pPr>
        <w:ind w:left="2980"/>
        <w:spacing w:after="0" w:line="237" w:lineRule="auto"/>
        <w:rPr>
          <w:sz w:val="20"/>
          <w:szCs w:val="20"/>
          <w:color w:val="auto"/>
        </w:rPr>
      </w:pPr>
      <w:r>
        <w:rPr>
          <w:rFonts w:ascii="Courier New" w:cs="Courier New" w:eastAsia="Courier New" w:hAnsi="Courier New"/>
          <w:sz w:val="16"/>
          <w:szCs w:val="16"/>
          <w:color w:val="auto"/>
        </w:rPr>
        <w:t>723,757</w:t>
      </w:r>
    </w:p>
    <w:p>
      <w:pPr>
        <w:ind w:left="3260"/>
        <w:spacing w:after="0" w:line="237" w:lineRule="auto"/>
        <w:rPr>
          <w:sz w:val="20"/>
          <w:szCs w:val="20"/>
          <w:color w:val="auto"/>
        </w:rPr>
      </w:pPr>
      <w:r>
        <w:rPr>
          <w:rFonts w:ascii="Courier New" w:cs="Courier New" w:eastAsia="Courier New" w:hAnsi="Courier New"/>
          <w:sz w:val="16"/>
          <w:szCs w:val="16"/>
          <w:color w:val="auto"/>
        </w:rPr>
        <w:t>157,308</w:t>
      </w:r>
    </w:p>
    <w:p>
      <w:pPr>
        <w:ind w:left="2600"/>
        <w:spacing w:after="0" w:line="237" w:lineRule="auto"/>
        <w:rPr>
          <w:sz w:val="20"/>
          <w:szCs w:val="20"/>
          <w:color w:val="auto"/>
        </w:rPr>
      </w:pPr>
      <w:r>
        <w:rPr>
          <w:rFonts w:ascii="Courier New" w:cs="Courier New" w:eastAsia="Courier New" w:hAnsi="Courier New"/>
          <w:sz w:val="16"/>
          <w:szCs w:val="16"/>
          <w:color w:val="auto"/>
        </w:rPr>
        <w:t>566,449</w:t>
      </w:r>
    </w:p>
    <w:p>
      <w:pPr>
        <w:ind w:left="3620"/>
        <w:spacing w:after="0" w:line="237" w:lineRule="auto"/>
        <w:rPr>
          <w:sz w:val="20"/>
          <w:szCs w:val="20"/>
          <w:color w:val="auto"/>
        </w:rPr>
      </w:pPr>
      <w:r>
        <w:rPr>
          <w:rFonts w:ascii="Courier New" w:cs="Courier New" w:eastAsia="Courier New" w:hAnsi="Courier New"/>
          <w:sz w:val="16"/>
          <w:szCs w:val="16"/>
          <w:color w:val="auto"/>
        </w:rPr>
        <w:t>0</w:t>
      </w:r>
    </w:p>
    <w:p>
      <w:pPr>
        <w:ind w:left="3540"/>
        <w:spacing w:after="0" w:line="237" w:lineRule="auto"/>
        <w:rPr>
          <w:sz w:val="20"/>
          <w:szCs w:val="20"/>
          <w:color w:val="auto"/>
        </w:rPr>
      </w:pPr>
      <w:r>
        <w:rPr>
          <w:rFonts w:ascii="Courier New" w:cs="Courier New" w:eastAsia="Courier New" w:hAnsi="Courier New"/>
          <w:sz w:val="16"/>
          <w:szCs w:val="16"/>
          <w:color w:val="auto"/>
        </w:rPr>
        <w:t>0</w:t>
      </w:r>
    </w:p>
    <w:p>
      <w:pPr>
        <w:ind w:left="4080"/>
        <w:spacing w:after="0" w:line="237" w:lineRule="auto"/>
        <w:rPr>
          <w:sz w:val="20"/>
          <w:szCs w:val="20"/>
          <w:color w:val="auto"/>
        </w:rPr>
      </w:pPr>
      <w:r>
        <w:rPr>
          <w:rFonts w:ascii="Courier New" w:cs="Courier New" w:eastAsia="Courier New" w:hAnsi="Courier New"/>
          <w:sz w:val="16"/>
          <w:szCs w:val="16"/>
          <w:color w:val="auto"/>
        </w:rPr>
        <w:t>0</w:t>
      </w:r>
    </w:p>
    <w:p>
      <w:pPr>
        <w:ind w:left="3260"/>
        <w:spacing w:after="0" w:line="236" w:lineRule="auto"/>
        <w:rPr>
          <w:sz w:val="20"/>
          <w:szCs w:val="20"/>
          <w:color w:val="auto"/>
        </w:rPr>
      </w:pPr>
      <w:r>
        <w:rPr>
          <w:rFonts w:ascii="Courier New" w:cs="Courier New" w:eastAsia="Courier New" w:hAnsi="Courier New"/>
          <w:sz w:val="16"/>
          <w:szCs w:val="16"/>
          <w:color w:val="auto"/>
        </w:rPr>
        <w:t>566,449</w:t>
      </w:r>
    </w:p>
    <w:p>
      <w:pPr>
        <w:ind w:left="3440"/>
        <w:spacing w:after="0" w:line="237" w:lineRule="auto"/>
        <w:rPr>
          <w:sz w:val="20"/>
          <w:szCs w:val="20"/>
          <w:color w:val="auto"/>
        </w:rPr>
      </w:pPr>
      <w:r>
        <w:rPr>
          <w:rFonts w:ascii="Courier New" w:cs="Courier New" w:eastAsia="Courier New" w:hAnsi="Courier New"/>
          <w:sz w:val="16"/>
          <w:szCs w:val="16"/>
          <w:color w:val="auto"/>
        </w:rPr>
        <w:t>1.15</w:t>
      </w:r>
    </w:p>
    <w:p>
      <w:pPr>
        <w:ind w:left="3440"/>
        <w:spacing w:after="0" w:line="237" w:lineRule="auto"/>
        <w:rPr>
          <w:sz w:val="20"/>
          <w:szCs w:val="20"/>
          <w:color w:val="auto"/>
        </w:rPr>
      </w:pPr>
      <w:r>
        <w:rPr>
          <w:rFonts w:ascii="Courier New" w:cs="Courier New" w:eastAsia="Courier New" w:hAnsi="Courier New"/>
          <w:sz w:val="16"/>
          <w:szCs w:val="16"/>
          <w:color w:val="auto"/>
        </w:rPr>
        <w:t>1.11</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Adjusted for two-for-one stock split on June 2, 1997.</w:t>
      </w:r>
    </w:p>
    <w:p>
      <w:pPr>
        <w:spacing w:after="0" w:line="236" w:lineRule="auto"/>
        <w:rPr>
          <w:sz w:val="20"/>
          <w:szCs w:val="20"/>
          <w:color w:val="auto"/>
        </w:rPr>
      </w:pPr>
      <w:r>
        <w:rPr>
          <w:rFonts w:ascii="Courier New" w:cs="Courier New" w:eastAsia="Courier New" w:hAnsi="Courier New"/>
          <w:sz w:val="16"/>
          <w:szCs w:val="16"/>
          <w:color w:val="auto"/>
        </w:rPr>
        <w:t>As required by SFAS 128.</w:t>
      </w:r>
    </w:p>
    <w:p>
      <w:pPr>
        <w:sectPr>
          <w:pgSz w:w="11900" w:h="16838" w:orient="portrait"/>
          <w:cols w:equalWidth="0" w:num="1">
            <w:col w:w="10219"/>
          </w:cols>
          <w:pgMar w:left="240" w:top="135" w:right="1440" w:bottom="1440" w:gutter="0" w:footer="0" w:header="0"/>
        </w:sectPr>
      </w:pPr>
    </w:p>
    <w:bookmarkStart w:id="25" w:name="page26"/>
    <w:bookmarkEnd w:id="25"/>
    <w:p>
      <w:pPr>
        <w:spacing w:after="0" w:line="236" w:lineRule="auto"/>
        <w:rPr>
          <w:sz w:val="20"/>
          <w:szCs w:val="20"/>
          <w:color w:val="auto"/>
        </w:rPr>
      </w:pPr>
    </w:p>
    <w:p>
      <w:pPr>
        <w:sectPr>
          <w:pgSz w:w="11900" w:h="16838" w:orient="portrait"/>
          <w:cols w:equalWidth="1" w:num="1" w:space="0"/>
          <w:pgMar w:left="1440" w:top="1440" w:right="1440" w:bottom="875" w:gutter="0" w:footer="0" w:header="0"/>
        </w:sectPr>
      </w:pPr>
    </w:p>
    <w:bookmarkStart w:id="26" w:name="page27"/>
    <w:bookmarkEnd w:id="26"/>
    <w:p>
      <w:pPr>
        <w:ind w:left="80"/>
        <w:spacing w:after="0"/>
        <w:rPr>
          <w:sz w:val="20"/>
          <w:szCs w:val="20"/>
          <w:color w:val="auto"/>
        </w:rPr>
      </w:pPr>
      <w:r>
        <w:rPr>
          <w:rFonts w:ascii="Courier New" w:cs="Courier New" w:eastAsia="Courier New" w:hAnsi="Courier New"/>
          <w:sz w:val="16"/>
          <w:szCs w:val="16"/>
          <w:color w:val="auto"/>
        </w:rPr>
        <w:t>5</w:t>
      </w:r>
    </w:p>
    <w:p>
      <w:pPr>
        <w:spacing w:after="0" w:line="183" w:lineRule="exact"/>
        <w:rPr>
          <w:sz w:val="20"/>
          <w:szCs w:val="20"/>
          <w:color w:val="auto"/>
        </w:rPr>
      </w:pPr>
    </w:p>
    <w:p>
      <w:pPr>
        <w:ind w:left="20" w:right="3039"/>
        <w:spacing w:after="0" w:line="295" w:lineRule="auto"/>
        <w:rPr>
          <w:sz w:val="20"/>
          <w:szCs w:val="20"/>
          <w:color w:val="auto"/>
        </w:rPr>
      </w:pPr>
      <w:r>
        <w:rPr>
          <w:rFonts w:ascii="Courier New" w:cs="Courier New" w:eastAsia="Courier New" w:hAnsi="Courier New"/>
          <w:sz w:val="14"/>
          <w:szCs w:val="14"/>
          <w:color w:val="auto"/>
        </w:rPr>
        <w:t>THIS SCHEDULE CONTAINS SUMMARY FINANCIAL INFORMATION EXTRACTED FROM FORM 10-Q AND IS QUALIFIED IN ITS ENTIRETY BY REFERENCE TO SUCH FINANCIAL STATEMENTS.</w:t>
      </w:r>
    </w:p>
    <w:p>
      <w:pPr>
        <w:spacing w:after="0" w:line="320"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1,000</w:t>
      </w:r>
    </w:p>
    <w:p>
      <w:pPr>
        <w:spacing w:after="0" w:line="355"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3-MOS</w:t>
      </w:r>
    </w:p>
    <w:p>
      <w:pPr>
        <w:ind w:left="2420"/>
        <w:spacing w:after="0" w:line="236" w:lineRule="auto"/>
        <w:rPr>
          <w:sz w:val="20"/>
          <w:szCs w:val="20"/>
          <w:color w:val="auto"/>
        </w:rPr>
      </w:pPr>
      <w:r>
        <w:rPr>
          <w:rFonts w:ascii="Courier New" w:cs="Courier New" w:eastAsia="Courier New" w:hAnsi="Courier New"/>
          <w:sz w:val="16"/>
          <w:szCs w:val="16"/>
          <w:color w:val="auto"/>
        </w:rPr>
        <w:t>DEC-31-1997</w:t>
      </w:r>
    </w:p>
    <w:p>
      <w:pPr>
        <w:ind w:left="2700"/>
        <w:spacing w:after="0" w:line="237" w:lineRule="auto"/>
        <w:rPr>
          <w:sz w:val="20"/>
          <w:szCs w:val="20"/>
          <w:color w:val="auto"/>
        </w:rPr>
      </w:pPr>
      <w:r>
        <w:rPr>
          <w:rFonts w:ascii="Courier New" w:cs="Courier New" w:eastAsia="Courier New" w:hAnsi="Courier New"/>
          <w:sz w:val="16"/>
          <w:szCs w:val="16"/>
          <w:color w:val="auto"/>
        </w:rPr>
        <w:t>JAN-01-1997</w:t>
      </w:r>
    </w:p>
    <w:p>
      <w:pPr>
        <w:ind w:left="2880"/>
        <w:spacing w:after="0" w:line="237" w:lineRule="auto"/>
        <w:rPr>
          <w:sz w:val="20"/>
          <w:szCs w:val="20"/>
          <w:color w:val="auto"/>
        </w:rPr>
      </w:pPr>
      <w:r>
        <w:rPr>
          <w:rFonts w:ascii="Courier New" w:cs="Courier New" w:eastAsia="Courier New" w:hAnsi="Courier New"/>
          <w:sz w:val="16"/>
          <w:szCs w:val="16"/>
          <w:color w:val="auto"/>
        </w:rPr>
        <w:t>MAR-31-1997</w:t>
      </w:r>
    </w:p>
    <w:p>
      <w:pPr>
        <w:ind w:left="3620"/>
        <w:spacing w:after="0" w:line="237" w:lineRule="auto"/>
        <w:rPr>
          <w:sz w:val="20"/>
          <w:szCs w:val="20"/>
          <w:color w:val="auto"/>
        </w:rPr>
      </w:pPr>
      <w:r>
        <w:rPr>
          <w:rFonts w:ascii="Courier New" w:cs="Courier New" w:eastAsia="Courier New" w:hAnsi="Courier New"/>
          <w:sz w:val="16"/>
          <w:szCs w:val="16"/>
          <w:color w:val="auto"/>
        </w:rPr>
        <w:t>1,201,625</w:t>
      </w:r>
    </w:p>
    <w:p>
      <w:pPr>
        <w:ind w:left="3800"/>
        <w:spacing w:after="0" w:line="237" w:lineRule="auto"/>
        <w:rPr>
          <w:sz w:val="20"/>
          <w:szCs w:val="20"/>
          <w:color w:val="auto"/>
        </w:rPr>
      </w:pPr>
      <w:r>
        <w:rPr>
          <w:rFonts w:ascii="Courier New" w:cs="Courier New" w:eastAsia="Courier New" w:hAnsi="Courier New"/>
          <w:sz w:val="16"/>
          <w:szCs w:val="16"/>
          <w:color w:val="auto"/>
        </w:rPr>
        <w:t>0</w:t>
      </w:r>
    </w:p>
    <w:p>
      <w:pPr>
        <w:ind w:left="2980"/>
        <w:spacing w:after="0" w:line="237" w:lineRule="auto"/>
        <w:rPr>
          <w:sz w:val="20"/>
          <w:szCs w:val="20"/>
          <w:color w:val="auto"/>
        </w:rPr>
      </w:pPr>
      <w:r>
        <w:rPr>
          <w:rFonts w:ascii="Courier New" w:cs="Courier New" w:eastAsia="Courier New" w:hAnsi="Courier New"/>
          <w:sz w:val="16"/>
          <w:szCs w:val="16"/>
          <w:color w:val="auto"/>
        </w:rPr>
        <w:t>2,436,943</w:t>
      </w:r>
    </w:p>
    <w:p>
      <w:pPr>
        <w:ind w:left="3160"/>
        <w:spacing w:after="0" w:line="237" w:lineRule="auto"/>
        <w:rPr>
          <w:sz w:val="20"/>
          <w:szCs w:val="20"/>
          <w:color w:val="auto"/>
        </w:rPr>
      </w:pPr>
      <w:r>
        <w:rPr>
          <w:rFonts w:ascii="Courier New" w:cs="Courier New" w:eastAsia="Courier New" w:hAnsi="Courier New"/>
          <w:sz w:val="16"/>
          <w:szCs w:val="16"/>
          <w:color w:val="auto"/>
        </w:rPr>
        <w:t>(52,826)</w:t>
      </w:r>
    </w:p>
    <w:p>
      <w:pPr>
        <w:ind w:left="3340"/>
        <w:spacing w:after="0" w:line="237" w:lineRule="auto"/>
        <w:rPr>
          <w:sz w:val="20"/>
          <w:szCs w:val="20"/>
          <w:color w:val="auto"/>
        </w:rPr>
      </w:pPr>
      <w:r>
        <w:rPr>
          <w:rFonts w:ascii="Courier New" w:cs="Courier New" w:eastAsia="Courier New" w:hAnsi="Courier New"/>
          <w:sz w:val="16"/>
          <w:szCs w:val="16"/>
          <w:color w:val="auto"/>
        </w:rPr>
        <w:t>983,609</w:t>
      </w:r>
    </w:p>
    <w:p>
      <w:pPr>
        <w:ind w:left="2700"/>
        <w:spacing w:after="0" w:line="236" w:lineRule="auto"/>
        <w:rPr>
          <w:sz w:val="20"/>
          <w:szCs w:val="20"/>
          <w:color w:val="auto"/>
        </w:rPr>
      </w:pPr>
      <w:r>
        <w:rPr>
          <w:rFonts w:ascii="Courier New" w:cs="Courier New" w:eastAsia="Courier New" w:hAnsi="Courier New"/>
          <w:sz w:val="16"/>
          <w:szCs w:val="16"/>
          <w:color w:val="auto"/>
        </w:rPr>
        <w:t>5,043,502</w:t>
      </w:r>
    </w:p>
    <w:p>
      <w:pPr>
        <w:ind w:left="3620"/>
        <w:spacing w:after="0" w:line="237" w:lineRule="auto"/>
        <w:rPr>
          <w:sz w:val="20"/>
          <w:szCs w:val="20"/>
          <w:color w:val="auto"/>
        </w:rPr>
      </w:pPr>
      <w:r>
        <w:rPr>
          <w:rFonts w:ascii="Courier New" w:cs="Courier New" w:eastAsia="Courier New" w:hAnsi="Courier New"/>
          <w:sz w:val="16"/>
          <w:szCs w:val="16"/>
          <w:color w:val="auto"/>
        </w:rPr>
        <w:t>9,667,875</w:t>
      </w:r>
    </w:p>
    <w:p>
      <w:pPr>
        <w:ind w:left="2700"/>
        <w:spacing w:after="0" w:line="237" w:lineRule="auto"/>
        <w:rPr>
          <w:sz w:val="20"/>
          <w:szCs w:val="20"/>
          <w:color w:val="auto"/>
        </w:rPr>
      </w:pPr>
      <w:r>
        <w:rPr>
          <w:rFonts w:ascii="Courier New" w:cs="Courier New" w:eastAsia="Courier New" w:hAnsi="Courier New"/>
          <w:sz w:val="16"/>
          <w:szCs w:val="16"/>
          <w:color w:val="auto"/>
        </w:rPr>
        <w:t>(6,307,034)</w:t>
      </w:r>
    </w:p>
    <w:p>
      <w:pPr>
        <w:ind w:left="2780"/>
        <w:spacing w:after="0" w:line="237" w:lineRule="auto"/>
        <w:rPr>
          <w:sz w:val="20"/>
          <w:szCs w:val="20"/>
          <w:color w:val="auto"/>
        </w:rPr>
      </w:pPr>
      <w:r>
        <w:rPr>
          <w:rFonts w:ascii="Courier New" w:cs="Courier New" w:eastAsia="Courier New" w:hAnsi="Courier New"/>
          <w:sz w:val="16"/>
          <w:szCs w:val="16"/>
          <w:color w:val="auto"/>
        </w:rPr>
        <w:t>10,338,466</w:t>
      </w:r>
    </w:p>
    <w:p>
      <w:pPr>
        <w:ind w:left="2220"/>
        <w:spacing w:after="0" w:line="237" w:lineRule="auto"/>
        <w:rPr>
          <w:sz w:val="20"/>
          <w:szCs w:val="20"/>
          <w:color w:val="auto"/>
        </w:rPr>
      </w:pPr>
      <w:r>
        <w:rPr>
          <w:rFonts w:ascii="Courier New" w:cs="Courier New" w:eastAsia="Courier New" w:hAnsi="Courier New"/>
          <w:sz w:val="16"/>
          <w:szCs w:val="16"/>
          <w:color w:val="auto"/>
        </w:rPr>
        <w:t>3,317,681</w:t>
      </w:r>
    </w:p>
    <w:p>
      <w:pPr>
        <w:ind w:left="4280"/>
        <w:spacing w:after="0" w:line="237" w:lineRule="auto"/>
        <w:rPr>
          <w:sz w:val="20"/>
          <w:szCs w:val="20"/>
          <w:color w:val="auto"/>
        </w:rPr>
      </w:pPr>
      <w:r>
        <w:rPr>
          <w:rFonts w:ascii="Courier New" w:cs="Courier New" w:eastAsia="Courier New" w:hAnsi="Courier New"/>
          <w:sz w:val="16"/>
          <w:szCs w:val="16"/>
          <w:color w:val="auto"/>
        </w:rPr>
        <w:t>0</w:t>
      </w:r>
    </w:p>
    <w:p>
      <w:pPr>
        <w:ind w:left="2980"/>
        <w:spacing w:after="0" w:line="237" w:lineRule="auto"/>
        <w:rPr>
          <w:sz w:val="20"/>
          <w:szCs w:val="20"/>
          <w:color w:val="auto"/>
        </w:rPr>
      </w:pPr>
      <w:r>
        <w:rPr>
          <w:rFonts w:ascii="Courier New" w:cs="Courier New" w:eastAsia="Courier New" w:hAnsi="Courier New"/>
          <w:sz w:val="16"/>
          <w:szCs w:val="16"/>
          <w:color w:val="auto"/>
        </w:rPr>
        <w:t>0</w:t>
      </w:r>
    </w:p>
    <w:p>
      <w:pPr>
        <w:ind w:left="3900"/>
        <w:spacing w:after="0" w:line="237" w:lineRule="auto"/>
        <w:rPr>
          <w:sz w:val="20"/>
          <w:szCs w:val="20"/>
          <w:color w:val="auto"/>
        </w:rPr>
      </w:pPr>
      <w:r>
        <w:rPr>
          <w:rFonts w:ascii="Courier New" w:cs="Courier New" w:eastAsia="Courier New" w:hAnsi="Courier New"/>
          <w:sz w:val="16"/>
          <w:szCs w:val="16"/>
          <w:color w:val="auto"/>
        </w:rPr>
        <w:t>0</w:t>
      </w:r>
    </w:p>
    <w:p>
      <w:pPr>
        <w:ind w:left="3620"/>
        <w:spacing w:after="0" w:line="236" w:lineRule="auto"/>
        <w:rPr>
          <w:sz w:val="20"/>
          <w:szCs w:val="20"/>
          <w:color w:val="auto"/>
        </w:rPr>
      </w:pPr>
      <w:r>
        <w:rPr>
          <w:rFonts w:ascii="Courier New" w:cs="Courier New" w:eastAsia="Courier New" w:hAnsi="Courier New"/>
          <w:sz w:val="16"/>
          <w:szCs w:val="16"/>
          <w:color w:val="auto"/>
        </w:rPr>
        <w:t>824,285</w:t>
      </w:r>
    </w:p>
    <w:p>
      <w:pPr>
        <w:ind w:left="3260"/>
        <w:spacing w:after="0" w:line="237" w:lineRule="auto"/>
        <w:rPr>
          <w:sz w:val="20"/>
          <w:szCs w:val="20"/>
          <w:color w:val="auto"/>
        </w:rPr>
      </w:pPr>
      <w:r>
        <w:rPr>
          <w:rFonts w:ascii="Courier New" w:cs="Courier New" w:eastAsia="Courier New" w:hAnsi="Courier New"/>
          <w:sz w:val="16"/>
          <w:szCs w:val="16"/>
          <w:color w:val="auto"/>
        </w:rPr>
        <w:t>4,972,643</w:t>
      </w:r>
    </w:p>
    <w:p>
      <w:pPr>
        <w:ind w:left="1480"/>
        <w:spacing w:after="0" w:line="237" w:lineRule="auto"/>
        <w:rPr>
          <w:sz w:val="20"/>
          <w:szCs w:val="20"/>
          <w:color w:val="auto"/>
        </w:rPr>
      </w:pPr>
      <w:r>
        <w:rPr>
          <w:rFonts w:ascii="Courier New" w:cs="Courier New" w:eastAsia="Courier New" w:hAnsi="Courier New"/>
          <w:sz w:val="16"/>
          <w:szCs w:val="16"/>
          <w:color w:val="auto"/>
        </w:rPr>
        <w:t>10,338,466</w:t>
      </w:r>
    </w:p>
    <w:p>
      <w:pPr>
        <w:ind w:left="3720"/>
        <w:spacing w:after="0" w:line="237" w:lineRule="auto"/>
        <w:rPr>
          <w:sz w:val="20"/>
          <w:szCs w:val="20"/>
          <w:color w:val="auto"/>
        </w:rPr>
      </w:pPr>
      <w:r>
        <w:rPr>
          <w:rFonts w:ascii="Courier New" w:cs="Courier New" w:eastAsia="Courier New" w:hAnsi="Courier New"/>
          <w:sz w:val="16"/>
          <w:szCs w:val="16"/>
          <w:color w:val="auto"/>
        </w:rPr>
        <w:t>590,148</w:t>
      </w:r>
    </w:p>
    <w:p>
      <w:pPr>
        <w:ind w:left="2700"/>
        <w:spacing w:after="0" w:line="237" w:lineRule="auto"/>
        <w:rPr>
          <w:sz w:val="20"/>
          <w:szCs w:val="20"/>
          <w:color w:val="auto"/>
        </w:rPr>
      </w:pPr>
      <w:r>
        <w:rPr>
          <w:rFonts w:ascii="Courier New" w:cs="Courier New" w:eastAsia="Courier New" w:hAnsi="Courier New"/>
          <w:sz w:val="16"/>
          <w:szCs w:val="16"/>
          <w:color w:val="auto"/>
        </w:rPr>
        <w:t>2,420,165</w:t>
      </w:r>
    </w:p>
    <w:p>
      <w:pPr>
        <w:ind w:left="3900"/>
        <w:spacing w:after="0" w:line="237" w:lineRule="auto"/>
        <w:rPr>
          <w:sz w:val="20"/>
          <w:szCs w:val="20"/>
          <w:color w:val="auto"/>
        </w:rPr>
      </w:pPr>
      <w:r>
        <w:rPr>
          <w:rFonts w:ascii="Courier New" w:cs="Courier New" w:eastAsia="Courier New" w:hAnsi="Courier New"/>
          <w:sz w:val="16"/>
          <w:szCs w:val="16"/>
          <w:color w:val="auto"/>
        </w:rPr>
        <w:t>392,967</w:t>
      </w:r>
    </w:p>
    <w:p>
      <w:pPr>
        <w:ind w:left="2980"/>
        <w:spacing w:after="0" w:line="237" w:lineRule="auto"/>
        <w:rPr>
          <w:sz w:val="20"/>
          <w:szCs w:val="20"/>
          <w:color w:val="auto"/>
        </w:rPr>
      </w:pPr>
      <w:r>
        <w:rPr>
          <w:rFonts w:ascii="Courier New" w:cs="Courier New" w:eastAsia="Courier New" w:hAnsi="Courier New"/>
          <w:sz w:val="16"/>
          <w:szCs w:val="16"/>
          <w:color w:val="auto"/>
        </w:rPr>
        <w:t>1,782,788</w:t>
      </w:r>
    </w:p>
    <w:p>
      <w:pPr>
        <w:ind w:left="2880"/>
        <w:spacing w:after="0" w:line="237" w:lineRule="auto"/>
        <w:rPr>
          <w:sz w:val="20"/>
          <w:szCs w:val="20"/>
          <w:color w:val="auto"/>
        </w:rPr>
      </w:pPr>
      <w:r>
        <w:rPr>
          <w:rFonts w:ascii="Courier New" w:cs="Courier New" w:eastAsia="Courier New" w:hAnsi="Courier New"/>
          <w:sz w:val="16"/>
          <w:szCs w:val="16"/>
          <w:color w:val="auto"/>
        </w:rPr>
        <w:t>280,367</w:t>
      </w:r>
    </w:p>
    <w:p>
      <w:pPr>
        <w:ind w:left="3060"/>
        <w:spacing w:after="0" w:line="236" w:lineRule="auto"/>
        <w:rPr>
          <w:sz w:val="20"/>
          <w:szCs w:val="20"/>
          <w:color w:val="auto"/>
        </w:rPr>
      </w:pPr>
      <w:r>
        <w:rPr>
          <w:rFonts w:ascii="Courier New" w:cs="Courier New" w:eastAsia="Courier New" w:hAnsi="Courier New"/>
          <w:sz w:val="16"/>
          <w:szCs w:val="16"/>
          <w:color w:val="auto"/>
        </w:rPr>
        <w:t>1,496</w:t>
      </w:r>
    </w:p>
    <w:p>
      <w:pPr>
        <w:ind w:left="2780"/>
        <w:spacing w:after="0" w:line="237" w:lineRule="auto"/>
        <w:rPr>
          <w:sz w:val="20"/>
          <w:szCs w:val="20"/>
          <w:color w:val="auto"/>
        </w:rPr>
      </w:pPr>
      <w:r>
        <w:rPr>
          <w:rFonts w:ascii="Courier New" w:cs="Courier New" w:eastAsia="Courier New" w:hAnsi="Courier New"/>
          <w:sz w:val="16"/>
          <w:szCs w:val="16"/>
          <w:color w:val="auto"/>
        </w:rPr>
        <w:t>17,819</w:t>
      </w:r>
    </w:p>
    <w:p>
      <w:pPr>
        <w:ind w:left="2980"/>
        <w:spacing w:after="0" w:line="237" w:lineRule="auto"/>
        <w:rPr>
          <w:sz w:val="20"/>
          <w:szCs w:val="20"/>
          <w:color w:val="auto"/>
        </w:rPr>
      </w:pPr>
      <w:r>
        <w:rPr>
          <w:rFonts w:ascii="Courier New" w:cs="Courier New" w:eastAsia="Courier New" w:hAnsi="Courier New"/>
          <w:sz w:val="16"/>
          <w:szCs w:val="16"/>
          <w:color w:val="auto"/>
        </w:rPr>
        <w:t>339,191</w:t>
      </w:r>
    </w:p>
    <w:p>
      <w:pPr>
        <w:ind w:left="3340"/>
        <w:spacing w:after="0" w:line="237" w:lineRule="auto"/>
        <w:rPr>
          <w:sz w:val="20"/>
          <w:szCs w:val="20"/>
          <w:color w:val="auto"/>
        </w:rPr>
      </w:pPr>
      <w:r>
        <w:rPr>
          <w:rFonts w:ascii="Courier New" w:cs="Courier New" w:eastAsia="Courier New" w:hAnsi="Courier New"/>
          <w:sz w:val="16"/>
          <w:szCs w:val="16"/>
          <w:color w:val="auto"/>
        </w:rPr>
        <w:t>79,248</w:t>
      </w:r>
    </w:p>
    <w:p>
      <w:pPr>
        <w:ind w:left="2600"/>
        <w:spacing w:after="0" w:line="237" w:lineRule="auto"/>
        <w:rPr>
          <w:sz w:val="20"/>
          <w:szCs w:val="20"/>
          <w:color w:val="auto"/>
        </w:rPr>
      </w:pPr>
      <w:r>
        <w:rPr>
          <w:rFonts w:ascii="Courier New" w:cs="Courier New" w:eastAsia="Courier New" w:hAnsi="Courier New"/>
          <w:sz w:val="16"/>
          <w:szCs w:val="16"/>
          <w:color w:val="auto"/>
        </w:rPr>
        <w:t>259,943</w:t>
      </w:r>
    </w:p>
    <w:p>
      <w:pPr>
        <w:ind w:left="3620"/>
        <w:spacing w:after="0" w:line="237" w:lineRule="auto"/>
        <w:rPr>
          <w:sz w:val="20"/>
          <w:szCs w:val="20"/>
          <w:color w:val="auto"/>
        </w:rPr>
      </w:pPr>
      <w:r>
        <w:rPr>
          <w:rFonts w:ascii="Courier New" w:cs="Courier New" w:eastAsia="Courier New" w:hAnsi="Courier New"/>
          <w:sz w:val="16"/>
          <w:szCs w:val="16"/>
          <w:color w:val="auto"/>
        </w:rPr>
        <w:t>0</w:t>
      </w:r>
    </w:p>
    <w:p>
      <w:pPr>
        <w:ind w:left="3540"/>
        <w:spacing w:after="0" w:line="237" w:lineRule="auto"/>
        <w:rPr>
          <w:sz w:val="20"/>
          <w:szCs w:val="20"/>
          <w:color w:val="auto"/>
        </w:rPr>
      </w:pPr>
      <w:r>
        <w:rPr>
          <w:rFonts w:ascii="Courier New" w:cs="Courier New" w:eastAsia="Courier New" w:hAnsi="Courier New"/>
          <w:sz w:val="16"/>
          <w:szCs w:val="16"/>
          <w:color w:val="auto"/>
        </w:rPr>
        <w:t>0</w:t>
      </w:r>
    </w:p>
    <w:p>
      <w:pPr>
        <w:ind w:left="4080"/>
        <w:spacing w:after="0" w:line="237" w:lineRule="auto"/>
        <w:rPr>
          <w:sz w:val="20"/>
          <w:szCs w:val="20"/>
          <w:color w:val="auto"/>
        </w:rPr>
      </w:pPr>
      <w:r>
        <w:rPr>
          <w:rFonts w:ascii="Courier New" w:cs="Courier New" w:eastAsia="Courier New" w:hAnsi="Courier New"/>
          <w:sz w:val="16"/>
          <w:szCs w:val="16"/>
          <w:color w:val="auto"/>
        </w:rPr>
        <w:t>0</w:t>
      </w:r>
    </w:p>
    <w:p>
      <w:pPr>
        <w:ind w:left="3260"/>
        <w:spacing w:after="0" w:line="236" w:lineRule="auto"/>
        <w:rPr>
          <w:sz w:val="20"/>
          <w:szCs w:val="20"/>
          <w:color w:val="auto"/>
        </w:rPr>
      </w:pPr>
      <w:r>
        <w:rPr>
          <w:rFonts w:ascii="Courier New" w:cs="Courier New" w:eastAsia="Courier New" w:hAnsi="Courier New"/>
          <w:sz w:val="16"/>
          <w:szCs w:val="16"/>
          <w:color w:val="auto"/>
        </w:rPr>
        <w:t>259,943</w:t>
      </w:r>
    </w:p>
    <w:p>
      <w:pPr>
        <w:ind w:left="3440"/>
        <w:spacing w:after="0" w:line="237" w:lineRule="auto"/>
        <w:rPr>
          <w:sz w:val="20"/>
          <w:szCs w:val="20"/>
          <w:color w:val="auto"/>
        </w:rPr>
      </w:pPr>
      <w:r>
        <w:rPr>
          <w:rFonts w:ascii="Courier New" w:cs="Courier New" w:eastAsia="Courier New" w:hAnsi="Courier New"/>
          <w:sz w:val="16"/>
          <w:szCs w:val="16"/>
          <w:color w:val="auto"/>
        </w:rPr>
        <w:t>0.53</w:t>
      </w:r>
    </w:p>
    <w:p>
      <w:pPr>
        <w:ind w:left="3440"/>
        <w:spacing w:after="0" w:line="237" w:lineRule="auto"/>
        <w:rPr>
          <w:sz w:val="20"/>
          <w:szCs w:val="20"/>
          <w:color w:val="auto"/>
        </w:rPr>
      </w:pPr>
      <w:r>
        <w:rPr>
          <w:rFonts w:ascii="Courier New" w:cs="Courier New" w:eastAsia="Courier New" w:hAnsi="Courier New"/>
          <w:sz w:val="16"/>
          <w:szCs w:val="16"/>
          <w:color w:val="auto"/>
        </w:rPr>
        <w:t>0.51</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Restated for two-for-one stock split on June 2, 1997.</w:t>
      </w:r>
    </w:p>
    <w:p>
      <w:pPr>
        <w:spacing w:after="0" w:line="236" w:lineRule="auto"/>
        <w:rPr>
          <w:sz w:val="20"/>
          <w:szCs w:val="20"/>
          <w:color w:val="auto"/>
        </w:rPr>
      </w:pPr>
      <w:r>
        <w:rPr>
          <w:rFonts w:ascii="Courier New" w:cs="Courier New" w:eastAsia="Courier New" w:hAnsi="Courier New"/>
          <w:sz w:val="16"/>
          <w:szCs w:val="16"/>
          <w:color w:val="auto"/>
        </w:rPr>
        <w:t>As required by SFAS 128.</w:t>
      </w:r>
    </w:p>
    <w:p>
      <w:pPr>
        <w:sectPr>
          <w:pgSz w:w="11900" w:h="16838" w:orient="portrait"/>
          <w:cols w:equalWidth="0" w:num="1">
            <w:col w:w="10219"/>
          </w:cols>
          <w:pgMar w:left="240" w:top="135" w:right="1440" w:bottom="1440" w:gutter="0" w:footer="0" w:header="0"/>
        </w:sectPr>
      </w:pPr>
    </w:p>
    <w:bookmarkStart w:id="27" w:name="page28"/>
    <w:bookmarkEnd w:id="27"/>
    <w:p>
      <w:pPr>
        <w:spacing w:after="0" w:line="236" w:lineRule="auto"/>
        <w:rPr>
          <w:sz w:val="20"/>
          <w:szCs w:val="20"/>
          <w:color w:val="auto"/>
        </w:rPr>
      </w:pPr>
    </w:p>
    <w:p>
      <w:pPr>
        <w:sectPr>
          <w:pgSz w:w="11900" w:h="16838" w:orient="portrait"/>
          <w:cols w:equalWidth="1" w:num="1" w:space="0"/>
          <w:pgMar w:left="1440" w:top="1440" w:right="1440" w:bottom="875" w:gutter="0" w:footer="0" w:header="0"/>
        </w:sectPr>
      </w:pPr>
    </w:p>
    <w:bookmarkStart w:id="28" w:name="page29"/>
    <w:bookmarkEnd w:id="28"/>
    <w:p>
      <w:pPr>
        <w:ind w:left="80"/>
        <w:spacing w:after="0"/>
        <w:rPr>
          <w:sz w:val="20"/>
          <w:szCs w:val="20"/>
          <w:color w:val="auto"/>
        </w:rPr>
      </w:pPr>
      <w:r>
        <w:rPr>
          <w:rFonts w:ascii="Courier New" w:cs="Courier New" w:eastAsia="Courier New" w:hAnsi="Courier New"/>
          <w:sz w:val="16"/>
          <w:szCs w:val="16"/>
          <w:color w:val="auto"/>
        </w:rPr>
        <w:t>5</w:t>
      </w:r>
    </w:p>
    <w:p>
      <w:pPr>
        <w:spacing w:after="0" w:line="183" w:lineRule="exact"/>
        <w:rPr>
          <w:sz w:val="20"/>
          <w:szCs w:val="20"/>
          <w:color w:val="auto"/>
        </w:rPr>
      </w:pPr>
    </w:p>
    <w:p>
      <w:pPr>
        <w:ind w:left="20" w:right="3039"/>
        <w:spacing w:after="0" w:line="295" w:lineRule="auto"/>
        <w:rPr>
          <w:sz w:val="20"/>
          <w:szCs w:val="20"/>
          <w:color w:val="auto"/>
        </w:rPr>
      </w:pPr>
      <w:r>
        <w:rPr>
          <w:rFonts w:ascii="Courier New" w:cs="Courier New" w:eastAsia="Courier New" w:hAnsi="Courier New"/>
          <w:sz w:val="14"/>
          <w:szCs w:val="14"/>
          <w:color w:val="auto"/>
        </w:rPr>
        <w:t>THIS SCHEDULE CONTAINS SUMMARY FINANCIAL INFORMATION EXTRACTED FROM FORM 10-K AND IS QUALIFIED IN ITS ENTIRETY BY REFERENCE TO SUCH FINANCIAL STATEMENTS.</w:t>
      </w:r>
    </w:p>
    <w:p>
      <w:pPr>
        <w:spacing w:after="0" w:line="320"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1,000</w:t>
      </w:r>
    </w:p>
    <w:p>
      <w:pPr>
        <w:spacing w:after="0" w:line="355"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YEAR</w:t>
      </w:r>
    </w:p>
    <w:p>
      <w:pPr>
        <w:ind w:left="2420"/>
        <w:spacing w:after="0" w:line="236" w:lineRule="auto"/>
        <w:rPr>
          <w:sz w:val="20"/>
          <w:szCs w:val="20"/>
          <w:color w:val="auto"/>
        </w:rPr>
      </w:pPr>
      <w:r>
        <w:rPr>
          <w:rFonts w:ascii="Courier New" w:cs="Courier New" w:eastAsia="Courier New" w:hAnsi="Courier New"/>
          <w:sz w:val="16"/>
          <w:szCs w:val="16"/>
          <w:color w:val="auto"/>
        </w:rPr>
        <w:t>DEC-31-1996</w:t>
      </w:r>
    </w:p>
    <w:p>
      <w:pPr>
        <w:ind w:left="2700"/>
        <w:spacing w:after="0" w:line="237" w:lineRule="auto"/>
        <w:rPr>
          <w:sz w:val="20"/>
          <w:szCs w:val="20"/>
          <w:color w:val="auto"/>
        </w:rPr>
      </w:pPr>
      <w:r>
        <w:rPr>
          <w:rFonts w:ascii="Courier New" w:cs="Courier New" w:eastAsia="Courier New" w:hAnsi="Courier New"/>
          <w:sz w:val="16"/>
          <w:szCs w:val="16"/>
          <w:color w:val="auto"/>
        </w:rPr>
        <w:t>JAN-01-1996</w:t>
      </w:r>
    </w:p>
    <w:p>
      <w:pPr>
        <w:ind w:left="2880"/>
        <w:spacing w:after="0" w:line="237" w:lineRule="auto"/>
        <w:rPr>
          <w:sz w:val="20"/>
          <w:szCs w:val="20"/>
          <w:color w:val="auto"/>
        </w:rPr>
      </w:pPr>
      <w:r>
        <w:rPr>
          <w:rFonts w:ascii="Courier New" w:cs="Courier New" w:eastAsia="Courier New" w:hAnsi="Courier New"/>
          <w:sz w:val="16"/>
          <w:szCs w:val="16"/>
          <w:color w:val="auto"/>
        </w:rPr>
        <w:t>DEC-31-1996</w:t>
      </w:r>
    </w:p>
    <w:p>
      <w:pPr>
        <w:ind w:left="3620"/>
        <w:spacing w:after="0" w:line="237" w:lineRule="auto"/>
        <w:rPr>
          <w:sz w:val="20"/>
          <w:szCs w:val="20"/>
          <w:color w:val="auto"/>
        </w:rPr>
      </w:pPr>
      <w:r>
        <w:rPr>
          <w:rFonts w:ascii="Courier New" w:cs="Courier New" w:eastAsia="Courier New" w:hAnsi="Courier New"/>
          <w:sz w:val="16"/>
          <w:szCs w:val="16"/>
          <w:color w:val="auto"/>
        </w:rPr>
        <w:t>1,358,948</w:t>
      </w:r>
    </w:p>
    <w:p>
      <w:pPr>
        <w:ind w:left="3800"/>
        <w:spacing w:after="0" w:line="237" w:lineRule="auto"/>
        <w:rPr>
          <w:sz w:val="20"/>
          <w:szCs w:val="20"/>
          <w:color w:val="auto"/>
        </w:rPr>
      </w:pPr>
      <w:r>
        <w:rPr>
          <w:rFonts w:ascii="Courier New" w:cs="Courier New" w:eastAsia="Courier New" w:hAnsi="Courier New"/>
          <w:sz w:val="16"/>
          <w:szCs w:val="16"/>
          <w:color w:val="auto"/>
        </w:rPr>
        <w:t>0</w:t>
      </w:r>
    </w:p>
    <w:p>
      <w:pPr>
        <w:ind w:left="2980"/>
        <w:spacing w:after="0" w:line="237" w:lineRule="auto"/>
        <w:rPr>
          <w:sz w:val="20"/>
          <w:szCs w:val="20"/>
          <w:color w:val="auto"/>
        </w:rPr>
      </w:pPr>
      <w:r>
        <w:rPr>
          <w:rFonts w:ascii="Courier New" w:cs="Courier New" w:eastAsia="Courier New" w:hAnsi="Courier New"/>
          <w:sz w:val="16"/>
          <w:szCs w:val="16"/>
          <w:color w:val="auto"/>
        </w:rPr>
        <w:t>2,319,072</w:t>
      </w:r>
    </w:p>
    <w:p>
      <w:pPr>
        <w:ind w:left="3160"/>
        <w:spacing w:after="0" w:line="237" w:lineRule="auto"/>
        <w:rPr>
          <w:sz w:val="20"/>
          <w:szCs w:val="20"/>
          <w:color w:val="auto"/>
        </w:rPr>
      </w:pPr>
      <w:r>
        <w:rPr>
          <w:rFonts w:ascii="Courier New" w:cs="Courier New" w:eastAsia="Courier New" w:hAnsi="Courier New"/>
          <w:sz w:val="16"/>
          <w:szCs w:val="16"/>
          <w:color w:val="auto"/>
        </w:rPr>
        <w:t>(58,981)</w:t>
      </w:r>
    </w:p>
    <w:p>
      <w:pPr>
        <w:ind w:left="3340"/>
        <w:spacing w:after="0" w:line="237" w:lineRule="auto"/>
        <w:rPr>
          <w:sz w:val="20"/>
          <w:szCs w:val="20"/>
          <w:color w:val="auto"/>
        </w:rPr>
      </w:pPr>
      <w:r>
        <w:rPr>
          <w:rFonts w:ascii="Courier New" w:cs="Courier New" w:eastAsia="Courier New" w:hAnsi="Courier New"/>
          <w:sz w:val="16"/>
          <w:szCs w:val="16"/>
          <w:color w:val="auto"/>
        </w:rPr>
        <w:t>938,974</w:t>
      </w:r>
    </w:p>
    <w:p>
      <w:pPr>
        <w:ind w:left="2700"/>
        <w:spacing w:after="0" w:line="236" w:lineRule="auto"/>
        <w:rPr>
          <w:sz w:val="20"/>
          <w:szCs w:val="20"/>
          <w:color w:val="auto"/>
        </w:rPr>
      </w:pPr>
      <w:r>
        <w:rPr>
          <w:rFonts w:ascii="Courier New" w:cs="Courier New" w:eastAsia="Courier New" w:hAnsi="Courier New"/>
          <w:sz w:val="16"/>
          <w:szCs w:val="16"/>
          <w:color w:val="auto"/>
        </w:rPr>
        <w:t>5,042,617</w:t>
      </w:r>
    </w:p>
    <w:p>
      <w:pPr>
        <w:ind w:left="3620"/>
        <w:spacing w:after="0" w:line="237" w:lineRule="auto"/>
        <w:rPr>
          <w:sz w:val="20"/>
          <w:szCs w:val="20"/>
          <w:color w:val="auto"/>
        </w:rPr>
      </w:pPr>
      <w:r>
        <w:rPr>
          <w:rFonts w:ascii="Courier New" w:cs="Courier New" w:eastAsia="Courier New" w:hAnsi="Courier New"/>
          <w:sz w:val="16"/>
          <w:szCs w:val="16"/>
          <w:color w:val="auto"/>
        </w:rPr>
        <w:t>9,577,749</w:t>
      </w:r>
    </w:p>
    <w:p>
      <w:pPr>
        <w:ind w:left="2700"/>
        <w:spacing w:after="0" w:line="237" w:lineRule="auto"/>
        <w:rPr>
          <w:sz w:val="20"/>
          <w:szCs w:val="20"/>
          <w:color w:val="auto"/>
        </w:rPr>
      </w:pPr>
      <w:r>
        <w:rPr>
          <w:rFonts w:ascii="Courier New" w:cs="Courier New" w:eastAsia="Courier New" w:hAnsi="Courier New"/>
          <w:sz w:val="16"/>
          <w:szCs w:val="16"/>
          <w:color w:val="auto"/>
        </w:rPr>
        <w:t>(6,219,168)</w:t>
      </w:r>
    </w:p>
    <w:p>
      <w:pPr>
        <w:ind w:left="2780"/>
        <w:spacing w:after="0" w:line="237" w:lineRule="auto"/>
        <w:rPr>
          <w:sz w:val="20"/>
          <w:szCs w:val="20"/>
          <w:color w:val="auto"/>
        </w:rPr>
      </w:pPr>
      <w:r>
        <w:rPr>
          <w:rFonts w:ascii="Courier New" w:cs="Courier New" w:eastAsia="Courier New" w:hAnsi="Courier New"/>
          <w:sz w:val="16"/>
          <w:szCs w:val="16"/>
          <w:color w:val="auto"/>
        </w:rPr>
        <w:t>10,325,051</w:t>
      </w:r>
    </w:p>
    <w:p>
      <w:pPr>
        <w:ind w:left="2220"/>
        <w:spacing w:after="0" w:line="237" w:lineRule="auto"/>
        <w:rPr>
          <w:sz w:val="20"/>
          <w:szCs w:val="20"/>
          <w:color w:val="auto"/>
        </w:rPr>
      </w:pPr>
      <w:r>
        <w:rPr>
          <w:rFonts w:ascii="Courier New" w:cs="Courier New" w:eastAsia="Courier New" w:hAnsi="Courier New"/>
          <w:sz w:val="16"/>
          <w:szCs w:val="16"/>
          <w:color w:val="auto"/>
        </w:rPr>
        <w:t>3,474,410</w:t>
      </w:r>
    </w:p>
    <w:p>
      <w:pPr>
        <w:ind w:left="4280"/>
        <w:spacing w:after="0" w:line="237" w:lineRule="auto"/>
        <w:rPr>
          <w:sz w:val="20"/>
          <w:szCs w:val="20"/>
          <w:color w:val="auto"/>
        </w:rPr>
      </w:pPr>
      <w:r>
        <w:rPr>
          <w:rFonts w:ascii="Courier New" w:cs="Courier New" w:eastAsia="Courier New" w:hAnsi="Courier New"/>
          <w:sz w:val="16"/>
          <w:szCs w:val="16"/>
          <w:color w:val="auto"/>
        </w:rPr>
        <w:t>0</w:t>
      </w:r>
    </w:p>
    <w:p>
      <w:pPr>
        <w:ind w:left="2980"/>
        <w:spacing w:after="0" w:line="237" w:lineRule="auto"/>
        <w:rPr>
          <w:sz w:val="20"/>
          <w:szCs w:val="20"/>
          <w:color w:val="auto"/>
        </w:rPr>
      </w:pPr>
      <w:r>
        <w:rPr>
          <w:rFonts w:ascii="Courier New" w:cs="Courier New" w:eastAsia="Courier New" w:hAnsi="Courier New"/>
          <w:sz w:val="16"/>
          <w:szCs w:val="16"/>
          <w:color w:val="auto"/>
        </w:rPr>
        <w:t>0</w:t>
      </w:r>
    </w:p>
    <w:p>
      <w:pPr>
        <w:ind w:left="3900"/>
        <w:spacing w:after="0" w:line="237" w:lineRule="auto"/>
        <w:rPr>
          <w:sz w:val="20"/>
          <w:szCs w:val="20"/>
          <w:color w:val="auto"/>
        </w:rPr>
      </w:pPr>
      <w:r>
        <w:rPr>
          <w:rFonts w:ascii="Courier New" w:cs="Courier New" w:eastAsia="Courier New" w:hAnsi="Courier New"/>
          <w:sz w:val="16"/>
          <w:szCs w:val="16"/>
          <w:color w:val="auto"/>
        </w:rPr>
        <w:t>0</w:t>
      </w:r>
    </w:p>
    <w:p>
      <w:pPr>
        <w:ind w:left="3620"/>
        <w:spacing w:after="0" w:line="236" w:lineRule="auto"/>
        <w:rPr>
          <w:sz w:val="20"/>
          <w:szCs w:val="20"/>
          <w:color w:val="auto"/>
        </w:rPr>
      </w:pPr>
      <w:r>
        <w:rPr>
          <w:rFonts w:ascii="Courier New" w:cs="Courier New" w:eastAsia="Courier New" w:hAnsi="Courier New"/>
          <w:sz w:val="16"/>
          <w:szCs w:val="16"/>
          <w:color w:val="auto"/>
        </w:rPr>
        <w:t>818,803</w:t>
      </w:r>
    </w:p>
    <w:p>
      <w:pPr>
        <w:ind w:left="3260"/>
        <w:spacing w:after="0" w:line="237" w:lineRule="auto"/>
        <w:rPr>
          <w:sz w:val="20"/>
          <w:szCs w:val="20"/>
          <w:color w:val="auto"/>
        </w:rPr>
      </w:pPr>
      <w:r>
        <w:rPr>
          <w:rFonts w:ascii="Courier New" w:cs="Courier New" w:eastAsia="Courier New" w:hAnsi="Courier New"/>
          <w:sz w:val="16"/>
          <w:szCs w:val="16"/>
          <w:color w:val="auto"/>
        </w:rPr>
        <w:t>4,807,577</w:t>
      </w:r>
    </w:p>
    <w:p>
      <w:pPr>
        <w:ind w:left="1480"/>
        <w:spacing w:after="0" w:line="237" w:lineRule="auto"/>
        <w:rPr>
          <w:sz w:val="20"/>
          <w:szCs w:val="20"/>
          <w:color w:val="auto"/>
        </w:rPr>
      </w:pPr>
      <w:r>
        <w:rPr>
          <w:rFonts w:ascii="Courier New" w:cs="Courier New" w:eastAsia="Courier New" w:hAnsi="Courier New"/>
          <w:sz w:val="16"/>
          <w:szCs w:val="16"/>
          <w:color w:val="auto"/>
        </w:rPr>
        <w:t>10,325,051</w:t>
      </w:r>
    </w:p>
    <w:p>
      <w:pPr>
        <w:ind w:left="3540"/>
        <w:spacing w:after="0" w:line="237" w:lineRule="auto"/>
        <w:rPr>
          <w:sz w:val="20"/>
          <w:szCs w:val="20"/>
          <w:color w:val="auto"/>
        </w:rPr>
      </w:pPr>
      <w:r>
        <w:rPr>
          <w:rFonts w:ascii="Courier New" w:cs="Courier New" w:eastAsia="Courier New" w:hAnsi="Courier New"/>
          <w:sz w:val="16"/>
          <w:szCs w:val="16"/>
          <w:color w:val="auto"/>
        </w:rPr>
        <w:t>2,428,409</w:t>
      </w:r>
    </w:p>
    <w:p>
      <w:pPr>
        <w:ind w:left="2700"/>
        <w:spacing w:after="0" w:line="237" w:lineRule="auto"/>
        <w:rPr>
          <w:sz w:val="20"/>
          <w:szCs w:val="20"/>
          <w:color w:val="auto"/>
        </w:rPr>
      </w:pPr>
      <w:r>
        <w:rPr>
          <w:rFonts w:ascii="Courier New" w:cs="Courier New" w:eastAsia="Courier New" w:hAnsi="Courier New"/>
          <w:sz w:val="16"/>
          <w:szCs w:val="16"/>
          <w:color w:val="auto"/>
        </w:rPr>
        <w:t>9,025,665</w:t>
      </w:r>
    </w:p>
    <w:p>
      <w:pPr>
        <w:ind w:left="3720"/>
        <w:spacing w:after="0" w:line="237" w:lineRule="auto"/>
        <w:rPr>
          <w:sz w:val="20"/>
          <w:szCs w:val="20"/>
          <w:color w:val="auto"/>
        </w:rPr>
      </w:pPr>
      <w:r>
        <w:rPr>
          <w:rFonts w:ascii="Courier New" w:cs="Courier New" w:eastAsia="Courier New" w:hAnsi="Courier New"/>
          <w:sz w:val="16"/>
          <w:szCs w:val="16"/>
          <w:color w:val="auto"/>
        </w:rPr>
        <w:t>1,704,462</w:t>
      </w:r>
    </w:p>
    <w:p>
      <w:pPr>
        <w:ind w:left="2980"/>
        <w:spacing w:after="0" w:line="237" w:lineRule="auto"/>
        <w:rPr>
          <w:sz w:val="20"/>
          <w:szCs w:val="20"/>
          <w:color w:val="auto"/>
        </w:rPr>
      </w:pPr>
      <w:r>
        <w:rPr>
          <w:rFonts w:ascii="Courier New" w:cs="Courier New" w:eastAsia="Courier New" w:hAnsi="Courier New"/>
          <w:sz w:val="16"/>
          <w:szCs w:val="16"/>
          <w:color w:val="auto"/>
        </w:rPr>
        <w:t>6,835,444</w:t>
      </w:r>
    </w:p>
    <w:p>
      <w:pPr>
        <w:ind w:left="2700"/>
        <w:spacing w:after="0" w:line="237" w:lineRule="auto"/>
        <w:rPr>
          <w:sz w:val="20"/>
          <w:szCs w:val="20"/>
          <w:color w:val="auto"/>
        </w:rPr>
      </w:pPr>
      <w:r>
        <w:rPr>
          <w:rFonts w:ascii="Courier New" w:cs="Courier New" w:eastAsia="Courier New" w:hAnsi="Courier New"/>
          <w:sz w:val="16"/>
          <w:szCs w:val="16"/>
          <w:color w:val="auto"/>
        </w:rPr>
        <w:t>1,442,375</w:t>
      </w:r>
    </w:p>
    <w:p>
      <w:pPr>
        <w:ind w:left="2980"/>
        <w:spacing w:after="0" w:line="236" w:lineRule="auto"/>
        <w:rPr>
          <w:sz w:val="20"/>
          <w:szCs w:val="20"/>
          <w:color w:val="auto"/>
        </w:rPr>
      </w:pPr>
      <w:r>
        <w:rPr>
          <w:rFonts w:ascii="Courier New" w:cs="Courier New" w:eastAsia="Courier New" w:hAnsi="Courier New"/>
          <w:sz w:val="16"/>
          <w:szCs w:val="16"/>
          <w:color w:val="auto"/>
        </w:rPr>
        <w:t>27,036</w:t>
      </w:r>
    </w:p>
    <w:p>
      <w:pPr>
        <w:ind w:left="2780"/>
        <w:spacing w:after="0" w:line="237" w:lineRule="auto"/>
        <w:rPr>
          <w:sz w:val="20"/>
          <w:szCs w:val="20"/>
          <w:color w:val="auto"/>
        </w:rPr>
      </w:pPr>
      <w:r>
        <w:rPr>
          <w:rFonts w:ascii="Courier New" w:cs="Courier New" w:eastAsia="Courier New" w:hAnsi="Courier New"/>
          <w:sz w:val="16"/>
          <w:szCs w:val="16"/>
          <w:color w:val="auto"/>
        </w:rPr>
        <w:t>72,020</w:t>
      </w:r>
    </w:p>
    <w:p>
      <w:pPr>
        <w:ind w:left="2980"/>
        <w:spacing w:after="0" w:line="237" w:lineRule="auto"/>
        <w:rPr>
          <w:sz w:val="20"/>
          <w:szCs w:val="20"/>
          <w:color w:val="auto"/>
        </w:rPr>
      </w:pPr>
      <w:r>
        <w:rPr>
          <w:rFonts w:ascii="Courier New" w:cs="Courier New" w:eastAsia="Courier New" w:hAnsi="Courier New"/>
          <w:sz w:val="16"/>
          <w:szCs w:val="16"/>
          <w:color w:val="auto"/>
        </w:rPr>
        <w:t>675,806</w:t>
      </w:r>
    </w:p>
    <w:p>
      <w:pPr>
        <w:ind w:left="3060"/>
        <w:spacing w:after="0" w:line="237" w:lineRule="auto"/>
        <w:rPr>
          <w:sz w:val="20"/>
          <w:szCs w:val="20"/>
          <w:color w:val="auto"/>
        </w:rPr>
      </w:pPr>
      <w:r>
        <w:rPr>
          <w:rFonts w:ascii="Courier New" w:cs="Courier New" w:eastAsia="Courier New" w:hAnsi="Courier New"/>
          <w:sz w:val="16"/>
          <w:szCs w:val="16"/>
          <w:color w:val="auto"/>
        </w:rPr>
        <w:t>(175,677)</w:t>
      </w:r>
    </w:p>
    <w:p>
      <w:pPr>
        <w:ind w:left="2600"/>
        <w:spacing w:after="0" w:line="237" w:lineRule="auto"/>
        <w:rPr>
          <w:sz w:val="20"/>
          <w:szCs w:val="20"/>
          <w:color w:val="auto"/>
        </w:rPr>
      </w:pPr>
      <w:r>
        <w:rPr>
          <w:rFonts w:ascii="Courier New" w:cs="Courier New" w:eastAsia="Courier New" w:hAnsi="Courier New"/>
          <w:sz w:val="16"/>
          <w:szCs w:val="16"/>
          <w:color w:val="auto"/>
        </w:rPr>
        <w:t>851,483</w:t>
      </w:r>
    </w:p>
    <w:p>
      <w:pPr>
        <w:ind w:left="3620"/>
        <w:spacing w:after="0" w:line="237" w:lineRule="auto"/>
        <w:rPr>
          <w:sz w:val="20"/>
          <w:szCs w:val="20"/>
          <w:color w:val="auto"/>
        </w:rPr>
      </w:pPr>
      <w:r>
        <w:rPr>
          <w:rFonts w:ascii="Courier New" w:cs="Courier New" w:eastAsia="Courier New" w:hAnsi="Courier New"/>
          <w:sz w:val="16"/>
          <w:szCs w:val="16"/>
          <w:color w:val="auto"/>
        </w:rPr>
        <w:t>0</w:t>
      </w:r>
    </w:p>
    <w:p>
      <w:pPr>
        <w:ind w:left="3540"/>
        <w:spacing w:after="0" w:line="237" w:lineRule="auto"/>
        <w:rPr>
          <w:sz w:val="20"/>
          <w:szCs w:val="20"/>
          <w:color w:val="auto"/>
        </w:rPr>
      </w:pPr>
      <w:r>
        <w:rPr>
          <w:rFonts w:ascii="Courier New" w:cs="Courier New" w:eastAsia="Courier New" w:hAnsi="Courier New"/>
          <w:sz w:val="16"/>
          <w:szCs w:val="16"/>
          <w:color w:val="auto"/>
        </w:rPr>
        <w:t>0</w:t>
      </w:r>
    </w:p>
    <w:p>
      <w:pPr>
        <w:ind w:left="4080"/>
        <w:spacing w:after="0" w:line="237" w:lineRule="auto"/>
        <w:rPr>
          <w:sz w:val="20"/>
          <w:szCs w:val="20"/>
          <w:color w:val="auto"/>
        </w:rPr>
      </w:pPr>
      <w:r>
        <w:rPr>
          <w:rFonts w:ascii="Courier New" w:cs="Courier New" w:eastAsia="Courier New" w:hAnsi="Courier New"/>
          <w:sz w:val="16"/>
          <w:szCs w:val="16"/>
          <w:color w:val="auto"/>
        </w:rPr>
        <w:t>0</w:t>
      </w:r>
    </w:p>
    <w:p>
      <w:pPr>
        <w:ind w:left="3260"/>
        <w:spacing w:after="0" w:line="236" w:lineRule="auto"/>
        <w:rPr>
          <w:sz w:val="20"/>
          <w:szCs w:val="20"/>
          <w:color w:val="auto"/>
        </w:rPr>
      </w:pPr>
      <w:r>
        <w:rPr>
          <w:rFonts w:ascii="Courier New" w:cs="Courier New" w:eastAsia="Courier New" w:hAnsi="Courier New"/>
          <w:sz w:val="16"/>
          <w:szCs w:val="16"/>
          <w:color w:val="auto"/>
        </w:rPr>
        <w:t>851,483</w:t>
      </w:r>
    </w:p>
    <w:p>
      <w:pPr>
        <w:ind w:left="3440"/>
        <w:spacing w:after="0" w:line="237" w:lineRule="auto"/>
        <w:rPr>
          <w:sz w:val="20"/>
          <w:szCs w:val="20"/>
          <w:color w:val="auto"/>
        </w:rPr>
      </w:pPr>
      <w:r>
        <w:rPr>
          <w:rFonts w:ascii="Courier New" w:cs="Courier New" w:eastAsia="Courier New" w:hAnsi="Courier New"/>
          <w:sz w:val="16"/>
          <w:szCs w:val="16"/>
          <w:color w:val="auto"/>
        </w:rPr>
        <w:t>1.74</w:t>
      </w:r>
    </w:p>
    <w:p>
      <w:pPr>
        <w:ind w:left="3440"/>
        <w:spacing w:after="0" w:line="237" w:lineRule="auto"/>
        <w:rPr>
          <w:sz w:val="20"/>
          <w:szCs w:val="20"/>
          <w:color w:val="auto"/>
        </w:rPr>
      </w:pPr>
      <w:r>
        <w:rPr>
          <w:rFonts w:ascii="Courier New" w:cs="Courier New" w:eastAsia="Courier New" w:hAnsi="Courier New"/>
          <w:sz w:val="16"/>
          <w:szCs w:val="16"/>
          <w:color w:val="auto"/>
        </w:rPr>
        <w:t>1.70</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Restated for two-for-one stock split on June 2, 1997.</w:t>
      </w:r>
    </w:p>
    <w:p>
      <w:pPr>
        <w:spacing w:after="0" w:line="236" w:lineRule="auto"/>
        <w:rPr>
          <w:sz w:val="20"/>
          <w:szCs w:val="20"/>
          <w:color w:val="auto"/>
        </w:rPr>
      </w:pPr>
      <w:r>
        <w:rPr>
          <w:rFonts w:ascii="Courier New" w:cs="Courier New" w:eastAsia="Courier New" w:hAnsi="Courier New"/>
          <w:sz w:val="16"/>
          <w:szCs w:val="16"/>
          <w:color w:val="auto"/>
        </w:rPr>
        <w:t>As required by SFAS 128.</w:t>
      </w:r>
    </w:p>
    <w:p>
      <w:pPr>
        <w:sectPr>
          <w:pgSz w:w="11900" w:h="16838" w:orient="portrait"/>
          <w:cols w:equalWidth="0" w:num="1">
            <w:col w:w="10219"/>
          </w:cols>
          <w:pgMar w:left="240" w:top="135" w:right="1440" w:bottom="1440" w:gutter="0" w:footer="0" w:header="0"/>
        </w:sectPr>
      </w:pPr>
    </w:p>
    <w:bookmarkStart w:id="29" w:name="page30"/>
    <w:bookmarkEnd w:id="29"/>
    <w:p>
      <w:pPr>
        <w:spacing w:after="0" w:line="236" w:lineRule="auto"/>
        <w:rPr>
          <w:sz w:val="20"/>
          <w:szCs w:val="20"/>
          <w:color w:val="auto"/>
        </w:rPr>
      </w:pPr>
    </w:p>
    <w:p>
      <w:pPr>
        <w:sectPr>
          <w:pgSz w:w="11900" w:h="16838" w:orient="portrait"/>
          <w:cols w:equalWidth="1" w:num="1" w:space="0"/>
          <w:pgMar w:left="1440" w:top="1440" w:right="1440" w:bottom="875" w:gutter="0" w:footer="0" w:header="0"/>
        </w:sectPr>
      </w:pPr>
    </w:p>
    <w:bookmarkStart w:id="30" w:name="page31"/>
    <w:bookmarkEnd w:id="30"/>
    <w:p>
      <w:pPr>
        <w:ind w:left="80"/>
        <w:spacing w:after="0"/>
        <w:rPr>
          <w:sz w:val="20"/>
          <w:szCs w:val="20"/>
          <w:color w:val="auto"/>
        </w:rPr>
      </w:pPr>
      <w:r>
        <w:rPr>
          <w:rFonts w:ascii="Courier New" w:cs="Courier New" w:eastAsia="Courier New" w:hAnsi="Courier New"/>
          <w:sz w:val="16"/>
          <w:szCs w:val="16"/>
          <w:color w:val="auto"/>
        </w:rPr>
        <w:t>5</w:t>
      </w:r>
    </w:p>
    <w:p>
      <w:pPr>
        <w:spacing w:after="0" w:line="183" w:lineRule="exact"/>
        <w:rPr>
          <w:sz w:val="20"/>
          <w:szCs w:val="20"/>
          <w:color w:val="auto"/>
        </w:rPr>
      </w:pPr>
    </w:p>
    <w:p>
      <w:pPr>
        <w:ind w:left="20" w:right="3039"/>
        <w:spacing w:after="0" w:line="295" w:lineRule="auto"/>
        <w:rPr>
          <w:sz w:val="20"/>
          <w:szCs w:val="20"/>
          <w:color w:val="auto"/>
        </w:rPr>
      </w:pPr>
      <w:r>
        <w:rPr>
          <w:rFonts w:ascii="Courier New" w:cs="Courier New" w:eastAsia="Courier New" w:hAnsi="Courier New"/>
          <w:sz w:val="14"/>
          <w:szCs w:val="14"/>
          <w:color w:val="auto"/>
        </w:rPr>
        <w:t>THIS SCHEDULE CONTAINS SUMMARY FINANCIAL INFORMATION EXTRACTED FROM FORM 10-Q AND IS QUALIFIED IN ITS ENTIRETY BY REFERENCE TO SUCH FINANCIAL STATEMENTS.</w:t>
      </w:r>
    </w:p>
    <w:p>
      <w:pPr>
        <w:spacing w:after="0" w:line="14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1,000</w:t>
      </w:r>
    </w:p>
    <w:p>
      <w:pPr>
        <w:spacing w:after="0" w:line="355"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9-MOS</w:t>
      </w:r>
    </w:p>
    <w:p>
      <w:pPr>
        <w:ind w:left="2420"/>
        <w:spacing w:after="0" w:line="236" w:lineRule="auto"/>
        <w:rPr>
          <w:sz w:val="20"/>
          <w:szCs w:val="20"/>
          <w:color w:val="auto"/>
        </w:rPr>
      </w:pPr>
      <w:r>
        <w:rPr>
          <w:rFonts w:ascii="Courier New" w:cs="Courier New" w:eastAsia="Courier New" w:hAnsi="Courier New"/>
          <w:sz w:val="16"/>
          <w:szCs w:val="16"/>
          <w:color w:val="auto"/>
        </w:rPr>
        <w:t>DEC-31-1996</w:t>
      </w:r>
    </w:p>
    <w:p>
      <w:pPr>
        <w:ind w:left="2700"/>
        <w:spacing w:after="0" w:line="237" w:lineRule="auto"/>
        <w:rPr>
          <w:sz w:val="20"/>
          <w:szCs w:val="20"/>
          <w:color w:val="auto"/>
        </w:rPr>
      </w:pPr>
      <w:r>
        <w:rPr>
          <w:rFonts w:ascii="Courier New" w:cs="Courier New" w:eastAsia="Courier New" w:hAnsi="Courier New"/>
          <w:sz w:val="16"/>
          <w:szCs w:val="16"/>
          <w:color w:val="auto"/>
        </w:rPr>
        <w:t>JAN-01-1996</w:t>
      </w:r>
    </w:p>
    <w:p>
      <w:pPr>
        <w:ind w:left="2880"/>
        <w:spacing w:after="0" w:line="237" w:lineRule="auto"/>
        <w:rPr>
          <w:sz w:val="20"/>
          <w:szCs w:val="20"/>
          <w:color w:val="auto"/>
        </w:rPr>
      </w:pPr>
      <w:r>
        <w:rPr>
          <w:rFonts w:ascii="Courier New" w:cs="Courier New" w:eastAsia="Courier New" w:hAnsi="Courier New"/>
          <w:sz w:val="16"/>
          <w:szCs w:val="16"/>
          <w:color w:val="auto"/>
        </w:rPr>
        <w:t>SEP-30-1996</w:t>
      </w:r>
    </w:p>
    <w:p>
      <w:pPr>
        <w:ind w:left="3620"/>
        <w:spacing w:after="0" w:line="237" w:lineRule="auto"/>
        <w:rPr>
          <w:sz w:val="20"/>
          <w:szCs w:val="20"/>
          <w:color w:val="auto"/>
        </w:rPr>
      </w:pPr>
      <w:r>
        <w:rPr>
          <w:rFonts w:ascii="Courier New" w:cs="Courier New" w:eastAsia="Courier New" w:hAnsi="Courier New"/>
          <w:sz w:val="16"/>
          <w:szCs w:val="16"/>
          <w:color w:val="auto"/>
        </w:rPr>
        <w:t>1,220,614</w:t>
      </w:r>
    </w:p>
    <w:p>
      <w:pPr>
        <w:ind w:left="3800"/>
        <w:spacing w:after="0" w:line="237" w:lineRule="auto"/>
        <w:rPr>
          <w:sz w:val="20"/>
          <w:szCs w:val="20"/>
          <w:color w:val="auto"/>
        </w:rPr>
      </w:pPr>
      <w:r>
        <w:rPr>
          <w:rFonts w:ascii="Courier New" w:cs="Courier New" w:eastAsia="Courier New" w:hAnsi="Courier New"/>
          <w:sz w:val="16"/>
          <w:szCs w:val="16"/>
          <w:color w:val="auto"/>
        </w:rPr>
        <w:t>0</w:t>
      </w:r>
    </w:p>
    <w:p>
      <w:pPr>
        <w:ind w:left="2980"/>
        <w:spacing w:after="0" w:line="237" w:lineRule="auto"/>
        <w:rPr>
          <w:sz w:val="20"/>
          <w:szCs w:val="20"/>
          <w:color w:val="auto"/>
        </w:rPr>
      </w:pPr>
      <w:r>
        <w:rPr>
          <w:rFonts w:ascii="Courier New" w:cs="Courier New" w:eastAsia="Courier New" w:hAnsi="Courier New"/>
          <w:sz w:val="16"/>
          <w:szCs w:val="16"/>
          <w:color w:val="auto"/>
        </w:rPr>
        <w:t>2,233,730</w:t>
      </w:r>
    </w:p>
    <w:p>
      <w:pPr>
        <w:ind w:left="3160"/>
        <w:spacing w:after="0" w:line="237" w:lineRule="auto"/>
        <w:rPr>
          <w:sz w:val="20"/>
          <w:szCs w:val="20"/>
          <w:color w:val="auto"/>
        </w:rPr>
      </w:pPr>
      <w:r>
        <w:rPr>
          <w:rFonts w:ascii="Courier New" w:cs="Courier New" w:eastAsia="Courier New" w:hAnsi="Courier New"/>
          <w:sz w:val="16"/>
          <w:szCs w:val="16"/>
          <w:color w:val="auto"/>
        </w:rPr>
        <w:t>(53,297)</w:t>
      </w:r>
    </w:p>
    <w:p>
      <w:pPr>
        <w:ind w:left="3340"/>
        <w:spacing w:after="0" w:line="237" w:lineRule="auto"/>
        <w:rPr>
          <w:sz w:val="20"/>
          <w:szCs w:val="20"/>
          <w:color w:val="auto"/>
        </w:rPr>
      </w:pPr>
      <w:r>
        <w:rPr>
          <w:rFonts w:ascii="Courier New" w:cs="Courier New" w:eastAsia="Courier New" w:hAnsi="Courier New"/>
          <w:sz w:val="16"/>
          <w:szCs w:val="16"/>
          <w:color w:val="auto"/>
        </w:rPr>
        <w:t>934,550</w:t>
      </w:r>
    </w:p>
    <w:p>
      <w:pPr>
        <w:ind w:left="2700"/>
        <w:spacing w:after="0" w:line="236" w:lineRule="auto"/>
        <w:rPr>
          <w:sz w:val="20"/>
          <w:szCs w:val="20"/>
          <w:color w:val="auto"/>
        </w:rPr>
      </w:pPr>
      <w:r>
        <w:rPr>
          <w:rFonts w:ascii="Courier New" w:cs="Courier New" w:eastAsia="Courier New" w:hAnsi="Courier New"/>
          <w:sz w:val="16"/>
          <w:szCs w:val="16"/>
          <w:color w:val="auto"/>
        </w:rPr>
        <w:t>4,748,023</w:t>
      </w:r>
    </w:p>
    <w:p>
      <w:pPr>
        <w:ind w:left="3620"/>
        <w:spacing w:after="0" w:line="237" w:lineRule="auto"/>
        <w:rPr>
          <w:sz w:val="20"/>
          <w:szCs w:val="20"/>
          <w:color w:val="auto"/>
        </w:rPr>
      </w:pPr>
      <w:r>
        <w:rPr>
          <w:rFonts w:ascii="Courier New" w:cs="Courier New" w:eastAsia="Courier New" w:hAnsi="Courier New"/>
          <w:sz w:val="16"/>
          <w:szCs w:val="16"/>
          <w:color w:val="auto"/>
        </w:rPr>
        <w:t>9,446,086</w:t>
      </w:r>
    </w:p>
    <w:p>
      <w:pPr>
        <w:ind w:left="2700"/>
        <w:spacing w:after="0" w:line="237" w:lineRule="auto"/>
        <w:rPr>
          <w:sz w:val="20"/>
          <w:szCs w:val="20"/>
          <w:color w:val="auto"/>
        </w:rPr>
      </w:pPr>
      <w:r>
        <w:rPr>
          <w:rFonts w:ascii="Courier New" w:cs="Courier New" w:eastAsia="Courier New" w:hAnsi="Courier New"/>
          <w:sz w:val="16"/>
          <w:szCs w:val="16"/>
          <w:color w:val="auto"/>
        </w:rPr>
        <w:t>(6,244,784)</w:t>
      </w:r>
    </w:p>
    <w:p>
      <w:pPr>
        <w:ind w:left="2880"/>
        <w:spacing w:after="0" w:line="237" w:lineRule="auto"/>
        <w:rPr>
          <w:sz w:val="20"/>
          <w:szCs w:val="20"/>
          <w:color w:val="auto"/>
        </w:rPr>
      </w:pPr>
      <w:r>
        <w:rPr>
          <w:rFonts w:ascii="Courier New" w:cs="Courier New" w:eastAsia="Courier New" w:hAnsi="Courier New"/>
          <w:sz w:val="16"/>
          <w:szCs w:val="16"/>
          <w:color w:val="auto"/>
        </w:rPr>
        <w:t>9,772,739</w:t>
      </w:r>
    </w:p>
    <w:p>
      <w:pPr>
        <w:ind w:left="2220"/>
        <w:spacing w:after="0" w:line="237" w:lineRule="auto"/>
        <w:rPr>
          <w:sz w:val="20"/>
          <w:szCs w:val="20"/>
          <w:color w:val="auto"/>
        </w:rPr>
      </w:pPr>
      <w:r>
        <w:rPr>
          <w:rFonts w:ascii="Courier New" w:cs="Courier New" w:eastAsia="Courier New" w:hAnsi="Courier New"/>
          <w:sz w:val="16"/>
          <w:szCs w:val="16"/>
          <w:color w:val="auto"/>
        </w:rPr>
        <w:t>3,164,421</w:t>
      </w:r>
    </w:p>
    <w:p>
      <w:pPr>
        <w:ind w:left="4280"/>
        <w:spacing w:after="0" w:line="237" w:lineRule="auto"/>
        <w:rPr>
          <w:sz w:val="20"/>
          <w:szCs w:val="20"/>
          <w:color w:val="auto"/>
        </w:rPr>
      </w:pPr>
      <w:r>
        <w:rPr>
          <w:rFonts w:ascii="Courier New" w:cs="Courier New" w:eastAsia="Courier New" w:hAnsi="Courier New"/>
          <w:sz w:val="16"/>
          <w:szCs w:val="16"/>
          <w:color w:val="auto"/>
        </w:rPr>
        <w:t>0</w:t>
      </w:r>
    </w:p>
    <w:p>
      <w:pPr>
        <w:ind w:left="2980"/>
        <w:spacing w:after="0" w:line="237" w:lineRule="auto"/>
        <w:rPr>
          <w:sz w:val="20"/>
          <w:szCs w:val="20"/>
          <w:color w:val="auto"/>
        </w:rPr>
      </w:pPr>
      <w:r>
        <w:rPr>
          <w:rFonts w:ascii="Courier New" w:cs="Courier New" w:eastAsia="Courier New" w:hAnsi="Courier New"/>
          <w:sz w:val="16"/>
          <w:szCs w:val="16"/>
          <w:color w:val="auto"/>
        </w:rPr>
        <w:t>0</w:t>
      </w:r>
    </w:p>
    <w:p>
      <w:pPr>
        <w:ind w:left="3900"/>
        <w:spacing w:after="0" w:line="237" w:lineRule="auto"/>
        <w:rPr>
          <w:sz w:val="20"/>
          <w:szCs w:val="20"/>
          <w:color w:val="auto"/>
        </w:rPr>
      </w:pPr>
      <w:r>
        <w:rPr>
          <w:rFonts w:ascii="Courier New" w:cs="Courier New" w:eastAsia="Courier New" w:hAnsi="Courier New"/>
          <w:sz w:val="16"/>
          <w:szCs w:val="16"/>
          <w:color w:val="auto"/>
        </w:rPr>
        <w:t>0</w:t>
      </w:r>
    </w:p>
    <w:p>
      <w:pPr>
        <w:ind w:left="3620"/>
        <w:spacing w:after="0" w:line="236" w:lineRule="auto"/>
        <w:rPr>
          <w:sz w:val="20"/>
          <w:szCs w:val="20"/>
          <w:color w:val="auto"/>
        </w:rPr>
      </w:pPr>
      <w:r>
        <w:rPr>
          <w:rFonts w:ascii="Courier New" w:cs="Courier New" w:eastAsia="Courier New" w:hAnsi="Courier New"/>
          <w:sz w:val="16"/>
          <w:szCs w:val="16"/>
          <w:color w:val="auto"/>
        </w:rPr>
        <w:t>805,589</w:t>
      </w:r>
    </w:p>
    <w:p>
      <w:pPr>
        <w:ind w:left="3260"/>
        <w:spacing w:after="0" w:line="237" w:lineRule="auto"/>
        <w:rPr>
          <w:sz w:val="20"/>
          <w:szCs w:val="20"/>
          <w:color w:val="auto"/>
        </w:rPr>
      </w:pPr>
      <w:r>
        <w:rPr>
          <w:rFonts w:ascii="Courier New" w:cs="Courier New" w:eastAsia="Courier New" w:hAnsi="Courier New"/>
          <w:sz w:val="16"/>
          <w:szCs w:val="16"/>
          <w:color w:val="auto"/>
        </w:rPr>
        <w:t>4,616,966</w:t>
      </w:r>
    </w:p>
    <w:p>
      <w:pPr>
        <w:ind w:left="1580"/>
        <w:spacing w:after="0" w:line="237" w:lineRule="auto"/>
        <w:rPr>
          <w:sz w:val="20"/>
          <w:szCs w:val="20"/>
          <w:color w:val="auto"/>
        </w:rPr>
      </w:pPr>
      <w:r>
        <w:rPr>
          <w:rFonts w:ascii="Courier New" w:cs="Courier New" w:eastAsia="Courier New" w:hAnsi="Courier New"/>
          <w:sz w:val="16"/>
          <w:szCs w:val="16"/>
          <w:color w:val="auto"/>
        </w:rPr>
        <w:t>9,772,739</w:t>
      </w:r>
    </w:p>
    <w:p>
      <w:pPr>
        <w:ind w:left="3540"/>
        <w:spacing w:after="0" w:line="237" w:lineRule="auto"/>
        <w:rPr>
          <w:sz w:val="20"/>
          <w:szCs w:val="20"/>
          <w:color w:val="auto"/>
        </w:rPr>
      </w:pPr>
      <w:r>
        <w:rPr>
          <w:rFonts w:ascii="Courier New" w:cs="Courier New" w:eastAsia="Courier New" w:hAnsi="Courier New"/>
          <w:sz w:val="16"/>
          <w:szCs w:val="16"/>
          <w:color w:val="auto"/>
        </w:rPr>
        <w:t>1,796,677</w:t>
      </w:r>
    </w:p>
    <w:p>
      <w:pPr>
        <w:ind w:left="2700"/>
        <w:spacing w:after="0" w:line="237" w:lineRule="auto"/>
        <w:rPr>
          <w:sz w:val="20"/>
          <w:szCs w:val="20"/>
          <w:color w:val="auto"/>
        </w:rPr>
      </w:pPr>
      <w:r>
        <w:rPr>
          <w:rFonts w:ascii="Courier New" w:cs="Courier New" w:eastAsia="Courier New" w:hAnsi="Courier New"/>
          <w:sz w:val="16"/>
          <w:szCs w:val="16"/>
          <w:color w:val="auto"/>
        </w:rPr>
        <w:t>6,492,000</w:t>
      </w:r>
    </w:p>
    <w:p>
      <w:pPr>
        <w:ind w:left="3720"/>
        <w:spacing w:after="0" w:line="237" w:lineRule="auto"/>
        <w:rPr>
          <w:sz w:val="20"/>
          <w:szCs w:val="20"/>
          <w:color w:val="auto"/>
        </w:rPr>
      </w:pPr>
      <w:r>
        <w:rPr>
          <w:rFonts w:ascii="Courier New" w:cs="Courier New" w:eastAsia="Courier New" w:hAnsi="Courier New"/>
          <w:sz w:val="16"/>
          <w:szCs w:val="16"/>
          <w:color w:val="auto"/>
        </w:rPr>
        <w:t>1,576,940</w:t>
      </w:r>
    </w:p>
    <w:p>
      <w:pPr>
        <w:ind w:left="2980"/>
        <w:spacing w:after="0" w:line="237" w:lineRule="auto"/>
        <w:rPr>
          <w:sz w:val="20"/>
          <w:szCs w:val="20"/>
          <w:color w:val="auto"/>
        </w:rPr>
      </w:pPr>
      <w:r>
        <w:rPr>
          <w:rFonts w:ascii="Courier New" w:cs="Courier New" w:eastAsia="Courier New" w:hAnsi="Courier New"/>
          <w:sz w:val="16"/>
          <w:szCs w:val="16"/>
          <w:color w:val="auto"/>
        </w:rPr>
        <w:t>4,933,339</w:t>
      </w:r>
    </w:p>
    <w:p>
      <w:pPr>
        <w:ind w:left="2700"/>
        <w:spacing w:after="0" w:line="237" w:lineRule="auto"/>
        <w:rPr>
          <w:sz w:val="20"/>
          <w:szCs w:val="20"/>
          <w:color w:val="auto"/>
        </w:rPr>
      </w:pPr>
      <w:r>
        <w:rPr>
          <w:rFonts w:ascii="Courier New" w:cs="Courier New" w:eastAsia="Courier New" w:hAnsi="Courier New"/>
          <w:sz w:val="16"/>
          <w:szCs w:val="16"/>
          <w:color w:val="auto"/>
        </w:rPr>
        <w:t>1,151,881</w:t>
      </w:r>
    </w:p>
    <w:p>
      <w:pPr>
        <w:ind w:left="2980"/>
        <w:spacing w:after="0" w:line="236" w:lineRule="auto"/>
        <w:rPr>
          <w:sz w:val="20"/>
          <w:szCs w:val="20"/>
          <w:color w:val="auto"/>
        </w:rPr>
      </w:pPr>
      <w:r>
        <w:rPr>
          <w:rFonts w:ascii="Courier New" w:cs="Courier New" w:eastAsia="Courier New" w:hAnsi="Courier New"/>
          <w:sz w:val="16"/>
          <w:szCs w:val="16"/>
          <w:color w:val="auto"/>
        </w:rPr>
        <w:t>16,460</w:t>
      </w:r>
    </w:p>
    <w:p>
      <w:pPr>
        <w:ind w:left="2780"/>
        <w:spacing w:after="0" w:line="237" w:lineRule="auto"/>
        <w:rPr>
          <w:sz w:val="20"/>
          <w:szCs w:val="20"/>
          <w:color w:val="auto"/>
        </w:rPr>
      </w:pPr>
      <w:r>
        <w:rPr>
          <w:rFonts w:ascii="Courier New" w:cs="Courier New" w:eastAsia="Courier New" w:hAnsi="Courier New"/>
          <w:sz w:val="16"/>
          <w:szCs w:val="16"/>
          <w:color w:val="auto"/>
        </w:rPr>
        <w:t>54,005</w:t>
      </w:r>
    </w:p>
    <w:p>
      <w:pPr>
        <w:ind w:left="2980"/>
        <w:spacing w:after="0" w:line="237" w:lineRule="auto"/>
        <w:rPr>
          <w:sz w:val="20"/>
          <w:szCs w:val="20"/>
          <w:color w:val="auto"/>
        </w:rPr>
      </w:pPr>
      <w:r>
        <w:rPr>
          <w:rFonts w:ascii="Courier New" w:cs="Courier New" w:eastAsia="Courier New" w:hAnsi="Courier New"/>
          <w:sz w:val="16"/>
          <w:szCs w:val="16"/>
          <w:color w:val="auto"/>
        </w:rPr>
        <w:t>352,775</w:t>
      </w:r>
    </w:p>
    <w:p>
      <w:pPr>
        <w:ind w:left="3060"/>
        <w:spacing w:after="0" w:line="237" w:lineRule="auto"/>
        <w:rPr>
          <w:sz w:val="20"/>
          <w:szCs w:val="20"/>
          <w:color w:val="auto"/>
        </w:rPr>
      </w:pPr>
      <w:r>
        <w:rPr>
          <w:rFonts w:ascii="Courier New" w:cs="Courier New" w:eastAsia="Courier New" w:hAnsi="Courier New"/>
          <w:sz w:val="16"/>
          <w:szCs w:val="16"/>
          <w:color w:val="auto"/>
        </w:rPr>
        <w:t>(243,645)</w:t>
      </w:r>
    </w:p>
    <w:p>
      <w:pPr>
        <w:ind w:left="2600"/>
        <w:spacing w:after="0" w:line="237" w:lineRule="auto"/>
        <w:rPr>
          <w:sz w:val="20"/>
          <w:szCs w:val="20"/>
          <w:color w:val="auto"/>
        </w:rPr>
      </w:pPr>
      <w:r>
        <w:rPr>
          <w:rFonts w:ascii="Courier New" w:cs="Courier New" w:eastAsia="Courier New" w:hAnsi="Courier New"/>
          <w:sz w:val="16"/>
          <w:szCs w:val="16"/>
          <w:color w:val="auto"/>
        </w:rPr>
        <w:t>596,420</w:t>
      </w:r>
    </w:p>
    <w:p>
      <w:pPr>
        <w:ind w:left="3620"/>
        <w:spacing w:after="0" w:line="237" w:lineRule="auto"/>
        <w:rPr>
          <w:sz w:val="20"/>
          <w:szCs w:val="20"/>
          <w:color w:val="auto"/>
        </w:rPr>
      </w:pPr>
      <w:r>
        <w:rPr>
          <w:rFonts w:ascii="Courier New" w:cs="Courier New" w:eastAsia="Courier New" w:hAnsi="Courier New"/>
          <w:sz w:val="16"/>
          <w:szCs w:val="16"/>
          <w:color w:val="auto"/>
        </w:rPr>
        <w:t>0</w:t>
      </w:r>
    </w:p>
    <w:p>
      <w:pPr>
        <w:ind w:left="3540"/>
        <w:spacing w:after="0" w:line="237" w:lineRule="auto"/>
        <w:rPr>
          <w:sz w:val="20"/>
          <w:szCs w:val="20"/>
          <w:color w:val="auto"/>
        </w:rPr>
      </w:pPr>
      <w:r>
        <w:rPr>
          <w:rFonts w:ascii="Courier New" w:cs="Courier New" w:eastAsia="Courier New" w:hAnsi="Courier New"/>
          <w:sz w:val="16"/>
          <w:szCs w:val="16"/>
          <w:color w:val="auto"/>
        </w:rPr>
        <w:t>0</w:t>
      </w:r>
    </w:p>
    <w:p>
      <w:pPr>
        <w:ind w:left="4080"/>
        <w:spacing w:after="0" w:line="237" w:lineRule="auto"/>
        <w:rPr>
          <w:sz w:val="20"/>
          <w:szCs w:val="20"/>
          <w:color w:val="auto"/>
        </w:rPr>
      </w:pPr>
      <w:r>
        <w:rPr>
          <w:rFonts w:ascii="Courier New" w:cs="Courier New" w:eastAsia="Courier New" w:hAnsi="Courier New"/>
          <w:sz w:val="16"/>
          <w:szCs w:val="16"/>
          <w:color w:val="auto"/>
        </w:rPr>
        <w:t>0</w:t>
      </w:r>
    </w:p>
    <w:p>
      <w:pPr>
        <w:ind w:left="3260"/>
        <w:spacing w:after="0" w:line="236" w:lineRule="auto"/>
        <w:rPr>
          <w:sz w:val="20"/>
          <w:szCs w:val="20"/>
          <w:color w:val="auto"/>
        </w:rPr>
      </w:pPr>
      <w:r>
        <w:rPr>
          <w:rFonts w:ascii="Courier New" w:cs="Courier New" w:eastAsia="Courier New" w:hAnsi="Courier New"/>
          <w:sz w:val="16"/>
          <w:szCs w:val="16"/>
          <w:color w:val="auto"/>
        </w:rPr>
        <w:t>596,420</w:t>
      </w:r>
    </w:p>
    <w:p>
      <w:pPr>
        <w:ind w:left="3440"/>
        <w:spacing w:after="0" w:line="237" w:lineRule="auto"/>
        <w:rPr>
          <w:sz w:val="20"/>
          <w:szCs w:val="20"/>
          <w:color w:val="auto"/>
        </w:rPr>
      </w:pPr>
      <w:r>
        <w:rPr>
          <w:rFonts w:ascii="Courier New" w:cs="Courier New" w:eastAsia="Courier New" w:hAnsi="Courier New"/>
          <w:sz w:val="16"/>
          <w:szCs w:val="16"/>
          <w:color w:val="auto"/>
        </w:rPr>
        <w:t>1.22</w:t>
      </w:r>
    </w:p>
    <w:p>
      <w:pPr>
        <w:ind w:left="3440"/>
        <w:spacing w:after="0" w:line="237" w:lineRule="auto"/>
        <w:rPr>
          <w:sz w:val="20"/>
          <w:szCs w:val="20"/>
          <w:color w:val="auto"/>
        </w:rPr>
      </w:pPr>
      <w:r>
        <w:rPr>
          <w:rFonts w:ascii="Courier New" w:cs="Courier New" w:eastAsia="Courier New" w:hAnsi="Courier New"/>
          <w:sz w:val="16"/>
          <w:szCs w:val="16"/>
          <w:color w:val="auto"/>
        </w:rPr>
        <w:t>1.20</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Restated for two-for-one stock split on June 2, 1997.</w:t>
      </w:r>
    </w:p>
    <w:p>
      <w:pPr>
        <w:spacing w:after="0" w:line="236" w:lineRule="auto"/>
        <w:rPr>
          <w:sz w:val="20"/>
          <w:szCs w:val="20"/>
          <w:color w:val="auto"/>
        </w:rPr>
      </w:pPr>
      <w:r>
        <w:rPr>
          <w:rFonts w:ascii="Courier New" w:cs="Courier New" w:eastAsia="Courier New" w:hAnsi="Courier New"/>
          <w:sz w:val="16"/>
          <w:szCs w:val="16"/>
          <w:color w:val="auto"/>
        </w:rPr>
        <w:t>As required by SFAS 128.</w:t>
      </w:r>
    </w:p>
    <w:p>
      <w:pPr>
        <w:sectPr>
          <w:pgSz w:w="11900" w:h="16838" w:orient="portrait"/>
          <w:cols w:equalWidth="0" w:num="1">
            <w:col w:w="10219"/>
          </w:cols>
          <w:pgMar w:left="240" w:top="135" w:right="1440" w:bottom="1440" w:gutter="0" w:footer="0" w:header="0"/>
        </w:sectPr>
      </w:pPr>
    </w:p>
    <w:bookmarkStart w:id="31" w:name="page32"/>
    <w:bookmarkEnd w:id="31"/>
    <w:p>
      <w:pPr>
        <w:spacing w:after="0" w:line="236" w:lineRule="auto"/>
        <w:rPr>
          <w:sz w:val="20"/>
          <w:szCs w:val="20"/>
          <w:color w:val="auto"/>
        </w:rPr>
      </w:pPr>
    </w:p>
    <w:p>
      <w:pPr>
        <w:sectPr>
          <w:pgSz w:w="11900" w:h="16838" w:orient="portrait"/>
          <w:cols w:equalWidth="1" w:num="1" w:space="0"/>
          <w:pgMar w:left="1440" w:top="1440" w:right="1440" w:bottom="875" w:gutter="0" w:footer="0" w:header="0"/>
        </w:sectPr>
      </w:pPr>
    </w:p>
    <w:bookmarkStart w:id="32" w:name="page33"/>
    <w:bookmarkEnd w:id="32"/>
    <w:p>
      <w:pPr>
        <w:ind w:left="80"/>
        <w:spacing w:after="0"/>
        <w:rPr>
          <w:sz w:val="20"/>
          <w:szCs w:val="20"/>
          <w:color w:val="auto"/>
        </w:rPr>
      </w:pPr>
      <w:r>
        <w:rPr>
          <w:rFonts w:ascii="Courier New" w:cs="Courier New" w:eastAsia="Courier New" w:hAnsi="Courier New"/>
          <w:sz w:val="16"/>
          <w:szCs w:val="16"/>
          <w:color w:val="auto"/>
        </w:rPr>
        <w:t>5</w:t>
      </w:r>
    </w:p>
    <w:p>
      <w:pPr>
        <w:spacing w:after="0" w:line="183" w:lineRule="exact"/>
        <w:rPr>
          <w:sz w:val="20"/>
          <w:szCs w:val="20"/>
          <w:color w:val="auto"/>
        </w:rPr>
      </w:pPr>
    </w:p>
    <w:p>
      <w:pPr>
        <w:ind w:left="20" w:right="3039"/>
        <w:spacing w:after="0" w:line="295" w:lineRule="auto"/>
        <w:rPr>
          <w:sz w:val="20"/>
          <w:szCs w:val="20"/>
          <w:color w:val="auto"/>
        </w:rPr>
      </w:pPr>
      <w:r>
        <w:rPr>
          <w:rFonts w:ascii="Courier New" w:cs="Courier New" w:eastAsia="Courier New" w:hAnsi="Courier New"/>
          <w:sz w:val="14"/>
          <w:szCs w:val="14"/>
          <w:color w:val="auto"/>
        </w:rPr>
        <w:t>THIS SCHEDULE CONTAINS SUMMARY FINANCIAL INFORMATION EXTRACTED FROM FORM 10-Q AND IS QUALIFIED IN ITS ENTIRETY BY REFERENCE TO SUCH FINANCIAL STATEMENTS.</w:t>
      </w:r>
    </w:p>
    <w:p>
      <w:pPr>
        <w:spacing w:after="0" w:line="14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1,000</w:t>
      </w:r>
    </w:p>
    <w:p>
      <w:pPr>
        <w:spacing w:after="0" w:line="355"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6-MOS</w:t>
      </w:r>
    </w:p>
    <w:p>
      <w:pPr>
        <w:ind w:left="2420"/>
        <w:spacing w:after="0" w:line="236" w:lineRule="auto"/>
        <w:rPr>
          <w:sz w:val="20"/>
          <w:szCs w:val="20"/>
          <w:color w:val="auto"/>
        </w:rPr>
      </w:pPr>
      <w:r>
        <w:rPr>
          <w:rFonts w:ascii="Courier New" w:cs="Courier New" w:eastAsia="Courier New" w:hAnsi="Courier New"/>
          <w:sz w:val="16"/>
          <w:szCs w:val="16"/>
          <w:color w:val="auto"/>
        </w:rPr>
        <w:t>DEC-31-1996</w:t>
      </w:r>
    </w:p>
    <w:p>
      <w:pPr>
        <w:ind w:left="2700"/>
        <w:spacing w:after="0" w:line="237" w:lineRule="auto"/>
        <w:rPr>
          <w:sz w:val="20"/>
          <w:szCs w:val="20"/>
          <w:color w:val="auto"/>
        </w:rPr>
      </w:pPr>
      <w:r>
        <w:rPr>
          <w:rFonts w:ascii="Courier New" w:cs="Courier New" w:eastAsia="Courier New" w:hAnsi="Courier New"/>
          <w:sz w:val="16"/>
          <w:szCs w:val="16"/>
          <w:color w:val="auto"/>
        </w:rPr>
        <w:t>JAN-01-1996</w:t>
      </w:r>
    </w:p>
    <w:p>
      <w:pPr>
        <w:ind w:left="2880"/>
        <w:spacing w:after="0" w:line="237" w:lineRule="auto"/>
        <w:rPr>
          <w:sz w:val="20"/>
          <w:szCs w:val="20"/>
          <w:color w:val="auto"/>
        </w:rPr>
      </w:pPr>
      <w:r>
        <w:rPr>
          <w:rFonts w:ascii="Courier New" w:cs="Courier New" w:eastAsia="Courier New" w:hAnsi="Courier New"/>
          <w:sz w:val="16"/>
          <w:szCs w:val="16"/>
          <w:color w:val="auto"/>
        </w:rPr>
        <w:t>JUN-30-1996</w:t>
      </w:r>
    </w:p>
    <w:p>
      <w:pPr>
        <w:ind w:left="3620"/>
        <w:spacing w:after="0" w:line="237" w:lineRule="auto"/>
        <w:rPr>
          <w:sz w:val="20"/>
          <w:szCs w:val="20"/>
          <w:color w:val="auto"/>
        </w:rPr>
      </w:pPr>
      <w:r>
        <w:rPr>
          <w:rFonts w:ascii="Courier New" w:cs="Courier New" w:eastAsia="Courier New" w:hAnsi="Courier New"/>
          <w:sz w:val="16"/>
          <w:szCs w:val="16"/>
          <w:color w:val="auto"/>
        </w:rPr>
        <w:t>1,157,535</w:t>
      </w:r>
    </w:p>
    <w:p>
      <w:pPr>
        <w:ind w:left="3800"/>
        <w:spacing w:after="0" w:line="237" w:lineRule="auto"/>
        <w:rPr>
          <w:sz w:val="20"/>
          <w:szCs w:val="20"/>
          <w:color w:val="auto"/>
        </w:rPr>
      </w:pPr>
      <w:r>
        <w:rPr>
          <w:rFonts w:ascii="Courier New" w:cs="Courier New" w:eastAsia="Courier New" w:hAnsi="Courier New"/>
          <w:sz w:val="16"/>
          <w:szCs w:val="16"/>
          <w:color w:val="auto"/>
        </w:rPr>
        <w:t>0</w:t>
      </w:r>
    </w:p>
    <w:p>
      <w:pPr>
        <w:ind w:left="2980"/>
        <w:spacing w:after="0" w:line="237" w:lineRule="auto"/>
        <w:rPr>
          <w:sz w:val="20"/>
          <w:szCs w:val="20"/>
          <w:color w:val="auto"/>
        </w:rPr>
      </w:pPr>
      <w:r>
        <w:rPr>
          <w:rFonts w:ascii="Courier New" w:cs="Courier New" w:eastAsia="Courier New" w:hAnsi="Courier New"/>
          <w:sz w:val="16"/>
          <w:szCs w:val="16"/>
          <w:color w:val="auto"/>
        </w:rPr>
        <w:t>2,147,255</w:t>
      </w:r>
    </w:p>
    <w:p>
      <w:pPr>
        <w:ind w:left="3160"/>
        <w:spacing w:after="0" w:line="237" w:lineRule="auto"/>
        <w:rPr>
          <w:sz w:val="20"/>
          <w:szCs w:val="20"/>
          <w:color w:val="auto"/>
        </w:rPr>
      </w:pPr>
      <w:r>
        <w:rPr>
          <w:rFonts w:ascii="Courier New" w:cs="Courier New" w:eastAsia="Courier New" w:hAnsi="Courier New"/>
          <w:sz w:val="16"/>
          <w:szCs w:val="16"/>
          <w:color w:val="auto"/>
        </w:rPr>
        <w:t>(46,586)</w:t>
      </w:r>
    </w:p>
    <w:p>
      <w:pPr>
        <w:ind w:left="3340"/>
        <w:spacing w:after="0" w:line="237" w:lineRule="auto"/>
        <w:rPr>
          <w:sz w:val="20"/>
          <w:szCs w:val="20"/>
          <w:color w:val="auto"/>
        </w:rPr>
      </w:pPr>
      <w:r>
        <w:rPr>
          <w:rFonts w:ascii="Courier New" w:cs="Courier New" w:eastAsia="Courier New" w:hAnsi="Courier New"/>
          <w:sz w:val="16"/>
          <w:szCs w:val="16"/>
          <w:color w:val="auto"/>
        </w:rPr>
        <w:t>914,117</w:t>
      </w:r>
    </w:p>
    <w:p>
      <w:pPr>
        <w:ind w:left="2700"/>
        <w:spacing w:after="0" w:line="236" w:lineRule="auto"/>
        <w:rPr>
          <w:sz w:val="20"/>
          <w:szCs w:val="20"/>
          <w:color w:val="auto"/>
        </w:rPr>
      </w:pPr>
      <w:r>
        <w:rPr>
          <w:rFonts w:ascii="Courier New" w:cs="Courier New" w:eastAsia="Courier New" w:hAnsi="Courier New"/>
          <w:sz w:val="16"/>
          <w:szCs w:val="16"/>
          <w:color w:val="auto"/>
        </w:rPr>
        <w:t>4,379,460</w:t>
      </w:r>
    </w:p>
    <w:p>
      <w:pPr>
        <w:ind w:left="3620"/>
        <w:spacing w:after="0" w:line="237" w:lineRule="auto"/>
        <w:rPr>
          <w:sz w:val="20"/>
          <w:szCs w:val="20"/>
          <w:color w:val="auto"/>
        </w:rPr>
      </w:pPr>
      <w:r>
        <w:rPr>
          <w:rFonts w:ascii="Courier New" w:cs="Courier New" w:eastAsia="Courier New" w:hAnsi="Courier New"/>
          <w:sz w:val="16"/>
          <w:szCs w:val="16"/>
          <w:color w:val="auto"/>
        </w:rPr>
        <w:t>9,315,445</w:t>
      </w:r>
    </w:p>
    <w:p>
      <w:pPr>
        <w:ind w:left="2700"/>
        <w:spacing w:after="0" w:line="237" w:lineRule="auto"/>
        <w:rPr>
          <w:sz w:val="20"/>
          <w:szCs w:val="20"/>
          <w:color w:val="auto"/>
        </w:rPr>
      </w:pPr>
      <w:r>
        <w:rPr>
          <w:rFonts w:ascii="Courier New" w:cs="Courier New" w:eastAsia="Courier New" w:hAnsi="Courier New"/>
          <w:sz w:val="16"/>
          <w:szCs w:val="16"/>
          <w:color w:val="auto"/>
        </w:rPr>
        <w:t>(6,157,159)</w:t>
      </w:r>
    </w:p>
    <w:p>
      <w:pPr>
        <w:ind w:left="2880"/>
        <w:spacing w:after="0" w:line="237" w:lineRule="auto"/>
        <w:rPr>
          <w:sz w:val="20"/>
          <w:szCs w:val="20"/>
          <w:color w:val="auto"/>
        </w:rPr>
      </w:pPr>
      <w:r>
        <w:rPr>
          <w:rFonts w:ascii="Courier New" w:cs="Courier New" w:eastAsia="Courier New" w:hAnsi="Courier New"/>
          <w:sz w:val="16"/>
          <w:szCs w:val="16"/>
          <w:color w:val="auto"/>
        </w:rPr>
        <w:t>9,207,136</w:t>
      </w:r>
    </w:p>
    <w:p>
      <w:pPr>
        <w:ind w:left="2220"/>
        <w:spacing w:after="0" w:line="237" w:lineRule="auto"/>
        <w:rPr>
          <w:sz w:val="20"/>
          <w:szCs w:val="20"/>
          <w:color w:val="auto"/>
        </w:rPr>
      </w:pPr>
      <w:r>
        <w:rPr>
          <w:rFonts w:ascii="Courier New" w:cs="Courier New" w:eastAsia="Courier New" w:hAnsi="Courier New"/>
          <w:sz w:val="16"/>
          <w:szCs w:val="16"/>
          <w:color w:val="auto"/>
        </w:rPr>
        <w:t>2,839,599</w:t>
      </w:r>
    </w:p>
    <w:p>
      <w:pPr>
        <w:ind w:left="4280"/>
        <w:spacing w:after="0" w:line="237" w:lineRule="auto"/>
        <w:rPr>
          <w:sz w:val="20"/>
          <w:szCs w:val="20"/>
          <w:color w:val="auto"/>
        </w:rPr>
      </w:pPr>
      <w:r>
        <w:rPr>
          <w:rFonts w:ascii="Courier New" w:cs="Courier New" w:eastAsia="Courier New" w:hAnsi="Courier New"/>
          <w:sz w:val="16"/>
          <w:szCs w:val="16"/>
          <w:color w:val="auto"/>
        </w:rPr>
        <w:t>0</w:t>
      </w:r>
    </w:p>
    <w:p>
      <w:pPr>
        <w:ind w:left="2980"/>
        <w:spacing w:after="0" w:line="237" w:lineRule="auto"/>
        <w:rPr>
          <w:sz w:val="20"/>
          <w:szCs w:val="20"/>
          <w:color w:val="auto"/>
        </w:rPr>
      </w:pPr>
      <w:r>
        <w:rPr>
          <w:rFonts w:ascii="Courier New" w:cs="Courier New" w:eastAsia="Courier New" w:hAnsi="Courier New"/>
          <w:sz w:val="16"/>
          <w:szCs w:val="16"/>
          <w:color w:val="auto"/>
        </w:rPr>
        <w:t>0</w:t>
      </w:r>
    </w:p>
    <w:p>
      <w:pPr>
        <w:ind w:left="3900"/>
        <w:spacing w:after="0" w:line="237" w:lineRule="auto"/>
        <w:rPr>
          <w:sz w:val="20"/>
          <w:szCs w:val="20"/>
          <w:color w:val="auto"/>
        </w:rPr>
      </w:pPr>
      <w:r>
        <w:rPr>
          <w:rFonts w:ascii="Courier New" w:cs="Courier New" w:eastAsia="Courier New" w:hAnsi="Courier New"/>
          <w:sz w:val="16"/>
          <w:szCs w:val="16"/>
          <w:color w:val="auto"/>
        </w:rPr>
        <w:t>0</w:t>
      </w:r>
    </w:p>
    <w:p>
      <w:pPr>
        <w:ind w:left="3620"/>
        <w:spacing w:after="0" w:line="236" w:lineRule="auto"/>
        <w:rPr>
          <w:sz w:val="20"/>
          <w:szCs w:val="20"/>
          <w:color w:val="auto"/>
        </w:rPr>
      </w:pPr>
      <w:r>
        <w:rPr>
          <w:rFonts w:ascii="Courier New" w:cs="Courier New" w:eastAsia="Courier New" w:hAnsi="Courier New"/>
          <w:sz w:val="16"/>
          <w:szCs w:val="16"/>
          <w:color w:val="auto"/>
        </w:rPr>
        <w:t>763,120</w:t>
      </w:r>
    </w:p>
    <w:p>
      <w:pPr>
        <w:ind w:left="3260"/>
        <w:spacing w:after="0" w:line="237" w:lineRule="auto"/>
        <w:rPr>
          <w:sz w:val="20"/>
          <w:szCs w:val="20"/>
          <w:color w:val="auto"/>
        </w:rPr>
      </w:pPr>
      <w:r>
        <w:rPr>
          <w:rFonts w:ascii="Courier New" w:cs="Courier New" w:eastAsia="Courier New" w:hAnsi="Courier New"/>
          <w:sz w:val="16"/>
          <w:szCs w:val="16"/>
          <w:color w:val="auto"/>
        </w:rPr>
        <w:t>4,468,804</w:t>
      </w:r>
    </w:p>
    <w:p>
      <w:pPr>
        <w:ind w:left="1580"/>
        <w:spacing w:after="0" w:line="237" w:lineRule="auto"/>
        <w:rPr>
          <w:sz w:val="20"/>
          <w:szCs w:val="20"/>
          <w:color w:val="auto"/>
        </w:rPr>
      </w:pPr>
      <w:r>
        <w:rPr>
          <w:rFonts w:ascii="Courier New" w:cs="Courier New" w:eastAsia="Courier New" w:hAnsi="Courier New"/>
          <w:sz w:val="16"/>
          <w:szCs w:val="16"/>
          <w:color w:val="auto"/>
        </w:rPr>
        <w:t>9,207,136</w:t>
      </w:r>
    </w:p>
    <w:p>
      <w:pPr>
        <w:ind w:left="3540"/>
        <w:spacing w:after="0" w:line="237" w:lineRule="auto"/>
        <w:rPr>
          <w:sz w:val="20"/>
          <w:szCs w:val="20"/>
          <w:color w:val="auto"/>
        </w:rPr>
      </w:pPr>
      <w:r>
        <w:rPr>
          <w:rFonts w:ascii="Courier New" w:cs="Courier New" w:eastAsia="Courier New" w:hAnsi="Courier New"/>
          <w:sz w:val="16"/>
          <w:szCs w:val="16"/>
          <w:color w:val="auto"/>
        </w:rPr>
        <w:t>1,551,161</w:t>
      </w:r>
    </w:p>
    <w:p>
      <w:pPr>
        <w:ind w:left="2700"/>
        <w:spacing w:after="0" w:line="237" w:lineRule="auto"/>
        <w:rPr>
          <w:sz w:val="20"/>
          <w:szCs w:val="20"/>
          <w:color w:val="auto"/>
        </w:rPr>
      </w:pPr>
      <w:r>
        <w:rPr>
          <w:rFonts w:ascii="Courier New" w:cs="Courier New" w:eastAsia="Courier New" w:hAnsi="Courier New"/>
          <w:sz w:val="16"/>
          <w:szCs w:val="16"/>
          <w:color w:val="auto"/>
        </w:rPr>
        <w:t>4,212,055</w:t>
      </w:r>
    </w:p>
    <w:p>
      <w:pPr>
        <w:ind w:left="3720"/>
        <w:spacing w:after="0" w:line="237" w:lineRule="auto"/>
        <w:rPr>
          <w:sz w:val="20"/>
          <w:szCs w:val="20"/>
          <w:color w:val="auto"/>
        </w:rPr>
      </w:pPr>
      <w:r>
        <w:rPr>
          <w:rFonts w:ascii="Courier New" w:cs="Courier New" w:eastAsia="Courier New" w:hAnsi="Courier New"/>
          <w:sz w:val="16"/>
          <w:szCs w:val="16"/>
          <w:color w:val="auto"/>
        </w:rPr>
        <w:t>1,009,838</w:t>
      </w:r>
    </w:p>
    <w:p>
      <w:pPr>
        <w:ind w:left="2980"/>
        <w:spacing w:after="0" w:line="237" w:lineRule="auto"/>
        <w:rPr>
          <w:sz w:val="20"/>
          <w:szCs w:val="20"/>
          <w:color w:val="auto"/>
        </w:rPr>
      </w:pPr>
      <w:r>
        <w:rPr>
          <w:rFonts w:ascii="Courier New" w:cs="Courier New" w:eastAsia="Courier New" w:hAnsi="Courier New"/>
          <w:sz w:val="16"/>
          <w:szCs w:val="16"/>
          <w:color w:val="auto"/>
        </w:rPr>
        <w:t>3,181,600</w:t>
      </w:r>
    </w:p>
    <w:p>
      <w:pPr>
        <w:ind w:left="2880"/>
        <w:spacing w:after="0" w:line="237" w:lineRule="auto"/>
        <w:rPr>
          <w:sz w:val="20"/>
          <w:szCs w:val="20"/>
          <w:color w:val="auto"/>
        </w:rPr>
      </w:pPr>
      <w:r>
        <w:rPr>
          <w:rFonts w:ascii="Courier New" w:cs="Courier New" w:eastAsia="Courier New" w:hAnsi="Courier New"/>
          <w:sz w:val="16"/>
          <w:szCs w:val="16"/>
          <w:color w:val="auto"/>
        </w:rPr>
        <w:t>548,005</w:t>
      </w:r>
    </w:p>
    <w:p>
      <w:pPr>
        <w:ind w:left="3060"/>
        <w:spacing w:after="0" w:line="236" w:lineRule="auto"/>
        <w:rPr>
          <w:sz w:val="20"/>
          <w:szCs w:val="20"/>
          <w:color w:val="auto"/>
        </w:rPr>
      </w:pPr>
      <w:r>
        <w:rPr>
          <w:rFonts w:ascii="Courier New" w:cs="Courier New" w:eastAsia="Courier New" w:hAnsi="Courier New"/>
          <w:sz w:val="16"/>
          <w:szCs w:val="16"/>
          <w:color w:val="auto"/>
        </w:rPr>
        <w:t>7,922</w:t>
      </w:r>
    </w:p>
    <w:p>
      <w:pPr>
        <w:ind w:left="2780"/>
        <w:spacing w:after="0" w:line="237" w:lineRule="auto"/>
        <w:rPr>
          <w:sz w:val="20"/>
          <w:szCs w:val="20"/>
          <w:color w:val="auto"/>
        </w:rPr>
      </w:pPr>
      <w:r>
        <w:rPr>
          <w:rFonts w:ascii="Courier New" w:cs="Courier New" w:eastAsia="Courier New" w:hAnsi="Courier New"/>
          <w:sz w:val="16"/>
          <w:szCs w:val="16"/>
          <w:color w:val="auto"/>
        </w:rPr>
        <w:t>35,463</w:t>
      </w:r>
    </w:p>
    <w:p>
      <w:pPr>
        <w:ind w:left="2980"/>
        <w:spacing w:after="0" w:line="237" w:lineRule="auto"/>
        <w:rPr>
          <w:sz w:val="20"/>
          <w:szCs w:val="20"/>
          <w:color w:val="auto"/>
        </w:rPr>
      </w:pPr>
      <w:r>
        <w:rPr>
          <w:rFonts w:ascii="Courier New" w:cs="Courier New" w:eastAsia="Courier New" w:hAnsi="Courier New"/>
          <w:sz w:val="16"/>
          <w:szCs w:val="16"/>
          <w:color w:val="auto"/>
        </w:rPr>
        <w:t>446,987</w:t>
      </w:r>
    </w:p>
    <w:p>
      <w:pPr>
        <w:ind w:left="3340"/>
        <w:spacing w:after="0" w:line="237" w:lineRule="auto"/>
        <w:rPr>
          <w:sz w:val="20"/>
          <w:szCs w:val="20"/>
          <w:color w:val="auto"/>
        </w:rPr>
      </w:pPr>
      <w:r>
        <w:rPr>
          <w:rFonts w:ascii="Courier New" w:cs="Courier New" w:eastAsia="Courier New" w:hAnsi="Courier New"/>
          <w:sz w:val="16"/>
          <w:szCs w:val="16"/>
          <w:color w:val="auto"/>
        </w:rPr>
        <w:t>79,402</w:t>
      </w:r>
    </w:p>
    <w:p>
      <w:pPr>
        <w:ind w:left="2600"/>
        <w:spacing w:after="0" w:line="237" w:lineRule="auto"/>
        <w:rPr>
          <w:sz w:val="20"/>
          <w:szCs w:val="20"/>
          <w:color w:val="auto"/>
        </w:rPr>
      </w:pPr>
      <w:r>
        <w:rPr>
          <w:rFonts w:ascii="Courier New" w:cs="Courier New" w:eastAsia="Courier New" w:hAnsi="Courier New"/>
          <w:sz w:val="16"/>
          <w:szCs w:val="16"/>
          <w:color w:val="auto"/>
        </w:rPr>
        <w:t>367,585</w:t>
      </w:r>
    </w:p>
    <w:p>
      <w:pPr>
        <w:ind w:left="3620"/>
        <w:spacing w:after="0" w:line="237" w:lineRule="auto"/>
        <w:rPr>
          <w:sz w:val="20"/>
          <w:szCs w:val="20"/>
          <w:color w:val="auto"/>
        </w:rPr>
      </w:pPr>
      <w:r>
        <w:rPr>
          <w:rFonts w:ascii="Courier New" w:cs="Courier New" w:eastAsia="Courier New" w:hAnsi="Courier New"/>
          <w:sz w:val="16"/>
          <w:szCs w:val="16"/>
          <w:color w:val="auto"/>
        </w:rPr>
        <w:t>0</w:t>
      </w:r>
    </w:p>
    <w:p>
      <w:pPr>
        <w:ind w:left="3540"/>
        <w:spacing w:after="0" w:line="237" w:lineRule="auto"/>
        <w:rPr>
          <w:sz w:val="20"/>
          <w:szCs w:val="20"/>
          <w:color w:val="auto"/>
        </w:rPr>
      </w:pPr>
      <w:r>
        <w:rPr>
          <w:rFonts w:ascii="Courier New" w:cs="Courier New" w:eastAsia="Courier New" w:hAnsi="Courier New"/>
          <w:sz w:val="16"/>
          <w:szCs w:val="16"/>
          <w:color w:val="auto"/>
        </w:rPr>
        <w:t>0</w:t>
      </w:r>
    </w:p>
    <w:p>
      <w:pPr>
        <w:ind w:left="4080"/>
        <w:spacing w:after="0" w:line="237" w:lineRule="auto"/>
        <w:rPr>
          <w:sz w:val="20"/>
          <w:szCs w:val="20"/>
          <w:color w:val="auto"/>
        </w:rPr>
      </w:pPr>
      <w:r>
        <w:rPr>
          <w:rFonts w:ascii="Courier New" w:cs="Courier New" w:eastAsia="Courier New" w:hAnsi="Courier New"/>
          <w:sz w:val="16"/>
          <w:szCs w:val="16"/>
          <w:color w:val="auto"/>
        </w:rPr>
        <w:t>0</w:t>
      </w:r>
    </w:p>
    <w:p>
      <w:pPr>
        <w:ind w:left="3260"/>
        <w:spacing w:after="0" w:line="236" w:lineRule="auto"/>
        <w:rPr>
          <w:sz w:val="20"/>
          <w:szCs w:val="20"/>
          <w:color w:val="auto"/>
        </w:rPr>
      </w:pPr>
      <w:r>
        <w:rPr>
          <w:rFonts w:ascii="Courier New" w:cs="Courier New" w:eastAsia="Courier New" w:hAnsi="Courier New"/>
          <w:sz w:val="16"/>
          <w:szCs w:val="16"/>
          <w:color w:val="auto"/>
        </w:rPr>
        <w:t>367,585</w:t>
      </w:r>
    </w:p>
    <w:p>
      <w:pPr>
        <w:ind w:left="3440"/>
        <w:spacing w:after="0" w:line="237" w:lineRule="auto"/>
        <w:rPr>
          <w:sz w:val="20"/>
          <w:szCs w:val="20"/>
          <w:color w:val="auto"/>
        </w:rPr>
      </w:pPr>
      <w:r>
        <w:rPr>
          <w:rFonts w:ascii="Courier New" w:cs="Courier New" w:eastAsia="Courier New" w:hAnsi="Courier New"/>
          <w:sz w:val="16"/>
          <w:szCs w:val="16"/>
          <w:color w:val="auto"/>
        </w:rPr>
        <w:t>0.75</w:t>
      </w:r>
    </w:p>
    <w:p>
      <w:pPr>
        <w:ind w:left="3440"/>
        <w:spacing w:after="0" w:line="237" w:lineRule="auto"/>
        <w:rPr>
          <w:sz w:val="20"/>
          <w:szCs w:val="20"/>
          <w:color w:val="auto"/>
        </w:rPr>
      </w:pPr>
      <w:r>
        <w:rPr>
          <w:rFonts w:ascii="Courier New" w:cs="Courier New" w:eastAsia="Courier New" w:hAnsi="Courier New"/>
          <w:sz w:val="16"/>
          <w:szCs w:val="16"/>
          <w:color w:val="auto"/>
        </w:rPr>
        <w:t>0.74</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Restated for two-for-one stock split on June 2, 1997.</w:t>
      </w:r>
    </w:p>
    <w:p>
      <w:pPr>
        <w:spacing w:after="0" w:line="236" w:lineRule="auto"/>
        <w:rPr>
          <w:sz w:val="20"/>
          <w:szCs w:val="20"/>
          <w:color w:val="auto"/>
        </w:rPr>
      </w:pPr>
      <w:r>
        <w:rPr>
          <w:rFonts w:ascii="Courier New" w:cs="Courier New" w:eastAsia="Courier New" w:hAnsi="Courier New"/>
          <w:sz w:val="16"/>
          <w:szCs w:val="16"/>
          <w:color w:val="auto"/>
        </w:rPr>
        <w:t>As required by SFAS 128.</w:t>
      </w:r>
    </w:p>
    <w:p>
      <w:pPr>
        <w:sectPr>
          <w:pgSz w:w="11900" w:h="16838" w:orient="portrait"/>
          <w:cols w:equalWidth="0" w:num="1">
            <w:col w:w="10219"/>
          </w:cols>
          <w:pgMar w:left="240" w:top="135" w:right="1440" w:bottom="1440" w:gutter="0" w:footer="0" w:header="0"/>
        </w:sectPr>
      </w:pPr>
    </w:p>
    <w:bookmarkStart w:id="33" w:name="page34"/>
    <w:bookmarkEnd w:id="33"/>
    <w:p>
      <w:pPr>
        <w:spacing w:after="0" w:line="236" w:lineRule="auto"/>
        <w:rPr>
          <w:sz w:val="20"/>
          <w:szCs w:val="20"/>
          <w:color w:val="auto"/>
        </w:rPr>
      </w:pPr>
    </w:p>
    <w:p>
      <w:pPr>
        <w:sectPr>
          <w:pgSz w:w="11900" w:h="16838" w:orient="portrait"/>
          <w:cols w:equalWidth="1" w:num="1" w:space="0"/>
          <w:pgMar w:left="1440" w:top="1440" w:right="1440" w:bottom="875" w:gutter="0" w:footer="0" w:header="0"/>
        </w:sectPr>
      </w:pPr>
    </w:p>
    <w:bookmarkStart w:id="34" w:name="page35"/>
    <w:bookmarkEnd w:id="34"/>
    <w:p>
      <w:pPr>
        <w:ind w:left="80"/>
        <w:spacing w:after="0"/>
        <w:rPr>
          <w:sz w:val="20"/>
          <w:szCs w:val="20"/>
          <w:color w:val="auto"/>
        </w:rPr>
      </w:pPr>
      <w:r>
        <w:rPr>
          <w:rFonts w:ascii="Courier New" w:cs="Courier New" w:eastAsia="Courier New" w:hAnsi="Courier New"/>
          <w:sz w:val="16"/>
          <w:szCs w:val="16"/>
          <w:color w:val="auto"/>
        </w:rPr>
        <w:t>5</w:t>
      </w:r>
    </w:p>
    <w:p>
      <w:pPr>
        <w:spacing w:after="0" w:line="183" w:lineRule="exact"/>
        <w:rPr>
          <w:sz w:val="20"/>
          <w:szCs w:val="20"/>
          <w:color w:val="auto"/>
        </w:rPr>
      </w:pPr>
    </w:p>
    <w:p>
      <w:pPr>
        <w:ind w:left="20" w:right="3039"/>
        <w:spacing w:after="0" w:line="295" w:lineRule="auto"/>
        <w:rPr>
          <w:sz w:val="20"/>
          <w:szCs w:val="20"/>
          <w:color w:val="auto"/>
        </w:rPr>
      </w:pPr>
      <w:r>
        <w:rPr>
          <w:rFonts w:ascii="Courier New" w:cs="Courier New" w:eastAsia="Courier New" w:hAnsi="Courier New"/>
          <w:sz w:val="14"/>
          <w:szCs w:val="14"/>
          <w:color w:val="auto"/>
        </w:rPr>
        <w:t>THIS SCHEDULE CONTAINS SUMMARY FINANCIAL INFORMATION EXTRACTED FROM FORM 10-Q AND IS QUALIFIED IN ITS ENTIRETY BY REFERENCE TO SUCH FINANCIAL STATEMENTS.</w:t>
      </w:r>
    </w:p>
    <w:p>
      <w:pPr>
        <w:spacing w:after="0" w:line="14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1,000</w:t>
      </w:r>
    </w:p>
    <w:p>
      <w:pPr>
        <w:spacing w:after="0" w:line="355"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3-MOS</w:t>
      </w:r>
    </w:p>
    <w:p>
      <w:pPr>
        <w:ind w:left="2420"/>
        <w:spacing w:after="0" w:line="236" w:lineRule="auto"/>
        <w:rPr>
          <w:sz w:val="20"/>
          <w:szCs w:val="20"/>
          <w:color w:val="auto"/>
        </w:rPr>
      </w:pPr>
      <w:r>
        <w:rPr>
          <w:rFonts w:ascii="Courier New" w:cs="Courier New" w:eastAsia="Courier New" w:hAnsi="Courier New"/>
          <w:sz w:val="16"/>
          <w:szCs w:val="16"/>
          <w:color w:val="auto"/>
        </w:rPr>
        <w:t>DEC-31-1996</w:t>
      </w:r>
    </w:p>
    <w:p>
      <w:pPr>
        <w:ind w:left="2700"/>
        <w:spacing w:after="0" w:line="237" w:lineRule="auto"/>
        <w:rPr>
          <w:sz w:val="20"/>
          <w:szCs w:val="20"/>
          <w:color w:val="auto"/>
        </w:rPr>
      </w:pPr>
      <w:r>
        <w:rPr>
          <w:rFonts w:ascii="Courier New" w:cs="Courier New" w:eastAsia="Courier New" w:hAnsi="Courier New"/>
          <w:sz w:val="16"/>
          <w:szCs w:val="16"/>
          <w:color w:val="auto"/>
        </w:rPr>
        <w:t>JAN-01-1996</w:t>
      </w:r>
    </w:p>
    <w:p>
      <w:pPr>
        <w:ind w:left="2880"/>
        <w:spacing w:after="0" w:line="237" w:lineRule="auto"/>
        <w:rPr>
          <w:sz w:val="20"/>
          <w:szCs w:val="20"/>
          <w:color w:val="auto"/>
        </w:rPr>
      </w:pPr>
      <w:r>
        <w:rPr>
          <w:rFonts w:ascii="Courier New" w:cs="Courier New" w:eastAsia="Courier New" w:hAnsi="Courier New"/>
          <w:sz w:val="16"/>
          <w:szCs w:val="16"/>
          <w:color w:val="auto"/>
        </w:rPr>
        <w:t>MAR-31-1996</w:t>
      </w:r>
    </w:p>
    <w:p>
      <w:pPr>
        <w:ind w:left="3620"/>
        <w:spacing w:after="0" w:line="237" w:lineRule="auto"/>
        <w:rPr>
          <w:sz w:val="20"/>
          <w:szCs w:val="20"/>
          <w:color w:val="auto"/>
        </w:rPr>
      </w:pPr>
      <w:r>
        <w:rPr>
          <w:rFonts w:ascii="Courier New" w:cs="Courier New" w:eastAsia="Courier New" w:hAnsi="Courier New"/>
          <w:sz w:val="16"/>
          <w:szCs w:val="16"/>
          <w:color w:val="auto"/>
        </w:rPr>
        <w:t>1,025,814</w:t>
      </w:r>
    </w:p>
    <w:p>
      <w:pPr>
        <w:ind w:left="3800"/>
        <w:spacing w:after="0" w:line="237" w:lineRule="auto"/>
        <w:rPr>
          <w:sz w:val="20"/>
          <w:szCs w:val="20"/>
          <w:color w:val="auto"/>
        </w:rPr>
      </w:pPr>
      <w:r>
        <w:rPr>
          <w:rFonts w:ascii="Courier New" w:cs="Courier New" w:eastAsia="Courier New" w:hAnsi="Courier New"/>
          <w:sz w:val="16"/>
          <w:szCs w:val="16"/>
          <w:color w:val="auto"/>
        </w:rPr>
        <w:t>0</w:t>
      </w:r>
    </w:p>
    <w:p>
      <w:pPr>
        <w:ind w:left="2980"/>
        <w:spacing w:after="0" w:line="237" w:lineRule="auto"/>
        <w:rPr>
          <w:sz w:val="20"/>
          <w:szCs w:val="20"/>
          <w:color w:val="auto"/>
        </w:rPr>
      </w:pPr>
      <w:r>
        <w:rPr>
          <w:rFonts w:ascii="Courier New" w:cs="Courier New" w:eastAsia="Courier New" w:hAnsi="Courier New"/>
          <w:sz w:val="16"/>
          <w:szCs w:val="16"/>
          <w:color w:val="auto"/>
        </w:rPr>
        <w:t>2,048,904</w:t>
      </w:r>
    </w:p>
    <w:p>
      <w:pPr>
        <w:ind w:left="3160"/>
        <w:spacing w:after="0" w:line="237" w:lineRule="auto"/>
        <w:rPr>
          <w:sz w:val="20"/>
          <w:szCs w:val="20"/>
          <w:color w:val="auto"/>
        </w:rPr>
      </w:pPr>
      <w:r>
        <w:rPr>
          <w:rFonts w:ascii="Courier New" w:cs="Courier New" w:eastAsia="Courier New" w:hAnsi="Courier New"/>
          <w:sz w:val="16"/>
          <w:szCs w:val="16"/>
          <w:color w:val="auto"/>
        </w:rPr>
        <w:t>(59,999)</w:t>
      </w:r>
    </w:p>
    <w:p>
      <w:pPr>
        <w:ind w:left="3340"/>
        <w:spacing w:after="0" w:line="237" w:lineRule="auto"/>
        <w:rPr>
          <w:sz w:val="20"/>
          <w:szCs w:val="20"/>
          <w:color w:val="auto"/>
        </w:rPr>
      </w:pPr>
      <w:r>
        <w:rPr>
          <w:rFonts w:ascii="Courier New" w:cs="Courier New" w:eastAsia="Courier New" w:hAnsi="Courier New"/>
          <w:sz w:val="16"/>
          <w:szCs w:val="16"/>
          <w:color w:val="auto"/>
        </w:rPr>
        <w:t>870,121</w:t>
      </w:r>
    </w:p>
    <w:p>
      <w:pPr>
        <w:ind w:left="2700"/>
        <w:spacing w:after="0" w:line="236" w:lineRule="auto"/>
        <w:rPr>
          <w:sz w:val="20"/>
          <w:szCs w:val="20"/>
          <w:color w:val="auto"/>
        </w:rPr>
      </w:pPr>
      <w:r>
        <w:rPr>
          <w:rFonts w:ascii="Courier New" w:cs="Courier New" w:eastAsia="Courier New" w:hAnsi="Courier New"/>
          <w:sz w:val="16"/>
          <w:szCs w:val="16"/>
          <w:color w:val="auto"/>
        </w:rPr>
        <w:t>4,094,591</w:t>
      </w:r>
    </w:p>
    <w:p>
      <w:pPr>
        <w:ind w:left="3620"/>
        <w:spacing w:after="0" w:line="237" w:lineRule="auto"/>
        <w:rPr>
          <w:sz w:val="20"/>
          <w:szCs w:val="20"/>
          <w:color w:val="auto"/>
        </w:rPr>
      </w:pPr>
      <w:r>
        <w:rPr>
          <w:rFonts w:ascii="Courier New" w:cs="Courier New" w:eastAsia="Courier New" w:hAnsi="Courier New"/>
          <w:sz w:val="16"/>
          <w:szCs w:val="16"/>
          <w:color w:val="auto"/>
        </w:rPr>
        <w:t>9,198,441</w:t>
      </w:r>
    </w:p>
    <w:p>
      <w:pPr>
        <w:ind w:left="2700"/>
        <w:spacing w:after="0" w:line="237" w:lineRule="auto"/>
        <w:rPr>
          <w:sz w:val="20"/>
          <w:szCs w:val="20"/>
          <w:color w:val="auto"/>
        </w:rPr>
      </w:pPr>
      <w:r>
        <w:rPr>
          <w:rFonts w:ascii="Courier New" w:cs="Courier New" w:eastAsia="Courier New" w:hAnsi="Courier New"/>
          <w:sz w:val="16"/>
          <w:szCs w:val="16"/>
          <w:color w:val="auto"/>
        </w:rPr>
        <w:t>(6,089,214)</w:t>
      </w:r>
    </w:p>
    <w:p>
      <w:pPr>
        <w:ind w:left="2880"/>
        <w:spacing w:after="0" w:line="237" w:lineRule="auto"/>
        <w:rPr>
          <w:sz w:val="20"/>
          <w:szCs w:val="20"/>
          <w:color w:val="auto"/>
        </w:rPr>
      </w:pPr>
      <w:r>
        <w:rPr>
          <w:rFonts w:ascii="Courier New" w:cs="Courier New" w:eastAsia="Courier New" w:hAnsi="Courier New"/>
          <w:sz w:val="16"/>
          <w:szCs w:val="16"/>
          <w:color w:val="auto"/>
        </w:rPr>
        <w:t>8,958,121</w:t>
      </w:r>
    </w:p>
    <w:p>
      <w:pPr>
        <w:ind w:left="2220"/>
        <w:spacing w:after="0" w:line="237" w:lineRule="auto"/>
        <w:rPr>
          <w:sz w:val="20"/>
          <w:szCs w:val="20"/>
          <w:color w:val="auto"/>
        </w:rPr>
      </w:pPr>
      <w:r>
        <w:rPr>
          <w:rFonts w:ascii="Courier New" w:cs="Courier New" w:eastAsia="Courier New" w:hAnsi="Courier New"/>
          <w:sz w:val="16"/>
          <w:szCs w:val="16"/>
          <w:color w:val="auto"/>
        </w:rPr>
        <w:t>2,739,850</w:t>
      </w:r>
    </w:p>
    <w:p>
      <w:pPr>
        <w:ind w:left="4280"/>
        <w:spacing w:after="0" w:line="237" w:lineRule="auto"/>
        <w:rPr>
          <w:sz w:val="20"/>
          <w:szCs w:val="20"/>
          <w:color w:val="auto"/>
        </w:rPr>
      </w:pPr>
      <w:r>
        <w:rPr>
          <w:rFonts w:ascii="Courier New" w:cs="Courier New" w:eastAsia="Courier New" w:hAnsi="Courier New"/>
          <w:sz w:val="16"/>
          <w:szCs w:val="16"/>
          <w:color w:val="auto"/>
        </w:rPr>
        <w:t>0</w:t>
      </w:r>
    </w:p>
    <w:p>
      <w:pPr>
        <w:ind w:left="2980"/>
        <w:spacing w:after="0" w:line="237" w:lineRule="auto"/>
        <w:rPr>
          <w:sz w:val="20"/>
          <w:szCs w:val="20"/>
          <w:color w:val="auto"/>
        </w:rPr>
      </w:pPr>
      <w:r>
        <w:rPr>
          <w:rFonts w:ascii="Courier New" w:cs="Courier New" w:eastAsia="Courier New" w:hAnsi="Courier New"/>
          <w:sz w:val="16"/>
          <w:szCs w:val="16"/>
          <w:color w:val="auto"/>
        </w:rPr>
        <w:t>0</w:t>
      </w:r>
    </w:p>
    <w:p>
      <w:pPr>
        <w:ind w:left="3900"/>
        <w:spacing w:after="0" w:line="237" w:lineRule="auto"/>
        <w:rPr>
          <w:sz w:val="20"/>
          <w:szCs w:val="20"/>
          <w:color w:val="auto"/>
        </w:rPr>
      </w:pPr>
      <w:r>
        <w:rPr>
          <w:rFonts w:ascii="Courier New" w:cs="Courier New" w:eastAsia="Courier New" w:hAnsi="Courier New"/>
          <w:sz w:val="16"/>
          <w:szCs w:val="16"/>
          <w:color w:val="auto"/>
        </w:rPr>
        <w:t>0</w:t>
      </w:r>
    </w:p>
    <w:p>
      <w:pPr>
        <w:ind w:left="3620"/>
        <w:spacing w:after="0" w:line="236" w:lineRule="auto"/>
        <w:rPr>
          <w:sz w:val="20"/>
          <w:szCs w:val="20"/>
          <w:color w:val="auto"/>
        </w:rPr>
      </w:pPr>
      <w:r>
        <w:rPr>
          <w:rFonts w:ascii="Courier New" w:cs="Courier New" w:eastAsia="Courier New" w:hAnsi="Courier New"/>
          <w:sz w:val="16"/>
          <w:szCs w:val="16"/>
          <w:color w:val="auto"/>
        </w:rPr>
        <w:t>753,621</w:t>
      </w:r>
    </w:p>
    <w:p>
      <w:pPr>
        <w:ind w:left="3260"/>
        <w:spacing w:after="0" w:line="237" w:lineRule="auto"/>
        <w:rPr>
          <w:sz w:val="20"/>
          <w:szCs w:val="20"/>
          <w:color w:val="auto"/>
        </w:rPr>
      </w:pPr>
      <w:r>
        <w:rPr>
          <w:rFonts w:ascii="Courier New" w:cs="Courier New" w:eastAsia="Courier New" w:hAnsi="Courier New"/>
          <w:sz w:val="16"/>
          <w:szCs w:val="16"/>
          <w:color w:val="auto"/>
        </w:rPr>
        <w:t>4,334,184</w:t>
      </w:r>
    </w:p>
    <w:p>
      <w:pPr>
        <w:ind w:left="1580"/>
        <w:spacing w:after="0" w:line="237" w:lineRule="auto"/>
        <w:rPr>
          <w:sz w:val="20"/>
          <w:szCs w:val="20"/>
          <w:color w:val="auto"/>
        </w:rPr>
      </w:pPr>
      <w:r>
        <w:rPr>
          <w:rFonts w:ascii="Courier New" w:cs="Courier New" w:eastAsia="Courier New" w:hAnsi="Courier New"/>
          <w:sz w:val="16"/>
          <w:szCs w:val="16"/>
          <w:color w:val="auto"/>
        </w:rPr>
        <w:t>8,958,121</w:t>
      </w:r>
    </w:p>
    <w:p>
      <w:pPr>
        <w:ind w:left="3720"/>
        <w:spacing w:after="0" w:line="237" w:lineRule="auto"/>
        <w:rPr>
          <w:sz w:val="20"/>
          <w:szCs w:val="20"/>
          <w:color w:val="auto"/>
        </w:rPr>
      </w:pPr>
      <w:r>
        <w:rPr>
          <w:rFonts w:ascii="Courier New" w:cs="Courier New" w:eastAsia="Courier New" w:hAnsi="Courier New"/>
          <w:sz w:val="16"/>
          <w:szCs w:val="16"/>
          <w:color w:val="auto"/>
        </w:rPr>
        <w:t>756,987</w:t>
      </w:r>
    </w:p>
    <w:p>
      <w:pPr>
        <w:ind w:left="2700"/>
        <w:spacing w:after="0" w:line="237" w:lineRule="auto"/>
        <w:rPr>
          <w:sz w:val="20"/>
          <w:szCs w:val="20"/>
          <w:color w:val="auto"/>
        </w:rPr>
      </w:pPr>
      <w:r>
        <w:rPr>
          <w:rFonts w:ascii="Courier New" w:cs="Courier New" w:eastAsia="Courier New" w:hAnsi="Courier New"/>
          <w:sz w:val="16"/>
          <w:szCs w:val="16"/>
          <w:color w:val="auto"/>
        </w:rPr>
        <w:t>2,045,198</w:t>
      </w:r>
    </w:p>
    <w:p>
      <w:pPr>
        <w:ind w:left="3900"/>
        <w:spacing w:after="0" w:line="237" w:lineRule="auto"/>
        <w:rPr>
          <w:sz w:val="20"/>
          <w:szCs w:val="20"/>
          <w:color w:val="auto"/>
        </w:rPr>
      </w:pPr>
      <w:r>
        <w:rPr>
          <w:rFonts w:ascii="Courier New" w:cs="Courier New" w:eastAsia="Courier New" w:hAnsi="Courier New"/>
          <w:sz w:val="16"/>
          <w:szCs w:val="16"/>
          <w:color w:val="auto"/>
        </w:rPr>
        <w:t>487,448</w:t>
      </w:r>
    </w:p>
    <w:p>
      <w:pPr>
        <w:ind w:left="2980"/>
        <w:spacing w:after="0" w:line="237" w:lineRule="auto"/>
        <w:rPr>
          <w:sz w:val="20"/>
          <w:szCs w:val="20"/>
          <w:color w:val="auto"/>
        </w:rPr>
      </w:pPr>
      <w:r>
        <w:rPr>
          <w:rFonts w:ascii="Courier New" w:cs="Courier New" w:eastAsia="Courier New" w:hAnsi="Courier New"/>
          <w:sz w:val="16"/>
          <w:szCs w:val="16"/>
          <w:color w:val="auto"/>
        </w:rPr>
        <w:t>1,549,603</w:t>
      </w:r>
    </w:p>
    <w:p>
      <w:pPr>
        <w:ind w:left="2880"/>
        <w:spacing w:after="0" w:line="237" w:lineRule="auto"/>
        <w:rPr>
          <w:sz w:val="20"/>
          <w:szCs w:val="20"/>
          <w:color w:val="auto"/>
        </w:rPr>
      </w:pPr>
      <w:r>
        <w:rPr>
          <w:rFonts w:ascii="Courier New" w:cs="Courier New" w:eastAsia="Courier New" w:hAnsi="Courier New"/>
          <w:sz w:val="16"/>
          <w:szCs w:val="16"/>
          <w:color w:val="auto"/>
        </w:rPr>
        <w:t>269,248</w:t>
      </w:r>
    </w:p>
    <w:p>
      <w:pPr>
        <w:ind w:left="3060"/>
        <w:spacing w:after="0" w:line="236" w:lineRule="auto"/>
        <w:rPr>
          <w:sz w:val="20"/>
          <w:szCs w:val="20"/>
          <w:color w:val="auto"/>
        </w:rPr>
      </w:pPr>
      <w:r>
        <w:rPr>
          <w:rFonts w:ascii="Courier New" w:cs="Courier New" w:eastAsia="Courier New" w:hAnsi="Courier New"/>
          <w:sz w:val="16"/>
          <w:szCs w:val="16"/>
          <w:color w:val="auto"/>
        </w:rPr>
        <w:t>4,318</w:t>
      </w:r>
    </w:p>
    <w:p>
      <w:pPr>
        <w:ind w:left="2780"/>
        <w:spacing w:after="0" w:line="237" w:lineRule="auto"/>
        <w:rPr>
          <w:sz w:val="20"/>
          <w:szCs w:val="20"/>
          <w:color w:val="auto"/>
        </w:rPr>
      </w:pPr>
      <w:r>
        <w:rPr>
          <w:rFonts w:ascii="Courier New" w:cs="Courier New" w:eastAsia="Courier New" w:hAnsi="Courier New"/>
          <w:sz w:val="16"/>
          <w:szCs w:val="16"/>
          <w:color w:val="auto"/>
        </w:rPr>
        <w:t>17,343</w:t>
      </w:r>
    </w:p>
    <w:p>
      <w:pPr>
        <w:ind w:left="2980"/>
        <w:spacing w:after="0" w:line="237" w:lineRule="auto"/>
        <w:rPr>
          <w:sz w:val="20"/>
          <w:szCs w:val="20"/>
          <w:color w:val="auto"/>
        </w:rPr>
      </w:pPr>
      <w:r>
        <w:rPr>
          <w:rFonts w:ascii="Courier New" w:cs="Courier New" w:eastAsia="Courier New" w:hAnsi="Courier New"/>
          <w:sz w:val="16"/>
          <w:szCs w:val="16"/>
          <w:color w:val="auto"/>
        </w:rPr>
        <w:t>209,004</w:t>
      </w:r>
    </w:p>
    <w:p>
      <w:pPr>
        <w:ind w:left="3340"/>
        <w:spacing w:after="0" w:line="237" w:lineRule="auto"/>
        <w:rPr>
          <w:sz w:val="20"/>
          <w:szCs w:val="20"/>
          <w:color w:val="auto"/>
        </w:rPr>
      </w:pPr>
      <w:r>
        <w:rPr>
          <w:rFonts w:ascii="Courier New" w:cs="Courier New" w:eastAsia="Courier New" w:hAnsi="Courier New"/>
          <w:sz w:val="16"/>
          <w:szCs w:val="16"/>
          <w:color w:val="auto"/>
        </w:rPr>
        <w:t>38,137</w:t>
      </w:r>
    </w:p>
    <w:p>
      <w:pPr>
        <w:ind w:left="2600"/>
        <w:spacing w:after="0" w:line="237" w:lineRule="auto"/>
        <w:rPr>
          <w:sz w:val="20"/>
          <w:szCs w:val="20"/>
          <w:color w:val="auto"/>
        </w:rPr>
      </w:pPr>
      <w:r>
        <w:rPr>
          <w:rFonts w:ascii="Courier New" w:cs="Courier New" w:eastAsia="Courier New" w:hAnsi="Courier New"/>
          <w:sz w:val="16"/>
          <w:szCs w:val="16"/>
          <w:color w:val="auto"/>
        </w:rPr>
        <w:t>170,867</w:t>
      </w:r>
    </w:p>
    <w:p>
      <w:pPr>
        <w:ind w:left="3620"/>
        <w:spacing w:after="0" w:line="237" w:lineRule="auto"/>
        <w:rPr>
          <w:sz w:val="20"/>
          <w:szCs w:val="20"/>
          <w:color w:val="auto"/>
        </w:rPr>
      </w:pPr>
      <w:r>
        <w:rPr>
          <w:rFonts w:ascii="Courier New" w:cs="Courier New" w:eastAsia="Courier New" w:hAnsi="Courier New"/>
          <w:sz w:val="16"/>
          <w:szCs w:val="16"/>
          <w:color w:val="auto"/>
        </w:rPr>
        <w:t>0</w:t>
      </w:r>
    </w:p>
    <w:p>
      <w:pPr>
        <w:ind w:left="3540"/>
        <w:spacing w:after="0" w:line="237" w:lineRule="auto"/>
        <w:rPr>
          <w:sz w:val="20"/>
          <w:szCs w:val="20"/>
          <w:color w:val="auto"/>
        </w:rPr>
      </w:pPr>
      <w:r>
        <w:rPr>
          <w:rFonts w:ascii="Courier New" w:cs="Courier New" w:eastAsia="Courier New" w:hAnsi="Courier New"/>
          <w:sz w:val="16"/>
          <w:szCs w:val="16"/>
          <w:color w:val="auto"/>
        </w:rPr>
        <w:t>0</w:t>
      </w:r>
    </w:p>
    <w:p>
      <w:pPr>
        <w:ind w:left="4080"/>
        <w:spacing w:after="0" w:line="237" w:lineRule="auto"/>
        <w:rPr>
          <w:sz w:val="20"/>
          <w:szCs w:val="20"/>
          <w:color w:val="auto"/>
        </w:rPr>
      </w:pPr>
      <w:r>
        <w:rPr>
          <w:rFonts w:ascii="Courier New" w:cs="Courier New" w:eastAsia="Courier New" w:hAnsi="Courier New"/>
          <w:sz w:val="16"/>
          <w:szCs w:val="16"/>
          <w:color w:val="auto"/>
        </w:rPr>
        <w:t>0</w:t>
      </w:r>
    </w:p>
    <w:p>
      <w:pPr>
        <w:ind w:left="3260"/>
        <w:spacing w:after="0" w:line="236" w:lineRule="auto"/>
        <w:rPr>
          <w:sz w:val="20"/>
          <w:szCs w:val="20"/>
          <w:color w:val="auto"/>
        </w:rPr>
      </w:pPr>
      <w:r>
        <w:rPr>
          <w:rFonts w:ascii="Courier New" w:cs="Courier New" w:eastAsia="Courier New" w:hAnsi="Courier New"/>
          <w:sz w:val="16"/>
          <w:szCs w:val="16"/>
          <w:color w:val="auto"/>
        </w:rPr>
        <w:t>170,867</w:t>
      </w:r>
    </w:p>
    <w:p>
      <w:pPr>
        <w:ind w:left="3440"/>
        <w:spacing w:after="0" w:line="237" w:lineRule="auto"/>
        <w:rPr>
          <w:sz w:val="20"/>
          <w:szCs w:val="20"/>
          <w:color w:val="auto"/>
        </w:rPr>
      </w:pPr>
      <w:r>
        <w:rPr>
          <w:rFonts w:ascii="Courier New" w:cs="Courier New" w:eastAsia="Courier New" w:hAnsi="Courier New"/>
          <w:sz w:val="16"/>
          <w:szCs w:val="16"/>
          <w:color w:val="auto"/>
        </w:rPr>
        <w:t>0.35</w:t>
      </w:r>
    </w:p>
    <w:p>
      <w:pPr>
        <w:ind w:left="3440"/>
        <w:spacing w:after="0" w:line="237" w:lineRule="auto"/>
        <w:rPr>
          <w:sz w:val="20"/>
          <w:szCs w:val="20"/>
          <w:color w:val="auto"/>
        </w:rPr>
      </w:pPr>
      <w:r>
        <w:rPr>
          <w:rFonts w:ascii="Courier New" w:cs="Courier New" w:eastAsia="Courier New" w:hAnsi="Courier New"/>
          <w:sz w:val="16"/>
          <w:szCs w:val="16"/>
          <w:color w:val="auto"/>
        </w:rPr>
        <w:t>0.35</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Restated for two-for-one stock split on June 2, 1997.</w:t>
      </w:r>
    </w:p>
    <w:p>
      <w:pPr>
        <w:spacing w:after="0" w:line="236" w:lineRule="auto"/>
        <w:rPr>
          <w:sz w:val="20"/>
          <w:szCs w:val="20"/>
          <w:color w:val="auto"/>
        </w:rPr>
      </w:pPr>
      <w:r>
        <w:rPr>
          <w:rFonts w:ascii="Courier New" w:cs="Courier New" w:eastAsia="Courier New" w:hAnsi="Courier New"/>
          <w:sz w:val="16"/>
          <w:szCs w:val="16"/>
          <w:color w:val="auto"/>
        </w:rPr>
        <w:t>As required by SFAS 128.</w:t>
      </w:r>
    </w:p>
    <w:p>
      <w:pPr>
        <w:sectPr>
          <w:pgSz w:w="11900" w:h="16838" w:orient="portrait"/>
          <w:cols w:equalWidth="0" w:num="1">
            <w:col w:w="10219"/>
          </w:cols>
          <w:pgMar w:left="240" w:top="135" w:right="1440" w:bottom="1440" w:gutter="0" w:footer="0" w:header="0"/>
        </w:sectPr>
      </w:pPr>
    </w:p>
    <w:bookmarkStart w:id="35" w:name="page36"/>
    <w:bookmarkEnd w:id="35"/>
    <w:p>
      <w:pPr>
        <w:spacing w:after="0" w:line="236" w:lineRule="auto"/>
        <w:rPr>
          <w:sz w:val="20"/>
          <w:szCs w:val="20"/>
          <w:color w:val="auto"/>
        </w:rPr>
      </w:pPr>
    </w:p>
    <w:p>
      <w:pPr>
        <w:sectPr>
          <w:pgSz w:w="11900" w:h="16838" w:orient="portrait"/>
          <w:cols w:equalWidth="1" w:num="1" w:space="0"/>
          <w:pgMar w:left="1440" w:top="1440" w:right="1440" w:bottom="875" w:gutter="0" w:footer="0" w:header="0"/>
        </w:sectPr>
      </w:pPr>
    </w:p>
    <w:bookmarkStart w:id="36" w:name="page37"/>
    <w:bookmarkEnd w:id="36"/>
    <w:p>
      <w:pPr>
        <w:ind w:left="60"/>
        <w:spacing w:after="0"/>
        <w:rPr>
          <w:sz w:val="20"/>
          <w:szCs w:val="20"/>
          <w:color w:val="auto"/>
        </w:rPr>
      </w:pPr>
      <w:r>
        <w:rPr>
          <w:rFonts w:ascii="Courier New" w:cs="Courier New" w:eastAsia="Courier New" w:hAnsi="Courier New"/>
          <w:sz w:val="16"/>
          <w:szCs w:val="16"/>
          <w:color w:val="auto"/>
        </w:rPr>
        <w:t>5</w:t>
      </w:r>
    </w:p>
    <w:p>
      <w:pPr>
        <w:spacing w:after="0" w:line="183" w:lineRule="exact"/>
        <w:rPr>
          <w:sz w:val="20"/>
          <w:szCs w:val="20"/>
          <w:color w:val="auto"/>
        </w:rPr>
      </w:pPr>
    </w:p>
    <w:p>
      <w:pPr>
        <w:ind w:right="3039"/>
        <w:spacing w:after="0" w:line="295" w:lineRule="auto"/>
        <w:rPr>
          <w:sz w:val="20"/>
          <w:szCs w:val="20"/>
          <w:color w:val="auto"/>
        </w:rPr>
      </w:pPr>
      <w:r>
        <w:rPr>
          <w:rFonts w:ascii="Courier New" w:cs="Courier New" w:eastAsia="Courier New" w:hAnsi="Courier New"/>
          <w:sz w:val="14"/>
          <w:szCs w:val="14"/>
          <w:color w:val="auto"/>
        </w:rPr>
        <w:t>THIS SCHEDULE CONTAINS SUMMARY FINANCIAL INFORMATION EXTRACTED FROM FORM 10-K AND IS QUALIFIED IN ITS ENTIRETY BY REFERENCE TO SUCH FINANCIAL STATEMENTS.</w:t>
      </w:r>
    </w:p>
    <w:p>
      <w:pPr>
        <w:spacing w:after="0" w:line="14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1,000</w:t>
      </w:r>
    </w:p>
    <w:p>
      <w:pPr>
        <w:spacing w:after="0" w:line="355"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YEAR</w:t>
      </w:r>
    </w:p>
    <w:p>
      <w:pPr>
        <w:ind w:left="2400"/>
        <w:spacing w:after="0" w:line="236" w:lineRule="auto"/>
        <w:rPr>
          <w:sz w:val="20"/>
          <w:szCs w:val="20"/>
          <w:color w:val="auto"/>
        </w:rPr>
      </w:pPr>
      <w:r>
        <w:rPr>
          <w:rFonts w:ascii="Courier New" w:cs="Courier New" w:eastAsia="Courier New" w:hAnsi="Courier New"/>
          <w:sz w:val="16"/>
          <w:szCs w:val="16"/>
          <w:color w:val="auto"/>
        </w:rPr>
        <w:t>DEC-31-1995</w:t>
      </w:r>
    </w:p>
    <w:p>
      <w:pPr>
        <w:ind w:left="2680"/>
        <w:spacing w:after="0" w:line="237" w:lineRule="auto"/>
        <w:rPr>
          <w:sz w:val="20"/>
          <w:szCs w:val="20"/>
          <w:color w:val="auto"/>
        </w:rPr>
      </w:pPr>
      <w:r>
        <w:rPr>
          <w:rFonts w:ascii="Courier New" w:cs="Courier New" w:eastAsia="Courier New" w:hAnsi="Courier New"/>
          <w:sz w:val="16"/>
          <w:szCs w:val="16"/>
          <w:color w:val="auto"/>
        </w:rPr>
        <w:t>JAN-01-1995</w:t>
      </w:r>
    </w:p>
    <w:p>
      <w:pPr>
        <w:ind w:left="2860"/>
        <w:spacing w:after="0" w:line="237" w:lineRule="auto"/>
        <w:rPr>
          <w:sz w:val="20"/>
          <w:szCs w:val="20"/>
          <w:color w:val="auto"/>
        </w:rPr>
      </w:pPr>
      <w:r>
        <w:rPr>
          <w:rFonts w:ascii="Courier New" w:cs="Courier New" w:eastAsia="Courier New" w:hAnsi="Courier New"/>
          <w:sz w:val="16"/>
          <w:szCs w:val="16"/>
          <w:color w:val="auto"/>
        </w:rPr>
        <w:t>DEC-31-1995</w:t>
      </w:r>
    </w:p>
    <w:p>
      <w:pPr>
        <w:ind w:left="3600"/>
        <w:spacing w:after="0" w:line="237" w:lineRule="auto"/>
        <w:rPr>
          <w:sz w:val="20"/>
          <w:szCs w:val="20"/>
          <w:color w:val="auto"/>
        </w:rPr>
      </w:pPr>
      <w:r>
        <w:rPr>
          <w:rFonts w:ascii="Courier New" w:cs="Courier New" w:eastAsia="Courier New" w:hAnsi="Courier New"/>
          <w:sz w:val="16"/>
          <w:szCs w:val="16"/>
          <w:color w:val="auto"/>
        </w:rPr>
        <w:t>1,120,533</w:t>
      </w:r>
    </w:p>
    <w:p>
      <w:pPr>
        <w:ind w:left="3780"/>
        <w:spacing w:after="0" w:line="237" w:lineRule="auto"/>
        <w:rPr>
          <w:sz w:val="20"/>
          <w:szCs w:val="20"/>
          <w:color w:val="auto"/>
        </w:rPr>
      </w:pPr>
      <w:r>
        <w:rPr>
          <w:rFonts w:ascii="Courier New" w:cs="Courier New" w:eastAsia="Courier New" w:hAnsi="Courier New"/>
          <w:sz w:val="16"/>
          <w:szCs w:val="16"/>
          <w:color w:val="auto"/>
        </w:rPr>
        <w:t>0</w:t>
      </w:r>
    </w:p>
    <w:p>
      <w:pPr>
        <w:ind w:left="2960"/>
        <w:spacing w:after="0" w:line="237" w:lineRule="auto"/>
        <w:rPr>
          <w:sz w:val="20"/>
          <w:szCs w:val="20"/>
          <w:color w:val="auto"/>
        </w:rPr>
      </w:pPr>
      <w:r>
        <w:rPr>
          <w:rFonts w:ascii="Courier New" w:cs="Courier New" w:eastAsia="Courier New" w:hAnsi="Courier New"/>
          <w:sz w:val="16"/>
          <w:szCs w:val="16"/>
          <w:color w:val="auto"/>
        </w:rPr>
        <w:t>1,998,119</w:t>
      </w:r>
    </w:p>
    <w:p>
      <w:pPr>
        <w:ind w:left="3140"/>
        <w:spacing w:after="0" w:line="237" w:lineRule="auto"/>
        <w:rPr>
          <w:sz w:val="20"/>
          <w:szCs w:val="20"/>
          <w:color w:val="auto"/>
        </w:rPr>
      </w:pPr>
      <w:r>
        <w:rPr>
          <w:rFonts w:ascii="Courier New" w:cs="Courier New" w:eastAsia="Courier New" w:hAnsi="Courier New"/>
          <w:sz w:val="16"/>
          <w:szCs w:val="16"/>
          <w:color w:val="auto"/>
        </w:rPr>
        <w:t>(58,246)</w:t>
      </w:r>
    </w:p>
    <w:p>
      <w:pPr>
        <w:ind w:left="3320"/>
        <w:spacing w:after="0" w:line="237" w:lineRule="auto"/>
        <w:rPr>
          <w:sz w:val="20"/>
          <w:szCs w:val="20"/>
          <w:color w:val="auto"/>
        </w:rPr>
      </w:pPr>
      <w:r>
        <w:rPr>
          <w:rFonts w:ascii="Courier New" w:cs="Courier New" w:eastAsia="Courier New" w:hAnsi="Courier New"/>
          <w:sz w:val="16"/>
          <w:szCs w:val="16"/>
          <w:color w:val="auto"/>
        </w:rPr>
        <w:t>782,168</w:t>
      </w:r>
    </w:p>
    <w:p>
      <w:pPr>
        <w:ind w:left="2680"/>
        <w:spacing w:after="0" w:line="236" w:lineRule="auto"/>
        <w:rPr>
          <w:sz w:val="20"/>
          <w:szCs w:val="20"/>
          <w:color w:val="auto"/>
        </w:rPr>
      </w:pPr>
      <w:r>
        <w:rPr>
          <w:rFonts w:ascii="Courier New" w:cs="Courier New" w:eastAsia="Courier New" w:hAnsi="Courier New"/>
          <w:sz w:val="16"/>
          <w:szCs w:val="16"/>
          <w:color w:val="auto"/>
        </w:rPr>
        <w:t>4,023,703</w:t>
      </w:r>
    </w:p>
    <w:p>
      <w:pPr>
        <w:ind w:left="3600"/>
        <w:spacing w:after="0" w:line="237" w:lineRule="auto"/>
        <w:rPr>
          <w:sz w:val="20"/>
          <w:szCs w:val="20"/>
          <w:color w:val="auto"/>
        </w:rPr>
      </w:pPr>
      <w:r>
        <w:rPr>
          <w:rFonts w:ascii="Courier New" w:cs="Courier New" w:eastAsia="Courier New" w:hAnsi="Courier New"/>
          <w:sz w:val="16"/>
          <w:szCs w:val="16"/>
          <w:color w:val="auto"/>
        </w:rPr>
        <w:t>9,108,107</w:t>
      </w:r>
    </w:p>
    <w:p>
      <w:pPr>
        <w:ind w:left="2680"/>
        <w:spacing w:after="0" w:line="237" w:lineRule="auto"/>
        <w:rPr>
          <w:sz w:val="20"/>
          <w:szCs w:val="20"/>
          <w:color w:val="auto"/>
        </w:rPr>
      </w:pPr>
      <w:r>
        <w:rPr>
          <w:rFonts w:ascii="Courier New" w:cs="Courier New" w:eastAsia="Courier New" w:hAnsi="Courier New"/>
          <w:sz w:val="16"/>
          <w:szCs w:val="16"/>
          <w:color w:val="auto"/>
        </w:rPr>
        <w:t>(5,989,649)</w:t>
      </w:r>
    </w:p>
    <w:p>
      <w:pPr>
        <w:ind w:left="2860"/>
        <w:spacing w:after="0" w:line="237" w:lineRule="auto"/>
        <w:rPr>
          <w:sz w:val="20"/>
          <w:szCs w:val="20"/>
          <w:color w:val="auto"/>
        </w:rPr>
      </w:pPr>
      <w:r>
        <w:rPr>
          <w:rFonts w:ascii="Courier New" w:cs="Courier New" w:eastAsia="Courier New" w:hAnsi="Courier New"/>
          <w:sz w:val="16"/>
          <w:szCs w:val="16"/>
          <w:color w:val="auto"/>
        </w:rPr>
        <w:t>8,910,100</w:t>
      </w:r>
    </w:p>
    <w:p>
      <w:pPr>
        <w:ind w:left="2200"/>
        <w:spacing w:after="0" w:line="237" w:lineRule="auto"/>
        <w:rPr>
          <w:sz w:val="20"/>
          <w:szCs w:val="20"/>
          <w:color w:val="auto"/>
        </w:rPr>
      </w:pPr>
      <w:r>
        <w:rPr>
          <w:rFonts w:ascii="Courier New" w:cs="Courier New" w:eastAsia="Courier New" w:hAnsi="Courier New"/>
          <w:sz w:val="16"/>
          <w:szCs w:val="16"/>
          <w:color w:val="auto"/>
        </w:rPr>
        <w:t>2,764,272</w:t>
      </w:r>
    </w:p>
    <w:p>
      <w:pPr>
        <w:ind w:left="4260"/>
        <w:spacing w:after="0" w:line="237" w:lineRule="auto"/>
        <w:rPr>
          <w:sz w:val="20"/>
          <w:szCs w:val="20"/>
          <w:color w:val="auto"/>
        </w:rPr>
      </w:pPr>
      <w:r>
        <w:rPr>
          <w:rFonts w:ascii="Courier New" w:cs="Courier New" w:eastAsia="Courier New" w:hAnsi="Courier New"/>
          <w:sz w:val="16"/>
          <w:szCs w:val="16"/>
          <w:color w:val="auto"/>
        </w:rPr>
        <w:t>0</w:t>
      </w:r>
    </w:p>
    <w:p>
      <w:pPr>
        <w:ind w:left="2960"/>
        <w:spacing w:after="0" w:line="237" w:lineRule="auto"/>
        <w:rPr>
          <w:sz w:val="20"/>
          <w:szCs w:val="20"/>
          <w:color w:val="auto"/>
        </w:rPr>
      </w:pPr>
      <w:r>
        <w:rPr>
          <w:rFonts w:ascii="Courier New" w:cs="Courier New" w:eastAsia="Courier New" w:hAnsi="Courier New"/>
          <w:sz w:val="16"/>
          <w:szCs w:val="16"/>
          <w:color w:val="auto"/>
        </w:rPr>
        <w:t>0</w:t>
      </w:r>
    </w:p>
    <w:p>
      <w:pPr>
        <w:ind w:left="3880"/>
        <w:spacing w:after="0" w:line="237" w:lineRule="auto"/>
        <w:rPr>
          <w:sz w:val="20"/>
          <w:szCs w:val="20"/>
          <w:color w:val="auto"/>
        </w:rPr>
      </w:pPr>
      <w:r>
        <w:rPr>
          <w:rFonts w:ascii="Courier New" w:cs="Courier New" w:eastAsia="Courier New" w:hAnsi="Courier New"/>
          <w:sz w:val="16"/>
          <w:szCs w:val="16"/>
          <w:color w:val="auto"/>
        </w:rPr>
        <w:t>0</w:t>
      </w:r>
    </w:p>
    <w:p>
      <w:pPr>
        <w:ind w:left="3600"/>
        <w:spacing w:after="0" w:line="236" w:lineRule="auto"/>
        <w:rPr>
          <w:sz w:val="20"/>
          <w:szCs w:val="20"/>
          <w:color w:val="auto"/>
        </w:rPr>
      </w:pPr>
      <w:r>
        <w:rPr>
          <w:rFonts w:ascii="Courier New" w:cs="Courier New" w:eastAsia="Courier New" w:hAnsi="Courier New"/>
          <w:sz w:val="16"/>
          <w:szCs w:val="16"/>
          <w:color w:val="auto"/>
        </w:rPr>
        <w:t>737,328</w:t>
      </w:r>
    </w:p>
    <w:p>
      <w:pPr>
        <w:ind w:left="3240"/>
        <w:spacing w:after="0" w:line="237" w:lineRule="auto"/>
        <w:rPr>
          <w:sz w:val="20"/>
          <w:szCs w:val="20"/>
          <w:color w:val="auto"/>
        </w:rPr>
      </w:pPr>
      <w:r>
        <w:rPr>
          <w:rFonts w:ascii="Courier New" w:cs="Courier New" w:eastAsia="Courier New" w:hAnsi="Courier New"/>
          <w:sz w:val="16"/>
          <w:szCs w:val="16"/>
          <w:color w:val="auto"/>
        </w:rPr>
        <w:t>4,226,689</w:t>
      </w:r>
    </w:p>
    <w:p>
      <w:pPr>
        <w:ind w:left="1560"/>
        <w:spacing w:after="0" w:line="237" w:lineRule="auto"/>
        <w:rPr>
          <w:sz w:val="20"/>
          <w:szCs w:val="20"/>
          <w:color w:val="auto"/>
        </w:rPr>
      </w:pPr>
      <w:r>
        <w:rPr>
          <w:rFonts w:ascii="Courier New" w:cs="Courier New" w:eastAsia="Courier New" w:hAnsi="Courier New"/>
          <w:sz w:val="16"/>
          <w:szCs w:val="16"/>
          <w:color w:val="auto"/>
        </w:rPr>
        <w:t>8,910,100</w:t>
      </w:r>
    </w:p>
    <w:p>
      <w:pPr>
        <w:ind w:left="3520"/>
        <w:spacing w:after="0" w:line="237" w:lineRule="auto"/>
        <w:rPr>
          <w:sz w:val="20"/>
          <w:szCs w:val="20"/>
          <w:color w:val="auto"/>
        </w:rPr>
      </w:pPr>
      <w:r>
        <w:rPr>
          <w:rFonts w:ascii="Courier New" w:cs="Courier New" w:eastAsia="Courier New" w:hAnsi="Courier New"/>
          <w:sz w:val="16"/>
          <w:szCs w:val="16"/>
          <w:color w:val="auto"/>
        </w:rPr>
        <w:t>3,019,177</w:t>
      </w:r>
    </w:p>
    <w:p>
      <w:pPr>
        <w:ind w:left="2680"/>
        <w:spacing w:after="0" w:line="237" w:lineRule="auto"/>
        <w:rPr>
          <w:sz w:val="20"/>
          <w:szCs w:val="20"/>
          <w:color w:val="auto"/>
        </w:rPr>
      </w:pPr>
      <w:r>
        <w:rPr>
          <w:rFonts w:ascii="Courier New" w:cs="Courier New" w:eastAsia="Courier New" w:hAnsi="Courier New"/>
          <w:sz w:val="16"/>
          <w:szCs w:val="16"/>
          <w:color w:val="auto"/>
        </w:rPr>
        <w:t>7,713,230</w:t>
      </w:r>
    </w:p>
    <w:p>
      <w:pPr>
        <w:ind w:left="3700"/>
        <w:spacing w:after="0" w:line="237" w:lineRule="auto"/>
        <w:rPr>
          <w:sz w:val="20"/>
          <w:szCs w:val="20"/>
          <w:color w:val="auto"/>
        </w:rPr>
      </w:pPr>
      <w:r>
        <w:rPr>
          <w:rFonts w:ascii="Courier New" w:cs="Courier New" w:eastAsia="Courier New" w:hAnsi="Courier New"/>
          <w:sz w:val="16"/>
          <w:szCs w:val="16"/>
          <w:color w:val="auto"/>
        </w:rPr>
        <w:t>1,991,411</w:t>
      </w:r>
    </w:p>
    <w:p>
      <w:pPr>
        <w:ind w:left="2960"/>
        <w:spacing w:after="0" w:line="237" w:lineRule="auto"/>
        <w:rPr>
          <w:sz w:val="20"/>
          <w:szCs w:val="20"/>
          <w:color w:val="auto"/>
        </w:rPr>
      </w:pPr>
      <w:r>
        <w:rPr>
          <w:rFonts w:ascii="Courier New" w:cs="Courier New" w:eastAsia="Courier New" w:hAnsi="Courier New"/>
          <w:sz w:val="16"/>
          <w:szCs w:val="16"/>
          <w:color w:val="auto"/>
        </w:rPr>
        <w:t>5,804,157</w:t>
      </w:r>
    </w:p>
    <w:p>
      <w:pPr>
        <w:ind w:left="2680"/>
        <w:spacing w:after="0" w:line="237" w:lineRule="auto"/>
        <w:rPr>
          <w:sz w:val="20"/>
          <w:szCs w:val="20"/>
          <w:color w:val="auto"/>
        </w:rPr>
      </w:pPr>
      <w:r>
        <w:rPr>
          <w:rFonts w:ascii="Courier New" w:cs="Courier New" w:eastAsia="Courier New" w:hAnsi="Courier New"/>
          <w:sz w:val="16"/>
          <w:szCs w:val="16"/>
          <w:color w:val="auto"/>
        </w:rPr>
        <w:t>1,057,079</w:t>
      </w:r>
    </w:p>
    <w:p>
      <w:pPr>
        <w:ind w:left="2960"/>
        <w:spacing w:after="0" w:line="236" w:lineRule="auto"/>
        <w:rPr>
          <w:sz w:val="20"/>
          <w:szCs w:val="20"/>
          <w:color w:val="auto"/>
        </w:rPr>
      </w:pPr>
      <w:r>
        <w:rPr>
          <w:rFonts w:ascii="Courier New" w:cs="Courier New" w:eastAsia="Courier New" w:hAnsi="Courier New"/>
          <w:sz w:val="16"/>
          <w:szCs w:val="16"/>
          <w:color w:val="auto"/>
        </w:rPr>
        <w:t>20,306</w:t>
      </w:r>
    </w:p>
    <w:p>
      <w:pPr>
        <w:ind w:left="2760"/>
        <w:spacing w:after="0" w:line="237" w:lineRule="auto"/>
        <w:rPr>
          <w:sz w:val="20"/>
          <w:szCs w:val="20"/>
          <w:color w:val="auto"/>
        </w:rPr>
      </w:pPr>
      <w:r>
        <w:rPr>
          <w:rFonts w:ascii="Courier New" w:cs="Courier New" w:eastAsia="Courier New" w:hAnsi="Courier New"/>
          <w:sz w:val="16"/>
          <w:szCs w:val="16"/>
          <w:color w:val="auto"/>
        </w:rPr>
        <w:t>81,620</w:t>
      </w:r>
    </w:p>
    <w:p>
      <w:pPr>
        <w:ind w:left="2960"/>
        <w:spacing w:after="0" w:line="237" w:lineRule="auto"/>
        <w:rPr>
          <w:sz w:val="20"/>
          <w:szCs w:val="20"/>
          <w:color w:val="auto"/>
        </w:rPr>
      </w:pPr>
      <w:r>
        <w:rPr>
          <w:rFonts w:ascii="Courier New" w:cs="Courier New" w:eastAsia="Courier New" w:hAnsi="Courier New"/>
          <w:sz w:val="16"/>
          <w:szCs w:val="16"/>
          <w:color w:val="auto"/>
        </w:rPr>
        <w:t>770,374</w:t>
      </w:r>
    </w:p>
    <w:p>
      <w:pPr>
        <w:ind w:left="3240"/>
        <w:spacing w:after="0" w:line="237" w:lineRule="auto"/>
        <w:rPr>
          <w:sz w:val="20"/>
          <w:szCs w:val="20"/>
          <w:color w:val="auto"/>
        </w:rPr>
      </w:pPr>
      <w:r>
        <w:rPr>
          <w:rFonts w:ascii="Courier New" w:cs="Courier New" w:eastAsia="Courier New" w:hAnsi="Courier New"/>
          <w:sz w:val="16"/>
          <w:szCs w:val="16"/>
          <w:color w:val="auto"/>
        </w:rPr>
        <w:t>121,217</w:t>
      </w:r>
    </w:p>
    <w:p>
      <w:pPr>
        <w:ind w:left="2580"/>
        <w:spacing w:after="0" w:line="237" w:lineRule="auto"/>
        <w:rPr>
          <w:sz w:val="20"/>
          <w:szCs w:val="20"/>
          <w:color w:val="auto"/>
        </w:rPr>
      </w:pPr>
      <w:r>
        <w:rPr>
          <w:rFonts w:ascii="Courier New" w:cs="Courier New" w:eastAsia="Courier New" w:hAnsi="Courier New"/>
          <w:sz w:val="16"/>
          <w:szCs w:val="16"/>
          <w:color w:val="auto"/>
        </w:rPr>
        <w:t>649,157</w:t>
      </w:r>
    </w:p>
    <w:p>
      <w:pPr>
        <w:ind w:left="3600"/>
        <w:spacing w:after="0" w:line="237" w:lineRule="auto"/>
        <w:rPr>
          <w:sz w:val="20"/>
          <w:szCs w:val="20"/>
          <w:color w:val="auto"/>
        </w:rPr>
      </w:pPr>
      <w:r>
        <w:rPr>
          <w:rFonts w:ascii="Courier New" w:cs="Courier New" w:eastAsia="Courier New" w:hAnsi="Courier New"/>
          <w:sz w:val="16"/>
          <w:szCs w:val="16"/>
          <w:color w:val="auto"/>
        </w:rPr>
        <w:t>0</w:t>
      </w:r>
    </w:p>
    <w:p>
      <w:pPr>
        <w:ind w:left="3520"/>
        <w:spacing w:after="0" w:line="237" w:lineRule="auto"/>
        <w:rPr>
          <w:sz w:val="20"/>
          <w:szCs w:val="20"/>
          <w:color w:val="auto"/>
        </w:rPr>
      </w:pPr>
      <w:r>
        <w:rPr>
          <w:rFonts w:ascii="Courier New" w:cs="Courier New" w:eastAsia="Courier New" w:hAnsi="Courier New"/>
          <w:sz w:val="16"/>
          <w:szCs w:val="16"/>
          <w:color w:val="auto"/>
        </w:rPr>
        <w:t>0</w:t>
      </w:r>
    </w:p>
    <w:p>
      <w:pPr>
        <w:ind w:left="4060"/>
        <w:spacing w:after="0" w:line="237" w:lineRule="auto"/>
        <w:rPr>
          <w:sz w:val="20"/>
          <w:szCs w:val="20"/>
          <w:color w:val="auto"/>
        </w:rPr>
      </w:pPr>
      <w:r>
        <w:rPr>
          <w:rFonts w:ascii="Courier New" w:cs="Courier New" w:eastAsia="Courier New" w:hAnsi="Courier New"/>
          <w:sz w:val="16"/>
          <w:szCs w:val="16"/>
          <w:color w:val="auto"/>
        </w:rPr>
        <w:t>0</w:t>
      </w:r>
    </w:p>
    <w:p>
      <w:pPr>
        <w:ind w:left="3240"/>
        <w:spacing w:after="0" w:line="236" w:lineRule="auto"/>
        <w:rPr>
          <w:sz w:val="20"/>
          <w:szCs w:val="20"/>
          <w:color w:val="auto"/>
        </w:rPr>
      </w:pPr>
      <w:r>
        <w:rPr>
          <w:rFonts w:ascii="Courier New" w:cs="Courier New" w:eastAsia="Courier New" w:hAnsi="Courier New"/>
          <w:sz w:val="16"/>
          <w:szCs w:val="16"/>
          <w:color w:val="auto"/>
        </w:rPr>
        <w:t>649,157</w:t>
      </w:r>
    </w:p>
    <w:p>
      <w:pPr>
        <w:ind w:left="3420"/>
        <w:spacing w:after="0" w:line="237" w:lineRule="auto"/>
        <w:rPr>
          <w:sz w:val="20"/>
          <w:szCs w:val="20"/>
          <w:color w:val="auto"/>
        </w:rPr>
      </w:pPr>
      <w:r>
        <w:rPr>
          <w:rFonts w:ascii="Courier New" w:cs="Courier New" w:eastAsia="Courier New" w:hAnsi="Courier New"/>
          <w:sz w:val="16"/>
          <w:szCs w:val="16"/>
          <w:color w:val="auto"/>
        </w:rPr>
        <w:t>1.33</w:t>
      </w:r>
    </w:p>
    <w:p>
      <w:pPr>
        <w:ind w:left="3420"/>
        <w:spacing w:after="0" w:line="237" w:lineRule="auto"/>
        <w:rPr>
          <w:sz w:val="20"/>
          <w:szCs w:val="20"/>
          <w:color w:val="auto"/>
        </w:rPr>
      </w:pPr>
      <w:r>
        <w:rPr>
          <w:rFonts w:ascii="Courier New" w:cs="Courier New" w:eastAsia="Courier New" w:hAnsi="Courier New"/>
          <w:sz w:val="16"/>
          <w:szCs w:val="16"/>
          <w:color w:val="auto"/>
        </w:rPr>
        <w:t>1.32</w:t>
      </w:r>
    </w:p>
    <w:sectPr>
      <w:pgSz w:w="11900" w:h="16838" w:orient="portrait"/>
      <w:cols w:equalWidth="0" w:num="1">
        <w:col w:w="10199"/>
      </w:cols>
      <w:pgMar w:left="26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2019-12-13T06:31:33Z</dcterms:created>
  <dcterms:modified xsi:type="dcterms:W3CDTF">2019-12-13T06:31:33Z</dcterms:modified>
</cp:coreProperties>
</file>