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333-271711</w:t>
      </w:r>
    </w:p>
    <w:p>
      <w:pPr>
        <w:jc w:val="center"/>
        <w:ind w:right="-119"/>
        <w:spacing w:after="0"/>
        <w:rPr>
          <w:sz w:val="20"/>
          <w:szCs w:val="20"/>
          <w:color w:val="auto"/>
        </w:rPr>
      </w:pPr>
      <w:r>
        <w:rPr>
          <w:rFonts w:ascii="Arial" w:cs="Arial" w:eastAsia="Arial" w:hAnsi="Arial"/>
          <w:sz w:val="18"/>
          <w:szCs w:val="18"/>
          <w:b w:val="1"/>
          <w:bCs w:val="1"/>
          <w:color w:val="FF4338"/>
        </w:rPr>
        <w:t>SUBJECT TO COMPLETION, DATED MAY 8, 2023</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May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74930</wp:posOffset>
            </wp:positionV>
            <wp:extent cx="122555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Schlumberger Investment S.A.</w:t>
      </w:r>
    </w:p>
    <w:p>
      <w:pPr>
        <w:spacing w:after="0" w:line="200" w:lineRule="exact"/>
        <w:rPr>
          <w:sz w:val="24"/>
          <w:szCs w:val="24"/>
          <w:color w:val="auto"/>
        </w:rPr>
      </w:pPr>
    </w:p>
    <w:p>
      <w:pPr>
        <w:ind w:left="4760" w:hanging="1264"/>
        <w:spacing w:after="0"/>
        <w:tabs>
          <w:tab w:leader="none" w:pos="476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2028</w:t>
      </w:r>
    </w:p>
    <w:p>
      <w:pPr>
        <w:spacing w:after="0" w:line="36" w:lineRule="exact"/>
        <w:rPr>
          <w:sz w:val="24"/>
          <w:szCs w:val="24"/>
          <w:color w:val="auto"/>
        </w:rPr>
      </w:pPr>
    </w:p>
    <w:p>
      <w:pPr>
        <w:ind w:left="4760" w:hanging="1264"/>
        <w:spacing w:after="0"/>
        <w:tabs>
          <w:tab w:leader="none" w:pos="476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2033</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210820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120" w:right="300" w:firstLine="440"/>
        <w:spacing w:after="0" w:line="251" w:lineRule="auto"/>
        <w:rPr>
          <w:sz w:val="20"/>
          <w:szCs w:val="20"/>
          <w:color w:val="auto"/>
        </w:rPr>
      </w:pPr>
      <w:r>
        <w:rPr>
          <w:rFonts w:ascii="Arial" w:cs="Arial" w:eastAsia="Arial" w:hAnsi="Arial"/>
          <w:sz w:val="14"/>
          <w:szCs w:val="14"/>
          <w:color w:val="auto"/>
        </w:rPr>
        <w:t>Schlumberger Investment S.A., a public limited liability company (société anonyme) incorporated and existing under the laws of the Grand Duchy of Luxembourg, having its registered office located at 5, Place de la Gare, L-1616 Luxembourg, Grand Duchy of Luxembourg, and registered with the Luxembourg Trade and Companies</w:t>
      </w:r>
    </w:p>
    <w:p>
      <w:pPr>
        <w:spacing w:after="0" w:line="1" w:lineRule="exact"/>
        <w:rPr>
          <w:sz w:val="24"/>
          <w:szCs w:val="24"/>
          <w:color w:val="auto"/>
        </w:rPr>
      </w:pPr>
    </w:p>
    <w:p>
      <w:pPr>
        <w:ind w:left="120"/>
        <w:spacing w:after="0"/>
        <w:tabs>
          <w:tab w:leader="none" w:pos="7680" w:val="left"/>
          <w:tab w:leader="none" w:pos="9280" w:val="left"/>
        </w:tabs>
        <w:rPr>
          <w:sz w:val="20"/>
          <w:szCs w:val="20"/>
          <w:color w:val="auto"/>
        </w:rPr>
      </w:pPr>
      <w:r>
        <w:rPr>
          <w:rFonts w:ascii="Arial" w:cs="Arial" w:eastAsia="Arial" w:hAnsi="Arial"/>
          <w:sz w:val="14"/>
          <w:szCs w:val="14"/>
          <w:color w:val="auto"/>
        </w:rPr>
        <w:t>Register (Registre de Commerce et des Sociétés) under number B 163.122 (the “Company”) is offering U.S.$</w:t>
      </w:r>
      <w:r>
        <w:rPr>
          <w:sz w:val="20"/>
          <w:szCs w:val="20"/>
          <w:color w:val="auto"/>
        </w:rPr>
        <w:tab/>
      </w:r>
      <w:r>
        <w:rPr>
          <w:rFonts w:ascii="Arial" w:cs="Arial" w:eastAsia="Arial" w:hAnsi="Arial"/>
          <w:sz w:val="14"/>
          <w:szCs w:val="14"/>
          <w:color w:val="auto"/>
        </w:rPr>
        <w:t>principal amount of its</w:t>
        <w:tab/>
        <w:t>% Senior Notes due 2028</w:t>
      </w:r>
    </w:p>
    <w:p>
      <w:pPr>
        <w:spacing w:after="0" w:line="1" w:lineRule="exact"/>
        <w:rPr>
          <w:sz w:val="24"/>
          <w:szCs w:val="24"/>
          <w:color w:val="auto"/>
        </w:rPr>
      </w:pPr>
    </w:p>
    <w:p>
      <w:pPr>
        <w:ind w:left="120"/>
        <w:spacing w:after="0"/>
        <w:tabs>
          <w:tab w:leader="none" w:pos="2580" w:val="left"/>
          <w:tab w:leader="none" w:pos="4180" w:val="left"/>
        </w:tabs>
        <w:rPr>
          <w:sz w:val="20"/>
          <w:szCs w:val="20"/>
          <w:color w:val="auto"/>
        </w:rPr>
      </w:pPr>
      <w:r>
        <w:rPr>
          <w:rFonts w:ascii="Arial" w:cs="Arial" w:eastAsia="Arial" w:hAnsi="Arial"/>
          <w:sz w:val="14"/>
          <w:szCs w:val="14"/>
          <w:color w:val="auto"/>
        </w:rPr>
        <w:t>(the “2028 Notes”) and U.S.$</w:t>
      </w:r>
      <w:r>
        <w:rPr>
          <w:sz w:val="20"/>
          <w:szCs w:val="20"/>
          <w:color w:val="auto"/>
        </w:rPr>
        <w:tab/>
      </w:r>
      <w:r>
        <w:rPr>
          <w:rFonts w:ascii="Arial" w:cs="Arial" w:eastAsia="Arial" w:hAnsi="Arial"/>
          <w:sz w:val="14"/>
          <w:szCs w:val="14"/>
          <w:color w:val="auto"/>
        </w:rPr>
        <w:t>principal amount of its</w:t>
        <w:tab/>
        <w:t>% Senior Notes due 2033 (the “2033 Notes” and, together with the 2028 Notes, the “Notes”).</w:t>
      </w:r>
    </w:p>
    <w:p>
      <w:pPr>
        <w:spacing w:after="0" w:line="163" w:lineRule="exact"/>
        <w:rPr>
          <w:sz w:val="24"/>
          <w:szCs w:val="24"/>
          <w:color w:val="auto"/>
        </w:rPr>
      </w:pPr>
    </w:p>
    <w:p>
      <w:pPr>
        <w:ind w:left="560"/>
        <w:spacing w:after="0"/>
        <w:tabs>
          <w:tab w:leader="none" w:pos="4040" w:val="left"/>
          <w:tab w:leader="none" w:pos="8320" w:val="left"/>
        </w:tabs>
        <w:rPr>
          <w:sz w:val="20"/>
          <w:szCs w:val="20"/>
          <w:color w:val="auto"/>
        </w:rPr>
      </w:pPr>
      <w:r>
        <w:rPr>
          <w:rFonts w:ascii="Arial" w:cs="Arial" w:eastAsia="Arial" w:hAnsi="Arial"/>
          <w:sz w:val="14"/>
          <w:szCs w:val="14"/>
          <w:color w:val="auto"/>
        </w:rPr>
        <w:t>The 2028 Notes will bear interest at a rate of</w:t>
      </w:r>
      <w:r>
        <w:rPr>
          <w:sz w:val="20"/>
          <w:szCs w:val="20"/>
          <w:color w:val="auto"/>
        </w:rPr>
        <w:tab/>
      </w:r>
      <w:r>
        <w:rPr>
          <w:rFonts w:ascii="Arial" w:cs="Arial" w:eastAsia="Arial" w:hAnsi="Arial"/>
          <w:sz w:val="14"/>
          <w:szCs w:val="14"/>
          <w:color w:val="auto"/>
        </w:rPr>
        <w:t>% per year. The 2033 Notes will bear interest at a rate of</w:t>
      </w:r>
      <w:r>
        <w:rPr>
          <w:sz w:val="20"/>
          <w:szCs w:val="20"/>
          <w:color w:val="auto"/>
        </w:rPr>
        <w:tab/>
      </w:r>
      <w:r>
        <w:rPr>
          <w:rFonts w:ascii="Arial" w:cs="Arial" w:eastAsia="Arial" w:hAnsi="Arial"/>
          <w:sz w:val="14"/>
          <w:szCs w:val="14"/>
          <w:color w:val="auto"/>
        </w:rPr>
        <w:t>% per year. We will pay interest on the</w:t>
      </w:r>
    </w:p>
    <w:p>
      <w:pPr>
        <w:spacing w:after="0" w:line="15" w:lineRule="exact"/>
        <w:rPr>
          <w:sz w:val="24"/>
          <w:szCs w:val="24"/>
          <w:color w:val="auto"/>
        </w:rPr>
      </w:pPr>
    </w:p>
    <w:p>
      <w:pPr>
        <w:ind w:left="120"/>
        <w:spacing w:after="0"/>
        <w:tabs>
          <w:tab w:leader="none" w:pos="2280" w:val="left"/>
          <w:tab w:leader="none" w:pos="3200" w:val="left"/>
          <w:tab w:leader="none" w:pos="5560" w:val="left"/>
        </w:tabs>
        <w:rPr>
          <w:sz w:val="20"/>
          <w:szCs w:val="20"/>
          <w:color w:val="auto"/>
        </w:rPr>
      </w:pPr>
      <w:r>
        <w:rPr>
          <w:rFonts w:ascii="Arial" w:cs="Arial" w:eastAsia="Arial" w:hAnsi="Arial"/>
          <w:sz w:val="14"/>
          <w:szCs w:val="14"/>
          <w:color w:val="auto"/>
        </w:rPr>
        <w:t>Notes semi-annually on</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of each year, beginning on</w:t>
      </w:r>
      <w:r>
        <w:rPr>
          <w:sz w:val="20"/>
          <w:szCs w:val="20"/>
          <w:color w:val="auto"/>
        </w:rPr>
        <w:tab/>
      </w:r>
      <w:r>
        <w:rPr>
          <w:rFonts w:ascii="Arial" w:cs="Arial" w:eastAsia="Arial" w:hAnsi="Arial"/>
          <w:sz w:val="14"/>
          <w:szCs w:val="14"/>
          <w:color w:val="auto"/>
        </w:rPr>
        <w:t>, 2023.</w:t>
      </w:r>
    </w:p>
    <w:p>
      <w:pPr>
        <w:spacing w:after="0" w:line="163"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4"/>
          <w:szCs w:val="14"/>
          <w:color w:val="auto"/>
        </w:rPr>
        <w:t>The Notes will be fully and unconditionally guaranteed (the “guarantees”) on a senior unsecured basis by Schlumberger Limited (the “Guarantor”), the ultimate parent company of the Company. The guarantees will be the unsecured and unsubordinated obligations of the Guarantor and will rank equally with the Guarantor’s other unsecured and unsubordinated indebtedness from time to time outstanding.</w:t>
      </w:r>
    </w:p>
    <w:p>
      <w:pPr>
        <w:spacing w:after="0" w:line="146" w:lineRule="exact"/>
        <w:rPr>
          <w:sz w:val="24"/>
          <w:szCs w:val="24"/>
          <w:color w:val="auto"/>
        </w:rPr>
      </w:pPr>
    </w:p>
    <w:p>
      <w:pPr>
        <w:jc w:val="both"/>
        <w:ind w:left="120" w:right="60" w:firstLine="440"/>
        <w:spacing w:after="0" w:line="285" w:lineRule="auto"/>
        <w:rPr>
          <w:sz w:val="20"/>
          <w:szCs w:val="20"/>
          <w:color w:val="auto"/>
        </w:rPr>
      </w:pPr>
      <w:r>
        <w:rPr>
          <w:rFonts w:ascii="Arial" w:cs="Arial" w:eastAsia="Arial" w:hAnsi="Arial"/>
          <w:sz w:val="14"/>
          <w:szCs w:val="14"/>
          <w:color w:val="auto"/>
        </w:rPr>
        <w:t>The Company may redeem some or all of the Notes at any time and from time to time at the redemption prices described in this prospectus supplement, plus accrued and unpaid interest to the redemption date.</w:t>
      </w:r>
    </w:p>
    <w:p>
      <w:pPr>
        <w:spacing w:after="0" w:line="117" w:lineRule="exact"/>
        <w:rPr>
          <w:sz w:val="24"/>
          <w:szCs w:val="24"/>
          <w:color w:val="auto"/>
        </w:rPr>
      </w:pPr>
    </w:p>
    <w:p>
      <w:pPr>
        <w:ind w:left="120" w:right="340" w:firstLine="440"/>
        <w:spacing w:after="0" w:line="285" w:lineRule="auto"/>
        <w:rPr>
          <w:sz w:val="20"/>
          <w:szCs w:val="20"/>
          <w:color w:val="auto"/>
        </w:rPr>
      </w:pPr>
      <w:r>
        <w:rPr>
          <w:rFonts w:ascii="Arial" w:cs="Arial" w:eastAsia="Arial" w:hAnsi="Arial"/>
          <w:sz w:val="14"/>
          <w:szCs w:val="14"/>
          <w:color w:val="auto"/>
        </w:rPr>
        <w:t>The Notes will be the unsecured and unsubordinated obligations of the Company and will rank equally with its other unsecured and unsubordinated indebtedness from time to time outstanding.</w:t>
      </w:r>
    </w:p>
    <w:p>
      <w:pPr>
        <w:spacing w:after="0" w:line="117" w:lineRule="exact"/>
        <w:rPr>
          <w:sz w:val="24"/>
          <w:szCs w:val="24"/>
          <w:color w:val="auto"/>
        </w:rPr>
      </w:pPr>
    </w:p>
    <w:p>
      <w:pPr>
        <w:ind w:left="560"/>
        <w:spacing w:after="0"/>
        <w:rPr>
          <w:sz w:val="20"/>
          <w:szCs w:val="20"/>
          <w:color w:val="auto"/>
        </w:rPr>
      </w:pPr>
      <w:r>
        <w:rPr>
          <w:rFonts w:ascii="Arial" w:cs="Arial" w:eastAsia="Arial" w:hAnsi="Arial"/>
          <w:sz w:val="14"/>
          <w:szCs w:val="14"/>
          <w:color w:val="auto"/>
        </w:rPr>
        <w:t>The Notes will not be listed on any securities exchange. Currently, there is no public market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Investing in the Notes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S-6.</w:t>
      </w:r>
    </w:p>
    <w:p>
      <w:pPr>
        <w:spacing w:after="0" w:line="185" w:lineRule="exact"/>
        <w:rPr>
          <w:sz w:val="24"/>
          <w:szCs w:val="24"/>
          <w:color w:val="auto"/>
        </w:rPr>
      </w:pPr>
    </w:p>
    <w:p>
      <w:pPr>
        <w:ind w:left="120" w:right="180" w:firstLine="440"/>
        <w:spacing w:after="0" w:line="294"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175260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tbl>
      <w:tblPr>
        <w:tblLayout w:type="fixed"/>
        <w:tblInd w:w="100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2028</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2033</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b w:val="1"/>
                <w:bCs w:val="1"/>
                <w:color w:val="auto"/>
              </w:rPr>
              <w:t>Note</w:t>
            </w:r>
          </w:p>
        </w:tc>
        <w:tc>
          <w:tcPr>
            <w:tcW w:w="7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Note</w:t>
            </w:r>
          </w:p>
        </w:tc>
        <w:tc>
          <w:tcPr>
            <w:tcW w:w="1140" w:type="dxa"/>
            <w:vAlign w:val="bottom"/>
            <w:gridSpan w:val="3"/>
          </w:tcPr>
          <w:p>
            <w:pPr>
              <w:ind w:left="760"/>
              <w:spacing w:after="0"/>
              <w:rPr>
                <w:sz w:val="20"/>
                <w:szCs w:val="20"/>
                <w:color w:val="auto"/>
              </w:rPr>
            </w:pPr>
            <w:r>
              <w:rPr>
                <w:rFonts w:ascii="Arial" w:cs="Arial" w:eastAsia="Arial" w:hAnsi="Arial"/>
                <w:sz w:val="14"/>
                <w:szCs w:val="14"/>
                <w:b w:val="1"/>
                <w:bCs w:val="1"/>
                <w:color w:val="auto"/>
              </w:rPr>
              <w:t>Total</w:t>
            </w:r>
          </w:p>
        </w:tc>
      </w:tr>
      <w:tr>
        <w:trPr>
          <w:trHeight w:val="155"/>
        </w:trPr>
        <w:tc>
          <w:tcPr>
            <w:tcW w:w="45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Public Offering Price(1)</w:t>
            </w:r>
          </w:p>
        </w:tc>
        <w:tc>
          <w:tcPr>
            <w:tcW w:w="16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Underwriting Discount</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Proceeds to the Company (before expenses)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4"/>
          <w:szCs w:val="24"/>
          <w:color w:val="auto"/>
        </w:rPr>
      </w:pPr>
    </w:p>
    <w:tbl>
      <w:tblPr>
        <w:tblLayout w:type="fixed"/>
        <w:tblInd w:w="120" w:type="dxa"/>
        <w:tblCellMar>
          <w:top w:w="0" w:type="dxa"/>
          <w:left w:w="0" w:type="dxa"/>
          <w:bottom w:w="0" w:type="dxa"/>
          <w:right w:w="0" w:type="dxa"/>
        </w:tblCellMar>
      </w:tblPr>
      <w:tr>
        <w:trPr>
          <w:trHeight w:val="190"/>
        </w:trPr>
        <w:tc>
          <w:tcPr>
            <w:tcW w:w="3720" w:type="dxa"/>
            <w:vAlign w:val="bottom"/>
          </w:tcPr>
          <w:p>
            <w:pPr>
              <w:spacing w:after="0"/>
              <w:rPr>
                <w:sz w:val="20"/>
                <w:szCs w:val="20"/>
                <w:color w:val="auto"/>
              </w:rPr>
            </w:pPr>
            <w:r>
              <w:rPr>
                <w:rFonts w:ascii="Arial" w:cs="Arial" w:eastAsia="Arial" w:hAnsi="Arial"/>
                <w:sz w:val="14"/>
                <w:szCs w:val="14"/>
                <w:color w:val="auto"/>
              </w:rPr>
              <w:t>(1)    Plus accrued interest on the Notes, if any, from</w:t>
            </w:r>
          </w:p>
        </w:tc>
        <w:tc>
          <w:tcPr>
            <w:tcW w:w="2940" w:type="dxa"/>
            <w:vAlign w:val="bottom"/>
            <w:gridSpan w:val="2"/>
          </w:tcPr>
          <w:p>
            <w:pPr>
              <w:ind w:left="320"/>
              <w:spacing w:after="0"/>
              <w:rPr>
                <w:sz w:val="20"/>
                <w:szCs w:val="20"/>
                <w:color w:val="auto"/>
              </w:rPr>
            </w:pPr>
            <w:r>
              <w:rPr>
                <w:rFonts w:ascii="Arial" w:cs="Arial" w:eastAsia="Arial" w:hAnsi="Arial"/>
                <w:sz w:val="14"/>
                <w:szCs w:val="14"/>
                <w:color w:val="auto"/>
              </w:rPr>
              <w:t>, 2023 to the date of delivery.</w:t>
            </w:r>
          </w:p>
        </w:tc>
        <w:tc>
          <w:tcPr>
            <w:tcW w:w="12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309"/>
        </w:trPr>
        <w:tc>
          <w:tcPr>
            <w:tcW w:w="6660" w:type="dxa"/>
            <w:vAlign w:val="bottom"/>
            <w:gridSpan w:val="3"/>
          </w:tcPr>
          <w:p>
            <w:pPr>
              <w:ind w:left="440"/>
              <w:spacing w:after="0"/>
              <w:rPr>
                <w:sz w:val="20"/>
                <w:szCs w:val="20"/>
                <w:color w:val="auto"/>
              </w:rPr>
            </w:pPr>
            <w:r>
              <w:rPr>
                <w:rFonts w:ascii="Arial" w:cs="Arial" w:eastAsia="Arial" w:hAnsi="Arial"/>
                <w:sz w:val="14"/>
                <w:szCs w:val="14"/>
                <w:color w:val="auto"/>
              </w:rPr>
              <w:t>The underwriters expect to deliver the Notes to purchasers against payment on or about</w:t>
            </w:r>
          </w:p>
        </w:tc>
        <w:tc>
          <w:tcPr>
            <w:tcW w:w="3860" w:type="dxa"/>
            <w:vAlign w:val="bottom"/>
            <w:gridSpan w:val="2"/>
          </w:tcPr>
          <w:p>
            <w:pPr>
              <w:ind w:left="60"/>
              <w:spacing w:after="0"/>
              <w:rPr>
                <w:sz w:val="20"/>
                <w:szCs w:val="20"/>
                <w:color w:val="auto"/>
              </w:rPr>
            </w:pPr>
            <w:r>
              <w:rPr>
                <w:rFonts w:ascii="Arial" w:cs="Arial" w:eastAsia="Arial" w:hAnsi="Arial"/>
                <w:sz w:val="14"/>
                <w:szCs w:val="14"/>
                <w:color w:val="auto"/>
              </w:rPr>
              <w:t>, 2023, solely in book-entry form through the facilities of The</w:t>
            </w:r>
          </w:p>
        </w:tc>
      </w:tr>
      <w:tr>
        <w:trPr>
          <w:trHeight w:val="190"/>
        </w:trPr>
        <w:tc>
          <w:tcPr>
            <w:tcW w:w="10520" w:type="dxa"/>
            <w:vAlign w:val="bottom"/>
            <w:gridSpan w:val="5"/>
          </w:tcPr>
          <w:p>
            <w:pPr>
              <w:spacing w:after="0"/>
              <w:rPr>
                <w:sz w:val="20"/>
                <w:szCs w:val="20"/>
                <w:color w:val="auto"/>
              </w:rPr>
            </w:pPr>
            <w:r>
              <w:rPr>
                <w:rFonts w:ascii="Arial" w:cs="Arial" w:eastAsia="Arial" w:hAnsi="Arial"/>
                <w:sz w:val="14"/>
                <w:szCs w:val="14"/>
                <w:color w:val="auto"/>
              </w:rPr>
              <w:t>Depository Trust Company and its participants, including Euroclear Bank SA/ NV, as operator of the Euroclear System, and Clearstream Banking S.A.</w:t>
            </w:r>
          </w:p>
        </w:tc>
      </w:tr>
      <w:tr>
        <w:trPr>
          <w:trHeight w:val="305"/>
        </w:trPr>
        <w:tc>
          <w:tcPr>
            <w:tcW w:w="3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63"/>
        </w:trPr>
        <w:tc>
          <w:tcPr>
            <w:tcW w:w="3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ind w:left="200"/>
              <w:spacing w:after="0"/>
              <w:rPr>
                <w:sz w:val="20"/>
                <w:szCs w:val="20"/>
                <w:color w:val="auto"/>
              </w:rPr>
            </w:pPr>
            <w:r>
              <w:rPr>
                <w:rFonts w:ascii="Arial" w:cs="Arial" w:eastAsia="Arial" w:hAnsi="Arial"/>
                <w:sz w:val="14"/>
                <w:szCs w:val="14"/>
                <w:i w:val="1"/>
                <w:iCs w:val="1"/>
                <w:color w:val="auto"/>
              </w:rPr>
              <w:t>Joint Book-Running Managers</w:t>
            </w: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66"/>
        </w:trPr>
        <w:tc>
          <w:tcPr>
            <w:tcW w:w="3720" w:type="dxa"/>
            <w:vAlign w:val="bottom"/>
          </w:tcPr>
          <w:p>
            <w:pPr>
              <w:ind w:left="1020"/>
              <w:spacing w:after="0"/>
              <w:rPr>
                <w:sz w:val="20"/>
                <w:szCs w:val="20"/>
                <w:color w:val="auto"/>
              </w:rPr>
            </w:pPr>
            <w:r>
              <w:rPr>
                <w:rFonts w:ascii="Arial" w:cs="Arial" w:eastAsia="Arial" w:hAnsi="Arial"/>
                <w:sz w:val="22"/>
                <w:szCs w:val="22"/>
                <w:b w:val="1"/>
                <w:bCs w:val="1"/>
                <w:color w:val="auto"/>
              </w:rPr>
              <w:t>BofA Securities</w:t>
            </w:r>
          </w:p>
        </w:tc>
        <w:tc>
          <w:tcPr>
            <w:tcW w:w="4200" w:type="dxa"/>
            <w:vAlign w:val="bottom"/>
            <w:gridSpan w:val="3"/>
          </w:tcPr>
          <w:p>
            <w:pPr>
              <w:ind w:left="520"/>
              <w:spacing w:after="0"/>
              <w:rPr>
                <w:sz w:val="20"/>
                <w:szCs w:val="20"/>
                <w:color w:val="auto"/>
              </w:rPr>
            </w:pPr>
            <w:r>
              <w:rPr>
                <w:rFonts w:ascii="Arial" w:cs="Arial" w:eastAsia="Arial" w:hAnsi="Arial"/>
                <w:sz w:val="22"/>
                <w:szCs w:val="22"/>
                <w:b w:val="1"/>
                <w:bCs w:val="1"/>
                <w:color w:val="auto"/>
              </w:rPr>
              <w:t>Deutsche Bank Securities</w:t>
            </w:r>
          </w:p>
        </w:tc>
        <w:tc>
          <w:tcPr>
            <w:tcW w:w="2600" w:type="dxa"/>
            <w:vAlign w:val="bottom"/>
          </w:tcPr>
          <w:p>
            <w:pPr>
              <w:ind w:left="1020"/>
              <w:spacing w:after="0"/>
              <w:rPr>
                <w:sz w:val="20"/>
                <w:szCs w:val="20"/>
                <w:color w:val="auto"/>
              </w:rPr>
            </w:pPr>
            <w:r>
              <w:rPr>
                <w:rFonts w:ascii="Arial" w:cs="Arial" w:eastAsia="Arial" w:hAnsi="Arial"/>
                <w:sz w:val="22"/>
                <w:szCs w:val="22"/>
                <w:b w:val="1"/>
                <w:bCs w:val="1"/>
                <w:color w:val="auto"/>
              </w:rPr>
              <w:t>MUFG</w:t>
            </w:r>
          </w:p>
        </w:tc>
      </w:tr>
    </w:tbl>
    <w:p>
      <w:pPr>
        <w:spacing w:after="0" w:line="140" w:lineRule="exact"/>
        <w:rPr>
          <w:sz w:val="24"/>
          <w:szCs w:val="24"/>
          <w:color w:val="auto"/>
        </w:rPr>
      </w:pPr>
    </w:p>
    <w:p>
      <w:pPr>
        <w:sectPr>
          <w:pgSz w:w="11900" w:h="16838" w:orient="portrait"/>
          <w:cols w:equalWidth="0" w:num="1">
            <w:col w:w="11140"/>
          </w:cols>
          <w:pgMar w:left="320" w:top="226" w:right="439" w:bottom="1440" w:gutter="0" w:footer="0" w:header="0"/>
        </w:sectPr>
      </w:pPr>
    </w:p>
    <w:p>
      <w:pPr>
        <w:jc w:val="center"/>
        <w:ind w:right="-99"/>
        <w:spacing w:after="0"/>
        <w:tabs>
          <w:tab w:leader="none" w:pos="180" w:val="left"/>
        </w:tabs>
        <w:rPr>
          <w:sz w:val="20"/>
          <w:szCs w:val="20"/>
          <w:color w:val="auto"/>
        </w:rPr>
      </w:pPr>
      <w:r>
        <w:rPr>
          <w:rFonts w:ascii="Arial" w:cs="Arial" w:eastAsia="Arial" w:hAnsi="Arial"/>
          <w:sz w:val="14"/>
          <w:szCs w:val="14"/>
          <w:b w:val="1"/>
          <w:bCs w:val="1"/>
          <w:color w:val="auto"/>
        </w:rPr>
        <w:t>May</w:t>
        <w:tab/>
        <w:t>, 2023</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10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gridSpan w:val="19"/>
            <w:vMerge w:val="restart"/>
          </w:tcPr>
          <w:p>
            <w:pPr>
              <w:spacing w:after="0"/>
              <w:rPr>
                <w:sz w:val="20"/>
                <w:szCs w:val="20"/>
                <w:color w:val="auto"/>
              </w:rPr>
            </w:pPr>
            <w:r>
              <w:rPr>
                <w:rFonts w:ascii="Arial" w:cs="Arial" w:eastAsia="Arial" w:hAnsi="Arial"/>
                <w:sz w:val="18"/>
                <w:szCs w:val="18"/>
                <w:color w:val="0000EE"/>
                <w:w w:val="99"/>
              </w:rPr>
              <w:t>Cautionary Statement Regarding Forward-Looking Statements</w:t>
            </w:r>
          </w:p>
        </w:tc>
        <w:tc>
          <w:tcPr>
            <w:tcW w:w="5480" w:type="dxa"/>
            <w:vAlign w:val="bottom"/>
          </w:tcPr>
          <w:p>
            <w:pPr>
              <w:spacing w:after="0"/>
              <w:rPr>
                <w:sz w:val="14"/>
                <w:szCs w:val="14"/>
                <w:color w:val="auto"/>
              </w:rPr>
            </w:pPr>
          </w:p>
        </w:tc>
        <w:tc>
          <w:tcPr>
            <w:tcW w:w="5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980" w:type="dxa"/>
            <w:vAlign w:val="bottom"/>
            <w:tcBorders>
              <w:bottom w:val="single" w:sz="8" w:color="0000EE"/>
            </w:tcBorders>
            <w:gridSpan w:val="19"/>
            <w:vMerge w:val="continue"/>
          </w:tcPr>
          <w:p>
            <w:pPr>
              <w:spacing w:after="0"/>
              <w:rPr>
                <w:sz w:val="13"/>
                <w:szCs w:val="13"/>
                <w:color w:val="auto"/>
              </w:rPr>
            </w:pPr>
          </w:p>
        </w:tc>
        <w:tc>
          <w:tcPr>
            <w:tcW w:w="5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S-iii</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80" w:type="dxa"/>
            <w:vAlign w:val="bottom"/>
            <w:gridSpan w:val="19"/>
          </w:tcPr>
          <w:p>
            <w:pPr>
              <w:spacing w:after="0" w:line="196" w:lineRule="exact"/>
              <w:rPr>
                <w:sz w:val="20"/>
                <w:szCs w:val="20"/>
                <w:color w:val="auto"/>
              </w:rPr>
            </w:pPr>
            <w:r>
              <w:rPr>
                <w:rFonts w:ascii="Arial" w:cs="Arial" w:eastAsia="Arial" w:hAnsi="Arial"/>
                <w:sz w:val="18"/>
                <w:szCs w:val="18"/>
                <w:color w:val="0000EE"/>
              </w:rPr>
              <w:t>Summary</w:t>
            </w:r>
          </w:p>
        </w:tc>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vMerge w:val="restart"/>
          </w:tcPr>
          <w:p>
            <w:pPr>
              <w:jc w:val="right"/>
              <w:ind w:right="40"/>
              <w:spacing w:after="0" w:line="202" w:lineRule="exact"/>
              <w:rPr>
                <w:sz w:val="20"/>
                <w:szCs w:val="20"/>
                <w:color w:val="auto"/>
              </w:rPr>
            </w:pPr>
            <w:r>
              <w:rPr>
                <w:rFonts w:ascii="Arial" w:cs="Arial" w:eastAsia="Arial" w:hAnsi="Arial"/>
                <w:sz w:val="18"/>
                <w:szCs w:val="18"/>
                <w:color w:val="auto"/>
              </w:rPr>
              <w:t>S-3</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The Offering</w:t>
            </w: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Risk Factors</w:t>
            </w:r>
          </w:p>
        </w:tc>
        <w:tc>
          <w:tcPr>
            <w:tcW w:w="2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Use of Proceeds</w:t>
            </w: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vMerge w:val="restart"/>
          </w:tcPr>
          <w:p>
            <w:pPr>
              <w:jc w:val="right"/>
              <w:ind w:right="40"/>
              <w:spacing w:after="0" w:line="202" w:lineRule="exact"/>
              <w:rPr>
                <w:sz w:val="20"/>
                <w:szCs w:val="20"/>
                <w:color w:val="auto"/>
              </w:rPr>
            </w:pPr>
            <w:r>
              <w:rPr>
                <w:rFonts w:ascii="Arial" w:cs="Arial" w:eastAsia="Arial" w:hAnsi="Arial"/>
                <w:sz w:val="18"/>
                <w:szCs w:val="18"/>
                <w:color w:val="auto"/>
              </w:rPr>
              <w:t>S-9</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Description of the Notes</w:t>
            </w: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3"/>
              </w:rPr>
              <w:t>Non-U.S. Federal Income</w:t>
            </w:r>
          </w:p>
        </w:tc>
        <w:tc>
          <w:tcPr>
            <w:tcW w:w="3060" w:type="dxa"/>
            <w:vAlign w:val="bottom"/>
            <w:gridSpan w:val="7"/>
          </w:tcPr>
          <w:p>
            <w:pPr>
              <w:ind w:left="160"/>
              <w:spacing w:after="0" w:line="182" w:lineRule="exact"/>
              <w:rPr>
                <w:sz w:val="20"/>
                <w:szCs w:val="20"/>
                <w:color w:val="auto"/>
              </w:rPr>
            </w:pPr>
            <w:r>
              <w:rPr>
                <w:rFonts w:ascii="Arial" w:cs="Arial" w:eastAsia="Arial" w:hAnsi="Arial"/>
                <w:sz w:val="18"/>
                <w:szCs w:val="18"/>
                <w:color w:val="0000EE"/>
              </w:rPr>
              <w:t>Tax Considerations</w:t>
            </w: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183"/>
        </w:trPr>
        <w:tc>
          <w:tcPr>
            <w:tcW w:w="362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U.S. Federal Income Tax Considerations</w:t>
            </w:r>
          </w:p>
        </w:tc>
        <w:tc>
          <w:tcPr>
            <w:tcW w:w="13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S-34</w:t>
            </w:r>
          </w:p>
        </w:tc>
        <w:tc>
          <w:tcPr>
            <w:tcW w:w="0" w:type="dxa"/>
            <w:vAlign w:val="bottom"/>
          </w:tcPr>
          <w:p>
            <w:pPr>
              <w:spacing w:after="0"/>
              <w:rPr>
                <w:sz w:val="1"/>
                <w:szCs w:val="1"/>
                <w:color w:val="auto"/>
              </w:rPr>
            </w:pPr>
          </w:p>
        </w:tc>
      </w:tr>
      <w:tr>
        <w:trPr>
          <w:trHeight w:val="183"/>
        </w:trPr>
        <w:tc>
          <w:tcPr>
            <w:tcW w:w="322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Underwriting (Conflicts of Interest)</w:t>
            </w:r>
          </w:p>
        </w:tc>
        <w:tc>
          <w:tcPr>
            <w:tcW w:w="10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S-37</w:t>
            </w:r>
          </w:p>
        </w:tc>
        <w:tc>
          <w:tcPr>
            <w:tcW w:w="0" w:type="dxa"/>
            <w:vAlign w:val="bottom"/>
          </w:tcPr>
          <w:p>
            <w:pPr>
              <w:spacing w:after="0"/>
              <w:rPr>
                <w:sz w:val="1"/>
                <w:szCs w:val="1"/>
                <w:color w:val="auto"/>
              </w:rPr>
            </w:pPr>
          </w:p>
        </w:tc>
      </w:tr>
      <w:tr>
        <w:trPr>
          <w:trHeight w:val="183"/>
        </w:trPr>
        <w:tc>
          <w:tcPr>
            <w:tcW w:w="27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Legal Matters</w:t>
            </w:r>
          </w:p>
        </w:tc>
        <w:tc>
          <w:tcPr>
            <w:tcW w:w="3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660" w:type="dxa"/>
            <w:vAlign w:val="bottom"/>
            <w:gridSpan w:val="2"/>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Experts</w:t>
            </w:r>
          </w:p>
        </w:tc>
        <w:tc>
          <w:tcPr>
            <w:tcW w:w="4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70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660" w:type="dxa"/>
            <w:vAlign w:val="bottom"/>
            <w:gridSpan w:val="2"/>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rPr>
              <w:t>Where</w:t>
            </w:r>
          </w:p>
        </w:tc>
        <w:tc>
          <w:tcPr>
            <w:tcW w:w="2460" w:type="dxa"/>
            <w:vAlign w:val="bottom"/>
            <w:tcBorders>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8"/>
              </w:rPr>
              <w:t>you Can Find More Information</w:t>
            </w:r>
          </w:p>
        </w:tc>
        <w:tc>
          <w:tcPr>
            <w:tcW w:w="1920" w:type="dxa"/>
            <w:vAlign w:val="bottom"/>
            <w:gridSpan w:val="4"/>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Incorporation of Documents by Reference</w:t>
            </w: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451"/>
        </w:trPr>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0" w:type="dxa"/>
            <w:vAlign w:val="bottom"/>
            <w:gridSpan w:val="5"/>
          </w:tcPr>
          <w:p>
            <w:pPr>
              <w:ind w:left="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80"/>
        </w:trPr>
        <w:tc>
          <w:tcPr>
            <w:tcW w:w="4980" w:type="dxa"/>
            <w:vAlign w:val="bottom"/>
            <w:gridSpan w:val="19"/>
            <w:vMerge w:val="restart"/>
          </w:tcPr>
          <w:p>
            <w:pPr>
              <w:spacing w:after="0"/>
              <w:rPr>
                <w:sz w:val="20"/>
                <w:szCs w:val="20"/>
                <w:color w:val="auto"/>
              </w:rPr>
            </w:pPr>
            <w:r>
              <w:rPr>
                <w:rFonts w:ascii="Arial" w:cs="Arial" w:eastAsia="Arial" w:hAnsi="Arial"/>
                <w:sz w:val="18"/>
                <w:szCs w:val="18"/>
                <w:color w:val="0000EE"/>
              </w:rPr>
              <w:t>About this Prospectus</w:t>
            </w:r>
          </w:p>
        </w:tc>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4980" w:type="dxa"/>
            <w:vAlign w:val="bottom"/>
            <w:gridSpan w:val="19"/>
            <w:vMerge w:val="continue"/>
          </w:tcPr>
          <w:p>
            <w:pPr>
              <w:spacing w:after="0"/>
              <w:rPr>
                <w:sz w:val="13"/>
                <w:szCs w:val="13"/>
                <w:color w:val="auto"/>
              </w:rPr>
            </w:pPr>
          </w:p>
        </w:tc>
        <w:tc>
          <w:tcPr>
            <w:tcW w:w="5620" w:type="dxa"/>
            <w:vAlign w:val="bottom"/>
            <w:gridSpan w:val="2"/>
          </w:tcPr>
          <w:p>
            <w:pPr>
              <w:spacing w:after="0"/>
              <w:rPr>
                <w:sz w:val="13"/>
                <w:szCs w:val="13"/>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About the Guarantor</w:t>
            </w:r>
          </w:p>
        </w:tc>
        <w:tc>
          <w:tcPr>
            <w:tcW w:w="3240" w:type="dxa"/>
            <w:vAlign w:val="bottom"/>
            <w:gridSpan w:val="9"/>
          </w:tcPr>
          <w:p>
            <w:pPr>
              <w:spacing w:after="0"/>
              <w:rPr>
                <w:sz w:val="17"/>
                <w:szCs w:val="17"/>
                <w:color w:val="auto"/>
              </w:rPr>
            </w:pPr>
          </w:p>
        </w:tc>
        <w:tc>
          <w:tcPr>
            <w:tcW w:w="600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6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About the Company</w:t>
            </w:r>
          </w:p>
        </w:tc>
        <w:tc>
          <w:tcPr>
            <w:tcW w:w="2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700" w:type="dxa"/>
            <w:vAlign w:val="bottom"/>
            <w:gridSpan w:val="2"/>
          </w:tcPr>
          <w:p>
            <w:pPr>
              <w:spacing w:after="0"/>
              <w:rPr>
                <w:sz w:val="15"/>
                <w:szCs w:val="15"/>
                <w:color w:val="auto"/>
              </w:rPr>
            </w:pPr>
          </w:p>
        </w:tc>
        <w:tc>
          <w:tcPr>
            <w:tcW w:w="1920" w:type="dxa"/>
            <w:vAlign w:val="bottom"/>
            <w:gridSpan w:val="4"/>
          </w:tcPr>
          <w:p>
            <w:pPr>
              <w:spacing w:after="0"/>
              <w:rPr>
                <w:sz w:val="15"/>
                <w:szCs w:val="15"/>
                <w:color w:val="auto"/>
              </w:rPr>
            </w:pP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58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89"/>
              </w:rPr>
              <w:t>Cautionary Statement</w:t>
            </w:r>
          </w:p>
        </w:tc>
        <w:tc>
          <w:tcPr>
            <w:tcW w:w="3400" w:type="dxa"/>
            <w:vAlign w:val="bottom"/>
            <w:tcBorders>
              <w:bottom w:val="single" w:sz="8" w:color="0000EE"/>
            </w:tcBorders>
            <w:gridSpan w:val="11"/>
          </w:tcPr>
          <w:p>
            <w:pPr>
              <w:ind w:left="200"/>
              <w:spacing w:after="0" w:line="182" w:lineRule="exact"/>
              <w:rPr>
                <w:sz w:val="20"/>
                <w:szCs w:val="20"/>
                <w:color w:val="auto"/>
              </w:rPr>
            </w:pPr>
            <w:r>
              <w:rPr>
                <w:rFonts w:ascii="Arial" w:cs="Arial" w:eastAsia="Arial" w:hAnsi="Arial"/>
                <w:sz w:val="18"/>
                <w:szCs w:val="18"/>
                <w:color w:val="0000EE"/>
                <w:w w:val="99"/>
              </w:rPr>
              <w:t>Regarding Forward-Looking Statements</w:t>
            </w: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Risk Factors</w:t>
            </w: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0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Where You</w:t>
            </w:r>
          </w:p>
        </w:tc>
        <w:tc>
          <w:tcPr>
            <w:tcW w:w="3960" w:type="dxa"/>
            <w:vAlign w:val="bottom"/>
            <w:gridSpan w:val="15"/>
          </w:tcPr>
          <w:p>
            <w:pPr>
              <w:spacing w:after="0" w:line="182" w:lineRule="exact"/>
              <w:rPr>
                <w:sz w:val="20"/>
                <w:szCs w:val="20"/>
                <w:color w:val="auto"/>
              </w:rPr>
            </w:pPr>
            <w:r>
              <w:rPr>
                <w:rFonts w:ascii="Arial" w:cs="Arial" w:eastAsia="Arial" w:hAnsi="Arial"/>
                <w:sz w:val="18"/>
                <w:szCs w:val="18"/>
                <w:color w:val="0000EE"/>
              </w:rPr>
              <w:t>Can Find More Information</w:t>
            </w: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500" w:type="dxa"/>
            <w:vAlign w:val="bottom"/>
            <w:gridSpan w:val="7"/>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00" w:type="dxa"/>
            <w:vAlign w:val="bottom"/>
            <w:gridSpan w:val="5"/>
            <w:vMerge w:val="restart"/>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Incorporation of Documents by Reference</w:t>
            </w:r>
          </w:p>
        </w:tc>
        <w:tc>
          <w:tcPr>
            <w:tcW w:w="60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Use of Proceeds</w:t>
            </w:r>
          </w:p>
        </w:tc>
        <w:tc>
          <w:tcPr>
            <w:tcW w:w="1660" w:type="dxa"/>
            <w:vAlign w:val="bottom"/>
            <w:gridSpan w:val="2"/>
          </w:tcPr>
          <w:p>
            <w:pPr>
              <w:spacing w:after="0"/>
              <w:rPr>
                <w:sz w:val="15"/>
                <w:szCs w:val="15"/>
                <w:color w:val="auto"/>
              </w:rPr>
            </w:pP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6000" w:type="dxa"/>
            <w:vAlign w:val="bottom"/>
            <w:gridSpan w:val="5"/>
            <w:vMerge w:val="restart"/>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Description of Debt Securities</w:t>
            </w:r>
          </w:p>
        </w:tc>
        <w:tc>
          <w:tcPr>
            <w:tcW w:w="60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Plan of Distribution</w:t>
            </w:r>
          </w:p>
        </w:tc>
        <w:tc>
          <w:tcPr>
            <w:tcW w:w="2620" w:type="dxa"/>
            <w:vAlign w:val="bottom"/>
            <w:gridSpan w:val="6"/>
          </w:tcPr>
          <w:p>
            <w:pPr>
              <w:spacing w:after="0"/>
              <w:rPr>
                <w:sz w:val="15"/>
                <w:szCs w:val="15"/>
                <w:color w:val="auto"/>
              </w:rPr>
            </w:pP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500" w:type="dxa"/>
            <w:vAlign w:val="bottom"/>
            <w:gridSpan w:val="7"/>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6000" w:type="dxa"/>
            <w:vAlign w:val="bottom"/>
            <w:gridSpan w:val="5"/>
            <w:vMerge w:val="restart"/>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Validity of the Securities</w:t>
            </w:r>
          </w:p>
        </w:tc>
        <w:tc>
          <w:tcPr>
            <w:tcW w:w="60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0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Experts</w:t>
            </w:r>
          </w:p>
        </w:tc>
        <w:tc>
          <w:tcPr>
            <w:tcW w:w="3080" w:type="dxa"/>
            <w:vAlign w:val="bottom"/>
            <w:gridSpan w:val="8"/>
          </w:tcPr>
          <w:p>
            <w:pPr>
              <w:spacing w:after="0"/>
              <w:rPr>
                <w:sz w:val="15"/>
                <w:szCs w:val="15"/>
                <w:color w:val="auto"/>
              </w:rPr>
            </w:pP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11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refers to Schlumberger Investment S.A., as defined on the first page of this prospectus supplement;</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“Guarantor” refers to Schlumberger Limited, the ultimate parent of the Company;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“SLB Group” or “SLB” refers to Schlumberger Limited and its consolidated subsidiaries, including the Company; and</w:t>
      </w:r>
    </w:p>
    <w:p>
      <w:pPr>
        <w:spacing w:after="0" w:line="117" w:lineRule="exact"/>
        <w:rPr>
          <w:rFonts w:ascii="Arial" w:cs="Arial" w:eastAsia="Arial" w:hAnsi="Arial"/>
          <w:sz w:val="18"/>
          <w:szCs w:val="18"/>
          <w:color w:val="auto"/>
        </w:rPr>
      </w:pPr>
    </w:p>
    <w:p>
      <w:pPr>
        <w:ind w:left="1080" w:right="100" w:hanging="424"/>
        <w:spacing w:after="0" w:line="27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and similar expressions refer to the SLB Group, including the Company, except when used in connection with the “Notes,” in which case these terms refer solely to the Company.</w:t>
      </w:r>
    </w:p>
    <w:p>
      <w:pPr>
        <w:spacing w:after="0" w:line="154" w:lineRule="exact"/>
        <w:rPr>
          <w:sz w:val="20"/>
          <w:szCs w:val="20"/>
          <w:color w:val="auto"/>
        </w:rPr>
      </w:pPr>
    </w:p>
    <w:p>
      <w:pPr>
        <w:ind w:left="120" w:right="160" w:firstLine="440"/>
        <w:spacing w:after="0" w:line="242"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79"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the accompanying prospectus and any related free writing prospectus issued by us or on our behalf. We have not, and the underwriters have not, authorized any other person to provide you with information other than that contained or incorporated by reference in this prospectus supplement and the accompanying prospectus or in any related free writing prospectus. The information contained or incorporated by reference in this prospectus supplement and the accompanying prospectus is accurate as of the date on the front cover of such documents only. The business, properties, assets, results of operations, financial position or prospects of the Company and the Guarantor may have changed since that date. Neither the delivery of this prospectus supplement nor of the accompanying prospectus, nor any sale made thereunder, will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2"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This prospectus supplement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7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the SLB Group’s financial and performance targets and other forecasts or expectations regarding, or dependent on, its business outlook; growth for the SLB Group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the SLB Group and the oil and gas industry; the business strategies of the SLB Group, including digital and “fit for basin,” as well as the strategies of its customers; the SLB Group’s effective tax rate; the SLB Group’s Asset Performance Solutions projects, joint ventures, and other alliances; the SLB Group’s response to the COVID-19 pandemic and its preparedness for other widespread health emergencies;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the SLB Group’s customers, and changes in the level of oil and natural gas exploration and development; the results of operations and financial condition of the SLB Group’s customers and suppliers; the SLB Group’s inability to achieve its financial and performance targets and other forecasts and expectations; the SLB Group’s inability to achieve its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the SLB Group’s supply chain; production declines; the extent of future charges; the SLB Group’s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prospectus supplement and in the Guarantor’s filings with the SEC. All subsequent written and oral forward-looking statements attributable to the Company or the Guarantor or to persons acting on their behalf are expressly qualified in their entirety by reference to these risks and uncertainties. Each forward-looking statement speaks only as of the date of the particular statement, and we undertake no obligation to publicly update or revise any forward-looking statements except as required by law.</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12" w:lineRule="exact"/>
        <w:rPr>
          <w:sz w:val="20"/>
          <w:szCs w:val="20"/>
          <w:color w:val="auto"/>
        </w:rPr>
      </w:pPr>
    </w:p>
    <w:p>
      <w:pPr>
        <w:ind w:left="300" w:right="80" w:firstLine="426"/>
        <w:spacing w:after="0" w:line="247"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the Guarantor’s Annual Report on Form 10-K for the year ended December 31, 2022 and the Guarantor’s Quarterly Report on Form 10-Q for the fiscal quarter ended March 31, 2023.</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w:t>
      </w:r>
    </w:p>
    <w:p>
      <w:pPr>
        <w:spacing w:after="0" w:line="104"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We are SLB. In October 2022, we announced our brand which is built around a new name—SLB—and a logo that underscores our vision for a decarbonized energy future. This move affirmed our transformation from the world’s largest oilfield services company to a global technology company focused on driving energy innovation. The SLB brand builds on nearly a century of technology innovation and industrialization expertise in the energy services industry—continuing to drive innovation, decarbonization and performance for the oil and gas industry while increasing our focus on low- and zero-carbon energy technology solutions. Our new identity symbolizes SLB’s commitment to moving farther and faster in facilitating the world’s energy needs today and forging the road ahead for a sustainable future.</w:t>
      </w:r>
    </w:p>
    <w:p>
      <w:pPr>
        <w:spacing w:after="0" w:line="185" w:lineRule="exact"/>
        <w:rPr>
          <w:sz w:val="20"/>
          <w:szCs w:val="20"/>
          <w:color w:val="auto"/>
        </w:rPr>
      </w:pPr>
    </w:p>
    <w:p>
      <w:pPr>
        <w:ind w:left="300" w:right="100" w:firstLine="426"/>
        <w:spacing w:after="0" w:line="275" w:lineRule="auto"/>
        <w:rPr>
          <w:sz w:val="20"/>
          <w:szCs w:val="20"/>
          <w:color w:val="auto"/>
        </w:rPr>
      </w:pPr>
      <w:r>
        <w:rPr>
          <w:rFonts w:ascii="Arial" w:cs="Arial" w:eastAsia="Arial" w:hAnsi="Arial"/>
          <w:sz w:val="17"/>
          <w:szCs w:val="17"/>
          <w:color w:val="auto"/>
        </w:rPr>
        <w:t>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w:t>
      </w:r>
    </w:p>
    <w:p>
      <w:pPr>
        <w:spacing w:after="0" w:line="152" w:lineRule="exact"/>
        <w:rPr>
          <w:sz w:val="20"/>
          <w:szCs w:val="20"/>
          <w:color w:val="auto"/>
        </w:rPr>
      </w:pPr>
    </w:p>
    <w:p>
      <w:pPr>
        <w:ind w:left="300" w:right="220" w:firstLine="426"/>
        <w:spacing w:after="0" w:line="253" w:lineRule="auto"/>
        <w:rPr>
          <w:sz w:val="20"/>
          <w:szCs w:val="20"/>
          <w:color w:val="auto"/>
        </w:rPr>
      </w:pPr>
      <w:r>
        <w:rPr>
          <w:rFonts w:ascii="Arial" w:cs="Arial" w:eastAsia="Arial" w:hAnsi="Arial"/>
          <w:sz w:val="18"/>
          <w:szCs w:val="18"/>
          <w:color w:val="auto"/>
        </w:rPr>
        <w:t>SLB is organized under four Divisions that combine and integrate SLB’s technologies, enhancing our ability to support the emerging long-term growth opportunities in each of these market segments. The four Divisions are Digital &amp; Integration, Reservoir Performance, Well Construction, and Production Systems.</w:t>
      </w:r>
    </w:p>
    <w:p>
      <w:pPr>
        <w:spacing w:after="0" w:line="169" w:lineRule="exact"/>
        <w:rPr>
          <w:sz w:val="20"/>
          <w:szCs w:val="20"/>
          <w:color w:val="auto"/>
        </w:rPr>
      </w:pPr>
    </w:p>
    <w:p>
      <w:pPr>
        <w:ind w:left="300" w:firstLine="426"/>
        <w:spacing w:after="0" w:line="261" w:lineRule="auto"/>
        <w:rPr>
          <w:sz w:val="20"/>
          <w:szCs w:val="20"/>
          <w:color w:val="auto"/>
        </w:rPr>
      </w:pPr>
      <w:r>
        <w:rPr>
          <w:rFonts w:ascii="Arial" w:cs="Arial" w:eastAsia="Arial" w:hAnsi="Arial"/>
          <w:sz w:val="17"/>
          <w:szCs w:val="17"/>
          <w:color w:val="auto"/>
        </w:rPr>
        <w:t>The Divisions operate through the geographical structure of four Basins that are aligned with critical concentrations of activity: Americas Land, Offshore Atlantic, Middle East &amp; North Africa, and Asia. The Basins are configured around common regional characteristics that enable us to deploy fit-for-purpose technologies, operating models and skills to meet the specific customer needs in each Basin and are focused on agility, responsiveness, and competitiveness. The Basins are organized into GeoUnits, which can be a single country or made up of several countries. With a strong focus on customers, the Basins identify opportunities for growth.</w:t>
      </w:r>
    </w:p>
    <w:p>
      <w:pPr>
        <w:spacing w:after="0" w:line="166" w:lineRule="exact"/>
        <w:rPr>
          <w:sz w:val="20"/>
          <w:szCs w:val="20"/>
          <w:color w:val="auto"/>
        </w:rPr>
      </w:pPr>
    </w:p>
    <w:p>
      <w:pPr>
        <w:ind w:left="300" w:right="180" w:firstLine="426"/>
        <w:spacing w:after="0" w:line="253" w:lineRule="auto"/>
        <w:rPr>
          <w:sz w:val="20"/>
          <w:szCs w:val="20"/>
          <w:color w:val="auto"/>
        </w:rPr>
      </w:pPr>
      <w:r>
        <w:rPr>
          <w:rFonts w:ascii="Arial" w:cs="Arial" w:eastAsia="Arial" w:hAnsi="Arial"/>
          <w:sz w:val="18"/>
          <w:szCs w:val="18"/>
          <w:color w:val="auto"/>
        </w:rPr>
        <w:t>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the Guarantor</w:t>
      </w:r>
    </w:p>
    <w:p>
      <w:pPr>
        <w:spacing w:after="0" w:line="104" w:lineRule="exact"/>
        <w:rPr>
          <w:sz w:val="20"/>
          <w:szCs w:val="20"/>
          <w:color w:val="auto"/>
        </w:rPr>
      </w:pPr>
    </w:p>
    <w:p>
      <w:pPr>
        <w:ind w:left="300" w:right="20" w:firstLine="426"/>
        <w:spacing w:after="0" w:line="271" w:lineRule="auto"/>
        <w:rPr>
          <w:sz w:val="20"/>
          <w:szCs w:val="20"/>
          <w:color w:val="auto"/>
        </w:rPr>
      </w:pPr>
      <w:r>
        <w:rPr>
          <w:rFonts w:ascii="Arial" w:cs="Arial" w:eastAsia="Arial" w:hAnsi="Arial"/>
          <w:sz w:val="18"/>
          <w:szCs w:val="18"/>
          <w:color w:val="auto"/>
        </w:rPr>
        <w:t>The Guarantor was founded in 1926 and is incorporated under the laws of Curaçao. The Guarantor is the ultimate parent of the Company.</w:t>
      </w:r>
    </w:p>
    <w:p>
      <w:pPr>
        <w:spacing w:after="0" w:line="154" w:lineRule="exact"/>
        <w:rPr>
          <w:sz w:val="20"/>
          <w:szCs w:val="20"/>
          <w:color w:val="auto"/>
        </w:rPr>
      </w:pPr>
    </w:p>
    <w:p>
      <w:pPr>
        <w:ind w:left="300" w:right="140" w:firstLine="426"/>
        <w:spacing w:after="0" w:line="271" w:lineRule="auto"/>
        <w:rPr>
          <w:sz w:val="20"/>
          <w:szCs w:val="20"/>
          <w:color w:val="auto"/>
        </w:rPr>
      </w:pPr>
      <w:r>
        <w:rPr>
          <w:rFonts w:ascii="Arial" w:cs="Arial" w:eastAsia="Arial" w:hAnsi="Arial"/>
          <w:sz w:val="18"/>
          <w:szCs w:val="18"/>
          <w:color w:val="auto"/>
        </w:rPr>
        <w:t>The Guarantor has executive offices in Paris, Houston, London and The Hague. The principal U.S. market for the Guarantor’s common stock is the New York Stock Exchange, where it is traded under the symbol “SLB.”</w:t>
      </w:r>
    </w:p>
    <w:p>
      <w:pPr>
        <w:spacing w:after="0" w:line="2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840"/>
          </w:cols>
          <w:pgMar w:left="320" w:top="455"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941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19411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the Company</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and organizational status</w:t>
      </w:r>
    </w:p>
    <w:p>
      <w:pPr>
        <w:spacing w:after="0" w:line="102" w:lineRule="exact"/>
        <w:rPr>
          <w:sz w:val="20"/>
          <w:szCs w:val="20"/>
          <w:color w:val="auto"/>
        </w:rPr>
      </w:pPr>
    </w:p>
    <w:p>
      <w:pPr>
        <w:ind w:left="300" w:firstLine="426"/>
        <w:spacing w:after="0" w:line="247" w:lineRule="auto"/>
        <w:rPr>
          <w:sz w:val="20"/>
          <w:szCs w:val="20"/>
          <w:color w:val="auto"/>
        </w:rPr>
      </w:pPr>
      <w:r>
        <w:rPr>
          <w:rFonts w:ascii="Arial" w:cs="Arial" w:eastAsia="Arial" w:hAnsi="Arial"/>
          <w:sz w:val="18"/>
          <w:szCs w:val="18"/>
          <w:color w:val="auto"/>
        </w:rPr>
        <w:t>Schlumberger Investment S.A. is a public limited liability company (société anonyme) incorporated in 2011 under the laws of the Grand Duchy of Luxembourg and registered with the Luxembourg Trade and Companies Register (Registre de Commerce et des Sociétés) under number B 163.122. The Company’s registered office is at 5, Place de la Gare, L-1616 Luxembourg and its telephone number is +352 284 878 1045.</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is part of the SLB Group and all shares of the Company are owned indirectly by the Guarantor.</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Activities</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80"/>
          </w:cols>
          <w:pgMar w:left="320" w:top="455"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14" w:lineRule="exact"/>
        <w:rPr>
          <w:sz w:val="20"/>
          <w:szCs w:val="20"/>
          <w:color w:val="auto"/>
        </w:rPr>
      </w:pPr>
    </w:p>
    <w:p>
      <w:pPr>
        <w:ind w:left="300" w:right="320" w:firstLine="426"/>
        <w:spacing w:after="0" w:line="252"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60" w:type="dxa"/>
            <w:vAlign w:val="bottom"/>
          </w:tcPr>
          <w:p>
            <w:pPr>
              <w:ind w:left="180"/>
              <w:spacing w:after="0"/>
              <w:rPr>
                <w:sz w:val="20"/>
                <w:szCs w:val="20"/>
                <w:color w:val="auto"/>
              </w:rPr>
            </w:pPr>
            <w:r>
              <w:rPr>
                <w:rFonts w:ascii="Arial" w:cs="Arial" w:eastAsia="Arial" w:hAnsi="Arial"/>
                <w:sz w:val="18"/>
                <w:szCs w:val="18"/>
                <w:color w:val="auto"/>
              </w:rPr>
              <w:t>Issuer</w:t>
            </w:r>
          </w:p>
        </w:tc>
        <w:tc>
          <w:tcPr>
            <w:tcW w:w="7960" w:type="dxa"/>
            <w:vAlign w:val="bottom"/>
            <w:gridSpan w:val="9"/>
          </w:tcPr>
          <w:p>
            <w:pPr>
              <w:ind w:left="860"/>
              <w:spacing w:after="0"/>
              <w:rPr>
                <w:sz w:val="20"/>
                <w:szCs w:val="20"/>
                <w:color w:val="auto"/>
              </w:rPr>
            </w:pPr>
            <w:r>
              <w:rPr>
                <w:rFonts w:ascii="Arial" w:cs="Arial" w:eastAsia="Arial" w:hAnsi="Arial"/>
                <w:sz w:val="18"/>
                <w:szCs w:val="18"/>
                <w:color w:val="auto"/>
              </w:rPr>
              <w:t>Schlumberger Investment S.A., as defined on the first page of this prospectus</w:t>
            </w:r>
          </w:p>
        </w:tc>
      </w:tr>
      <w:tr>
        <w:trPr>
          <w:trHeight w:val="239"/>
        </w:trPr>
        <w:tc>
          <w:tcPr>
            <w:tcW w:w="3060" w:type="dxa"/>
            <w:vAlign w:val="bottom"/>
          </w:tcPr>
          <w:p>
            <w:pPr>
              <w:spacing w:after="0"/>
              <w:rPr>
                <w:sz w:val="20"/>
                <w:szCs w:val="20"/>
                <w:color w:val="auto"/>
              </w:rPr>
            </w:pPr>
          </w:p>
        </w:tc>
        <w:tc>
          <w:tcPr>
            <w:tcW w:w="1940" w:type="dxa"/>
            <w:vAlign w:val="bottom"/>
            <w:gridSpan w:val="2"/>
          </w:tcPr>
          <w:p>
            <w:pPr>
              <w:ind w:left="860"/>
              <w:spacing w:after="0"/>
              <w:rPr>
                <w:sz w:val="20"/>
                <w:szCs w:val="20"/>
                <w:color w:val="auto"/>
              </w:rPr>
            </w:pPr>
            <w:r>
              <w:rPr>
                <w:rFonts w:ascii="Arial" w:cs="Arial" w:eastAsia="Arial" w:hAnsi="Arial"/>
                <w:sz w:val="18"/>
                <w:szCs w:val="18"/>
                <w:color w:val="auto"/>
              </w:rPr>
              <w:t>supplement.</w:t>
            </w: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1"/>
        </w:trPr>
        <w:tc>
          <w:tcPr>
            <w:tcW w:w="3060" w:type="dxa"/>
            <w:vAlign w:val="bottom"/>
          </w:tcPr>
          <w:p>
            <w:pPr>
              <w:ind w:left="180"/>
              <w:spacing w:after="0"/>
              <w:rPr>
                <w:sz w:val="20"/>
                <w:szCs w:val="20"/>
                <w:color w:val="auto"/>
              </w:rPr>
            </w:pPr>
            <w:r>
              <w:rPr>
                <w:rFonts w:ascii="Arial" w:cs="Arial" w:eastAsia="Arial" w:hAnsi="Arial"/>
                <w:sz w:val="18"/>
                <w:szCs w:val="18"/>
                <w:color w:val="auto"/>
              </w:rPr>
              <w:t>Guarantor</w:t>
            </w:r>
          </w:p>
        </w:tc>
        <w:tc>
          <w:tcPr>
            <w:tcW w:w="2800" w:type="dxa"/>
            <w:vAlign w:val="bottom"/>
            <w:gridSpan w:val="3"/>
          </w:tcPr>
          <w:p>
            <w:pPr>
              <w:ind w:left="860"/>
              <w:spacing w:after="0"/>
              <w:rPr>
                <w:sz w:val="20"/>
                <w:szCs w:val="20"/>
                <w:color w:val="auto"/>
              </w:rPr>
            </w:pPr>
            <w:r>
              <w:rPr>
                <w:rFonts w:ascii="Arial" w:cs="Arial" w:eastAsia="Arial" w:hAnsi="Arial"/>
                <w:sz w:val="18"/>
                <w:szCs w:val="18"/>
                <w:color w:val="auto"/>
              </w:rPr>
              <w:t>Schlumberger Limited.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306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1520" w:type="dxa"/>
            <w:vAlign w:val="bottom"/>
          </w:tcPr>
          <w:p>
            <w:pPr>
              <w:ind w:left="860"/>
              <w:spacing w:after="0"/>
              <w:rPr>
                <w:sz w:val="20"/>
                <w:szCs w:val="20"/>
                <w:color w:val="auto"/>
              </w:rPr>
            </w:pPr>
            <w:r>
              <w:rPr>
                <w:rFonts w:ascii="Arial" w:cs="Arial" w:eastAsia="Arial" w:hAnsi="Arial"/>
                <w:sz w:val="18"/>
                <w:szCs w:val="18"/>
                <w:color w:val="auto"/>
              </w:rPr>
              <w:t>U.S.$</w:t>
            </w:r>
          </w:p>
        </w:tc>
        <w:tc>
          <w:tcPr>
            <w:tcW w:w="4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principal amount of</w:t>
            </w:r>
          </w:p>
        </w:tc>
        <w:tc>
          <w:tcPr>
            <w:tcW w:w="260" w:type="dxa"/>
            <w:vAlign w:val="bottom"/>
          </w:tcPr>
          <w:p>
            <w:pPr>
              <w:spacing w:after="0"/>
              <w:rPr>
                <w:sz w:val="24"/>
                <w:szCs w:val="24"/>
                <w:color w:val="auto"/>
              </w:rPr>
            </w:pPr>
          </w:p>
        </w:tc>
        <w:tc>
          <w:tcPr>
            <w:tcW w:w="2860" w:type="dxa"/>
            <w:vAlign w:val="bottom"/>
            <w:gridSpan w:val="3"/>
          </w:tcPr>
          <w:p>
            <w:pPr>
              <w:ind w:left="300"/>
              <w:spacing w:after="0"/>
              <w:rPr>
                <w:sz w:val="20"/>
                <w:szCs w:val="20"/>
                <w:color w:val="auto"/>
              </w:rPr>
            </w:pPr>
            <w:r>
              <w:rPr>
                <w:rFonts w:ascii="Arial" w:cs="Arial" w:eastAsia="Arial" w:hAnsi="Arial"/>
                <w:sz w:val="18"/>
                <w:szCs w:val="18"/>
                <w:color w:val="auto"/>
              </w:rPr>
              <w:t>% Senior Notes due 2028.</w:t>
            </w:r>
          </w:p>
        </w:tc>
        <w:tc>
          <w:tcPr>
            <w:tcW w:w="1280" w:type="dxa"/>
            <w:vAlign w:val="bottom"/>
          </w:tcPr>
          <w:p>
            <w:pPr>
              <w:spacing w:after="0"/>
              <w:rPr>
                <w:sz w:val="24"/>
                <w:szCs w:val="24"/>
                <w:color w:val="auto"/>
              </w:rPr>
            </w:pPr>
          </w:p>
        </w:tc>
      </w:tr>
      <w:tr>
        <w:trPr>
          <w:trHeight w:val="311"/>
        </w:trPr>
        <w:tc>
          <w:tcPr>
            <w:tcW w:w="3060" w:type="dxa"/>
            <w:vAlign w:val="bottom"/>
          </w:tcPr>
          <w:p>
            <w:pPr>
              <w:spacing w:after="0"/>
              <w:rPr>
                <w:sz w:val="24"/>
                <w:szCs w:val="24"/>
                <w:color w:val="auto"/>
              </w:rPr>
            </w:pPr>
          </w:p>
        </w:tc>
        <w:tc>
          <w:tcPr>
            <w:tcW w:w="1520" w:type="dxa"/>
            <w:vAlign w:val="bottom"/>
          </w:tcPr>
          <w:p>
            <w:pPr>
              <w:ind w:left="860"/>
              <w:spacing w:after="0"/>
              <w:rPr>
                <w:sz w:val="20"/>
                <w:szCs w:val="20"/>
                <w:color w:val="auto"/>
              </w:rPr>
            </w:pPr>
            <w:r>
              <w:rPr>
                <w:rFonts w:ascii="Arial" w:cs="Arial" w:eastAsia="Arial" w:hAnsi="Arial"/>
                <w:sz w:val="18"/>
                <w:szCs w:val="18"/>
                <w:color w:val="auto"/>
              </w:rPr>
              <w:t>U.S.$</w:t>
            </w:r>
          </w:p>
        </w:tc>
        <w:tc>
          <w:tcPr>
            <w:tcW w:w="4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principal amount of</w:t>
            </w:r>
          </w:p>
        </w:tc>
        <w:tc>
          <w:tcPr>
            <w:tcW w:w="260" w:type="dxa"/>
            <w:vAlign w:val="bottom"/>
          </w:tcPr>
          <w:p>
            <w:pPr>
              <w:spacing w:after="0"/>
              <w:rPr>
                <w:sz w:val="24"/>
                <w:szCs w:val="24"/>
                <w:color w:val="auto"/>
              </w:rPr>
            </w:pPr>
          </w:p>
        </w:tc>
        <w:tc>
          <w:tcPr>
            <w:tcW w:w="2860" w:type="dxa"/>
            <w:vAlign w:val="bottom"/>
            <w:gridSpan w:val="3"/>
          </w:tcPr>
          <w:p>
            <w:pPr>
              <w:ind w:left="300"/>
              <w:spacing w:after="0"/>
              <w:rPr>
                <w:sz w:val="20"/>
                <w:szCs w:val="20"/>
                <w:color w:val="auto"/>
              </w:rPr>
            </w:pPr>
            <w:r>
              <w:rPr>
                <w:rFonts w:ascii="Arial" w:cs="Arial" w:eastAsia="Arial" w:hAnsi="Arial"/>
                <w:sz w:val="18"/>
                <w:szCs w:val="18"/>
                <w:color w:val="auto"/>
              </w:rPr>
              <w:t>% Senior Notes due 2033.</w:t>
            </w:r>
          </w:p>
        </w:tc>
        <w:tc>
          <w:tcPr>
            <w:tcW w:w="1280" w:type="dxa"/>
            <w:vAlign w:val="bottom"/>
          </w:tcPr>
          <w:p>
            <w:pPr>
              <w:spacing w:after="0"/>
              <w:rPr>
                <w:sz w:val="24"/>
                <w:szCs w:val="24"/>
                <w:color w:val="auto"/>
              </w:rPr>
            </w:pPr>
          </w:p>
        </w:tc>
      </w:tr>
      <w:tr>
        <w:trPr>
          <w:trHeight w:val="310"/>
        </w:trPr>
        <w:tc>
          <w:tcPr>
            <w:tcW w:w="306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3560" w:type="dxa"/>
            <w:vAlign w:val="bottom"/>
            <w:gridSpan w:val="4"/>
          </w:tcPr>
          <w:p>
            <w:pPr>
              <w:ind w:left="860"/>
              <w:spacing w:after="0"/>
              <w:rPr>
                <w:sz w:val="20"/>
                <w:szCs w:val="20"/>
                <w:color w:val="auto"/>
              </w:rPr>
            </w:pPr>
            <w:r>
              <w:rPr>
                <w:rFonts w:ascii="Arial" w:cs="Arial" w:eastAsia="Arial" w:hAnsi="Arial"/>
                <w:sz w:val="18"/>
                <w:szCs w:val="18"/>
                <w:color w:val="auto"/>
              </w:rPr>
              <w:t>The 2028 Notes will mature on</w:t>
            </w:r>
          </w:p>
        </w:tc>
        <w:tc>
          <w:tcPr>
            <w:tcW w:w="260" w:type="dxa"/>
            <w:vAlign w:val="bottom"/>
          </w:tcPr>
          <w:p>
            <w:pPr>
              <w:spacing w:after="0"/>
              <w:rPr>
                <w:sz w:val="24"/>
                <w:szCs w:val="24"/>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 2028.</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3060" w:type="dxa"/>
            <w:vAlign w:val="bottom"/>
          </w:tcPr>
          <w:p>
            <w:pPr>
              <w:spacing w:after="0"/>
              <w:rPr>
                <w:sz w:val="24"/>
                <w:szCs w:val="24"/>
                <w:color w:val="auto"/>
              </w:rPr>
            </w:pPr>
          </w:p>
        </w:tc>
        <w:tc>
          <w:tcPr>
            <w:tcW w:w="3560" w:type="dxa"/>
            <w:vAlign w:val="bottom"/>
            <w:gridSpan w:val="4"/>
          </w:tcPr>
          <w:p>
            <w:pPr>
              <w:ind w:left="860"/>
              <w:spacing w:after="0"/>
              <w:rPr>
                <w:sz w:val="20"/>
                <w:szCs w:val="20"/>
                <w:color w:val="auto"/>
              </w:rPr>
            </w:pPr>
            <w:r>
              <w:rPr>
                <w:rFonts w:ascii="Arial" w:cs="Arial" w:eastAsia="Arial" w:hAnsi="Arial"/>
                <w:sz w:val="18"/>
                <w:szCs w:val="18"/>
                <w:color w:val="auto"/>
              </w:rPr>
              <w:t>The 2033 Notes will mature on</w:t>
            </w:r>
          </w:p>
        </w:tc>
        <w:tc>
          <w:tcPr>
            <w:tcW w:w="260" w:type="dxa"/>
            <w:vAlign w:val="bottom"/>
          </w:tcPr>
          <w:p>
            <w:pPr>
              <w:spacing w:after="0"/>
              <w:rPr>
                <w:sz w:val="24"/>
                <w:szCs w:val="24"/>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 2033.</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30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820" w:type="dxa"/>
            <w:vAlign w:val="bottom"/>
            <w:gridSpan w:val="5"/>
          </w:tcPr>
          <w:p>
            <w:pPr>
              <w:ind w:left="860"/>
              <w:spacing w:after="0"/>
              <w:rPr>
                <w:sz w:val="20"/>
                <w:szCs w:val="20"/>
                <w:color w:val="auto"/>
              </w:rPr>
            </w:pPr>
            <w:r>
              <w:rPr>
                <w:rFonts w:ascii="Arial" w:cs="Arial" w:eastAsia="Arial" w:hAnsi="Arial"/>
                <w:sz w:val="18"/>
                <w:szCs w:val="18"/>
                <w:color w:val="auto"/>
              </w:rPr>
              <w:t>The 2028 Notes will bear interest at</w:t>
            </w:r>
          </w:p>
        </w:tc>
        <w:tc>
          <w:tcPr>
            <w:tcW w:w="1820" w:type="dxa"/>
            <w:vAlign w:val="bottom"/>
            <w:gridSpan w:val="2"/>
          </w:tcPr>
          <w:p>
            <w:pPr>
              <w:ind w:left="520"/>
              <w:spacing w:after="0"/>
              <w:rPr>
                <w:sz w:val="20"/>
                <w:szCs w:val="20"/>
                <w:color w:val="auto"/>
              </w:rPr>
            </w:pPr>
            <w:r>
              <w:rPr>
                <w:rFonts w:ascii="Arial" w:cs="Arial" w:eastAsia="Arial" w:hAnsi="Arial"/>
                <w:sz w:val="18"/>
                <w:szCs w:val="18"/>
                <w:color w:val="auto"/>
              </w:rPr>
              <w:t>% per annum.</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3060" w:type="dxa"/>
            <w:vAlign w:val="bottom"/>
          </w:tcPr>
          <w:p>
            <w:pPr>
              <w:spacing w:after="0"/>
              <w:rPr>
                <w:sz w:val="24"/>
                <w:szCs w:val="24"/>
                <w:color w:val="auto"/>
              </w:rPr>
            </w:pPr>
          </w:p>
        </w:tc>
        <w:tc>
          <w:tcPr>
            <w:tcW w:w="3820" w:type="dxa"/>
            <w:vAlign w:val="bottom"/>
            <w:gridSpan w:val="5"/>
          </w:tcPr>
          <w:p>
            <w:pPr>
              <w:ind w:left="860"/>
              <w:spacing w:after="0"/>
              <w:rPr>
                <w:sz w:val="20"/>
                <w:szCs w:val="20"/>
                <w:color w:val="auto"/>
              </w:rPr>
            </w:pPr>
            <w:r>
              <w:rPr>
                <w:rFonts w:ascii="Arial" w:cs="Arial" w:eastAsia="Arial" w:hAnsi="Arial"/>
                <w:sz w:val="18"/>
                <w:szCs w:val="18"/>
                <w:color w:val="auto"/>
              </w:rPr>
              <w:t>The 2033 Notes will bear interest at</w:t>
            </w:r>
          </w:p>
        </w:tc>
        <w:tc>
          <w:tcPr>
            <w:tcW w:w="1820" w:type="dxa"/>
            <w:vAlign w:val="bottom"/>
            <w:gridSpan w:val="2"/>
          </w:tcPr>
          <w:p>
            <w:pPr>
              <w:ind w:left="520"/>
              <w:spacing w:after="0"/>
              <w:rPr>
                <w:sz w:val="20"/>
                <w:szCs w:val="20"/>
                <w:color w:val="auto"/>
              </w:rPr>
            </w:pPr>
            <w:r>
              <w:rPr>
                <w:rFonts w:ascii="Arial" w:cs="Arial" w:eastAsia="Arial" w:hAnsi="Arial"/>
                <w:sz w:val="18"/>
                <w:szCs w:val="18"/>
                <w:color w:val="auto"/>
              </w:rPr>
              <w:t>% per annum.</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4"/>
        </w:trPr>
        <w:tc>
          <w:tcPr>
            <w:tcW w:w="306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5220" w:type="dxa"/>
            <w:vAlign w:val="bottom"/>
            <w:gridSpan w:val="6"/>
          </w:tcPr>
          <w:p>
            <w:pPr>
              <w:ind w:left="860"/>
              <w:spacing w:after="0"/>
              <w:rPr>
                <w:sz w:val="20"/>
                <w:szCs w:val="20"/>
                <w:color w:val="auto"/>
              </w:rPr>
            </w:pPr>
            <w:r>
              <w:rPr>
                <w:rFonts w:ascii="Arial" w:cs="Arial" w:eastAsia="Arial" w:hAnsi="Arial"/>
                <w:sz w:val="18"/>
                <w:szCs w:val="18"/>
                <w:color w:val="auto"/>
              </w:rPr>
              <w:t>Interest on the Notes will be payable semi-annually on</w:t>
            </w:r>
          </w:p>
        </w:tc>
        <w:tc>
          <w:tcPr>
            <w:tcW w:w="420" w:type="dxa"/>
            <w:vAlign w:val="bottom"/>
          </w:tcPr>
          <w:p>
            <w:pPr>
              <w:spacing w:after="0"/>
              <w:rPr>
                <w:sz w:val="23"/>
                <w:szCs w:val="23"/>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9"/>
              </w:rPr>
              <w:t>and</w:t>
            </w:r>
          </w:p>
        </w:tc>
        <w:tc>
          <w:tcPr>
            <w:tcW w:w="1280" w:type="dxa"/>
            <w:vAlign w:val="bottom"/>
          </w:tcPr>
          <w:p>
            <w:pPr>
              <w:ind w:left="80"/>
              <w:spacing w:after="0"/>
              <w:rPr>
                <w:sz w:val="20"/>
                <w:szCs w:val="20"/>
                <w:color w:val="auto"/>
              </w:rPr>
            </w:pPr>
            <w:r>
              <w:rPr>
                <w:rFonts w:ascii="Arial" w:cs="Arial" w:eastAsia="Arial" w:hAnsi="Arial"/>
                <w:sz w:val="18"/>
                <w:szCs w:val="18"/>
                <w:color w:val="auto"/>
              </w:rPr>
              <w:t>of each</w:t>
            </w:r>
          </w:p>
        </w:tc>
      </w:tr>
      <w:tr>
        <w:trPr>
          <w:trHeight w:val="239"/>
        </w:trPr>
        <w:tc>
          <w:tcPr>
            <w:tcW w:w="3060" w:type="dxa"/>
            <w:vAlign w:val="bottom"/>
          </w:tcPr>
          <w:p>
            <w:pPr>
              <w:spacing w:after="0"/>
              <w:rPr>
                <w:sz w:val="20"/>
                <w:szCs w:val="20"/>
                <w:color w:val="auto"/>
              </w:rPr>
            </w:pPr>
          </w:p>
        </w:tc>
        <w:tc>
          <w:tcPr>
            <w:tcW w:w="2800" w:type="dxa"/>
            <w:vAlign w:val="bottom"/>
            <w:gridSpan w:val="3"/>
          </w:tcPr>
          <w:p>
            <w:pPr>
              <w:ind w:left="860"/>
              <w:spacing w:after="0"/>
              <w:rPr>
                <w:sz w:val="20"/>
                <w:szCs w:val="20"/>
                <w:color w:val="auto"/>
              </w:rPr>
            </w:pPr>
            <w:r>
              <w:rPr>
                <w:rFonts w:ascii="Arial" w:cs="Arial" w:eastAsia="Arial" w:hAnsi="Arial"/>
                <w:sz w:val="18"/>
                <w:szCs w:val="18"/>
                <w:color w:val="auto"/>
              </w:rPr>
              <w:t>year, commencing</w:t>
            </w:r>
          </w:p>
        </w:tc>
        <w:tc>
          <w:tcPr>
            <w:tcW w:w="760" w:type="dxa"/>
            <w:vAlign w:val="bottom"/>
          </w:tcPr>
          <w:p>
            <w:pPr>
              <w:ind w:left="160"/>
              <w:spacing w:after="0"/>
              <w:rPr>
                <w:sz w:val="20"/>
                <w:szCs w:val="20"/>
                <w:color w:val="auto"/>
              </w:rPr>
            </w:pPr>
            <w:r>
              <w:rPr>
                <w:rFonts w:ascii="Arial" w:cs="Arial" w:eastAsia="Arial" w:hAnsi="Arial"/>
                <w:sz w:val="18"/>
                <w:szCs w:val="18"/>
                <w:color w:val="auto"/>
              </w:rPr>
              <w:t>, 2023.</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4"/>
        </w:trPr>
        <w:tc>
          <w:tcPr>
            <w:tcW w:w="3060" w:type="dxa"/>
            <w:vAlign w:val="bottom"/>
          </w:tcPr>
          <w:p>
            <w:pPr>
              <w:ind w:left="180"/>
              <w:spacing w:after="0"/>
              <w:rPr>
                <w:sz w:val="20"/>
                <w:szCs w:val="20"/>
                <w:color w:val="auto"/>
              </w:rPr>
            </w:pPr>
            <w:r>
              <w:rPr>
                <w:rFonts w:ascii="Arial" w:cs="Arial" w:eastAsia="Arial" w:hAnsi="Arial"/>
                <w:sz w:val="18"/>
                <w:szCs w:val="18"/>
                <w:color w:val="auto"/>
              </w:rPr>
              <w:t>Guarantees</w:t>
            </w:r>
          </w:p>
        </w:tc>
        <w:tc>
          <w:tcPr>
            <w:tcW w:w="7960" w:type="dxa"/>
            <w:vAlign w:val="bottom"/>
            <w:gridSpan w:val="9"/>
          </w:tcPr>
          <w:p>
            <w:pPr>
              <w:ind w:left="860"/>
              <w:spacing w:after="0"/>
              <w:rPr>
                <w:sz w:val="20"/>
                <w:szCs w:val="20"/>
                <w:color w:val="auto"/>
              </w:rPr>
            </w:pPr>
            <w:r>
              <w:rPr>
                <w:rFonts w:ascii="Arial" w:cs="Arial" w:eastAsia="Arial" w:hAnsi="Arial"/>
                <w:sz w:val="18"/>
                <w:szCs w:val="18"/>
                <w:color w:val="auto"/>
              </w:rPr>
              <w:t>The Guarantor will fully and unconditionally guarantee the principal of, and any</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premium and interest on, the Notes and the Company’s obligations under the</w:t>
            </w:r>
          </w:p>
        </w:tc>
      </w:tr>
      <w:tr>
        <w:trPr>
          <w:trHeight w:val="239"/>
        </w:trPr>
        <w:tc>
          <w:tcPr>
            <w:tcW w:w="3060" w:type="dxa"/>
            <w:vAlign w:val="bottom"/>
          </w:tcPr>
          <w:p>
            <w:pPr>
              <w:spacing w:after="0"/>
              <w:rPr>
                <w:sz w:val="20"/>
                <w:szCs w:val="20"/>
                <w:color w:val="auto"/>
              </w:rPr>
            </w:pPr>
          </w:p>
        </w:tc>
        <w:tc>
          <w:tcPr>
            <w:tcW w:w="6680" w:type="dxa"/>
            <w:vAlign w:val="bottom"/>
            <w:gridSpan w:val="8"/>
          </w:tcPr>
          <w:p>
            <w:pPr>
              <w:ind w:left="860"/>
              <w:spacing w:after="0"/>
              <w:rPr>
                <w:sz w:val="20"/>
                <w:szCs w:val="20"/>
                <w:color w:val="auto"/>
              </w:rPr>
            </w:pPr>
            <w:r>
              <w:rPr>
                <w:rFonts w:ascii="Arial" w:cs="Arial" w:eastAsia="Arial" w:hAnsi="Arial"/>
                <w:sz w:val="18"/>
                <w:szCs w:val="18"/>
                <w:color w:val="auto"/>
              </w:rPr>
              <w:t>indenture, as described under “Description of the Notes—Guarantees.”</w:t>
            </w:r>
          </w:p>
        </w:tc>
        <w:tc>
          <w:tcPr>
            <w:tcW w:w="1280" w:type="dxa"/>
            <w:vAlign w:val="bottom"/>
          </w:tcPr>
          <w:p>
            <w:pPr>
              <w:spacing w:after="0"/>
              <w:rPr>
                <w:sz w:val="20"/>
                <w:szCs w:val="20"/>
                <w:color w:val="auto"/>
              </w:rPr>
            </w:pPr>
          </w:p>
        </w:tc>
      </w:tr>
      <w:tr>
        <w:trPr>
          <w:trHeight w:val="311"/>
        </w:trPr>
        <w:tc>
          <w:tcPr>
            <w:tcW w:w="3060" w:type="dxa"/>
            <w:vAlign w:val="bottom"/>
          </w:tcPr>
          <w:p>
            <w:pPr>
              <w:spacing w:after="0"/>
              <w:rPr>
                <w:sz w:val="24"/>
                <w:szCs w:val="24"/>
                <w:color w:val="auto"/>
              </w:rPr>
            </w:pPr>
          </w:p>
        </w:tc>
        <w:tc>
          <w:tcPr>
            <w:tcW w:w="6680" w:type="dxa"/>
            <w:vAlign w:val="bottom"/>
            <w:gridSpan w:val="8"/>
          </w:tcPr>
          <w:p>
            <w:pPr>
              <w:ind w:left="860"/>
              <w:spacing w:after="0"/>
              <w:rPr>
                <w:sz w:val="20"/>
                <w:szCs w:val="20"/>
                <w:color w:val="auto"/>
              </w:rPr>
            </w:pPr>
            <w:r>
              <w:rPr>
                <w:rFonts w:ascii="Arial" w:cs="Arial" w:eastAsia="Arial" w:hAnsi="Arial"/>
                <w:sz w:val="18"/>
                <w:szCs w:val="18"/>
                <w:color w:val="auto"/>
              </w:rPr>
              <w:t>The Notes will not be guaranteed by any of the Guarantor’s subsidiaries.</w:t>
            </w:r>
          </w:p>
        </w:tc>
        <w:tc>
          <w:tcPr>
            <w:tcW w:w="1280" w:type="dxa"/>
            <w:vAlign w:val="bottom"/>
          </w:tcPr>
          <w:p>
            <w:pPr>
              <w:spacing w:after="0"/>
              <w:rPr>
                <w:sz w:val="24"/>
                <w:szCs w:val="24"/>
                <w:color w:val="auto"/>
              </w:rPr>
            </w:pPr>
          </w:p>
        </w:tc>
      </w:tr>
      <w:tr>
        <w:trPr>
          <w:trHeight w:val="310"/>
        </w:trPr>
        <w:tc>
          <w:tcPr>
            <w:tcW w:w="3060" w:type="dxa"/>
            <w:vAlign w:val="bottom"/>
          </w:tcPr>
          <w:p>
            <w:pPr>
              <w:ind w:left="180"/>
              <w:spacing w:after="0"/>
              <w:rPr>
                <w:sz w:val="20"/>
                <w:szCs w:val="20"/>
                <w:color w:val="auto"/>
              </w:rPr>
            </w:pPr>
            <w:r>
              <w:rPr>
                <w:rFonts w:ascii="Arial" w:cs="Arial" w:eastAsia="Arial" w:hAnsi="Arial"/>
                <w:sz w:val="18"/>
                <w:szCs w:val="18"/>
                <w:color w:val="auto"/>
              </w:rPr>
              <w:t>Minimum Denomination</w:t>
            </w:r>
          </w:p>
        </w:tc>
        <w:tc>
          <w:tcPr>
            <w:tcW w:w="6680" w:type="dxa"/>
            <w:vAlign w:val="bottom"/>
            <w:gridSpan w:val="8"/>
          </w:tcPr>
          <w:p>
            <w:pPr>
              <w:ind w:left="860"/>
              <w:spacing w:after="0"/>
              <w:rPr>
                <w:sz w:val="20"/>
                <w:szCs w:val="20"/>
                <w:color w:val="auto"/>
              </w:rPr>
            </w:pPr>
            <w:r>
              <w:rPr>
                <w:rFonts w:ascii="Arial" w:cs="Arial" w:eastAsia="Arial" w:hAnsi="Arial"/>
                <w:sz w:val="18"/>
                <w:szCs w:val="18"/>
                <w:color w:val="auto"/>
              </w:rPr>
              <w:t>U.S.$2,000 and integral multiples of U.S.$1,000 in excess thereof.</w:t>
            </w:r>
          </w:p>
        </w:tc>
        <w:tc>
          <w:tcPr>
            <w:tcW w:w="1280" w:type="dxa"/>
            <w:vAlign w:val="bottom"/>
          </w:tcPr>
          <w:p>
            <w:pPr>
              <w:spacing w:after="0"/>
              <w:rPr>
                <w:sz w:val="24"/>
                <w:szCs w:val="24"/>
                <w:color w:val="auto"/>
              </w:rPr>
            </w:pPr>
          </w:p>
        </w:tc>
      </w:tr>
      <w:tr>
        <w:trPr>
          <w:trHeight w:val="274"/>
        </w:trPr>
        <w:tc>
          <w:tcPr>
            <w:tcW w:w="306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2800" w:type="dxa"/>
            <w:vAlign w:val="bottom"/>
            <w:gridSpan w:val="3"/>
          </w:tcPr>
          <w:p>
            <w:pPr>
              <w:ind w:left="860"/>
              <w:spacing w:after="0"/>
              <w:rPr>
                <w:sz w:val="20"/>
                <w:szCs w:val="20"/>
                <w:color w:val="auto"/>
              </w:rPr>
            </w:pPr>
            <w:r>
              <w:rPr>
                <w:rFonts w:ascii="Arial" w:cs="Arial" w:eastAsia="Arial" w:hAnsi="Arial"/>
                <w:sz w:val="18"/>
                <w:szCs w:val="18"/>
                <w:color w:val="auto"/>
              </w:rPr>
              <w:t>At any time prior to</w:t>
            </w:r>
          </w:p>
        </w:tc>
        <w:tc>
          <w:tcPr>
            <w:tcW w:w="760" w:type="dxa"/>
            <w:vAlign w:val="bottom"/>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4140" w:type="dxa"/>
            <w:vAlign w:val="bottom"/>
            <w:gridSpan w:val="4"/>
          </w:tcPr>
          <w:p>
            <w:pPr>
              <w:jc w:val="center"/>
              <w:ind w:left="70"/>
              <w:spacing w:after="0"/>
              <w:rPr>
                <w:sz w:val="20"/>
                <w:szCs w:val="20"/>
                <w:color w:val="auto"/>
              </w:rPr>
            </w:pPr>
            <w:r>
              <w:rPr>
                <w:rFonts w:ascii="Arial" w:cs="Arial" w:eastAsia="Arial" w:hAnsi="Arial"/>
                <w:sz w:val="18"/>
                <w:szCs w:val="18"/>
                <w:color w:val="auto"/>
              </w:rPr>
              <w:t>months prior to the maturity date of the</w:t>
            </w:r>
          </w:p>
        </w:tc>
      </w:tr>
      <w:tr>
        <w:trPr>
          <w:trHeight w:val="203"/>
        </w:trPr>
        <w:tc>
          <w:tcPr>
            <w:tcW w:w="3060" w:type="dxa"/>
            <w:vAlign w:val="bottom"/>
          </w:tcPr>
          <w:p>
            <w:pPr>
              <w:spacing w:after="0"/>
              <w:rPr>
                <w:sz w:val="17"/>
                <w:szCs w:val="17"/>
                <w:color w:val="auto"/>
              </w:rPr>
            </w:pPr>
          </w:p>
        </w:tc>
        <w:tc>
          <w:tcPr>
            <w:tcW w:w="5220" w:type="dxa"/>
            <w:vAlign w:val="bottom"/>
            <w:gridSpan w:val="6"/>
          </w:tcPr>
          <w:p>
            <w:pPr>
              <w:ind w:left="860"/>
              <w:spacing w:after="0" w:line="202" w:lineRule="exact"/>
              <w:rPr>
                <w:sz w:val="20"/>
                <w:szCs w:val="20"/>
                <w:color w:val="auto"/>
              </w:rPr>
            </w:pPr>
            <w:r>
              <w:rPr>
                <w:rFonts w:ascii="Arial" w:cs="Arial" w:eastAsia="Arial" w:hAnsi="Arial"/>
                <w:sz w:val="18"/>
                <w:szCs w:val="18"/>
                <w:color w:val="auto"/>
              </w:rPr>
              <w:t>2028 Notes), in the case of the 2028 Notes, and</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 (</w:t>
            </w:r>
          </w:p>
        </w:tc>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months prior</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to the maturity date of the 2033 Notes), in the case of the 2033 Notes, we may redeem</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some or all of the Notes of the applicable series at the applicable “make whole”</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redemption price described in “Description of the Notes—Optional Redemption,” plus</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accrued and unpaid interest, if any, to, but not including, the applicable redemption</w:t>
            </w:r>
          </w:p>
        </w:tc>
      </w:tr>
      <w:tr>
        <w:trPr>
          <w:trHeight w:val="239"/>
        </w:trPr>
        <w:tc>
          <w:tcPr>
            <w:tcW w:w="3060" w:type="dxa"/>
            <w:vAlign w:val="bottom"/>
          </w:tcPr>
          <w:p>
            <w:pPr>
              <w:spacing w:after="0"/>
              <w:rPr>
                <w:sz w:val="20"/>
                <w:szCs w:val="20"/>
                <w:color w:val="auto"/>
              </w:rPr>
            </w:pPr>
          </w:p>
        </w:tc>
        <w:tc>
          <w:tcPr>
            <w:tcW w:w="1520" w:type="dxa"/>
            <w:vAlign w:val="bottom"/>
          </w:tcPr>
          <w:p>
            <w:pPr>
              <w:ind w:left="860"/>
              <w:spacing w:after="0"/>
              <w:rPr>
                <w:sz w:val="20"/>
                <w:szCs w:val="20"/>
                <w:color w:val="auto"/>
              </w:rPr>
            </w:pPr>
            <w:r>
              <w:rPr>
                <w:rFonts w:ascii="Arial" w:cs="Arial" w:eastAsia="Arial" w:hAnsi="Arial"/>
                <w:sz w:val="18"/>
                <w:szCs w:val="18"/>
                <w:color w:val="auto"/>
              </w:rPr>
              <w:t>date.</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4"/>
        </w:trPr>
        <w:tc>
          <w:tcPr>
            <w:tcW w:w="3060" w:type="dxa"/>
            <w:vAlign w:val="bottom"/>
          </w:tcPr>
          <w:p>
            <w:pPr>
              <w:spacing w:after="0"/>
              <w:rPr>
                <w:sz w:val="23"/>
                <w:szCs w:val="23"/>
                <w:color w:val="auto"/>
              </w:rPr>
            </w:pPr>
          </w:p>
        </w:tc>
        <w:tc>
          <w:tcPr>
            <w:tcW w:w="2800" w:type="dxa"/>
            <w:vAlign w:val="bottom"/>
            <w:gridSpan w:val="3"/>
          </w:tcPr>
          <w:p>
            <w:pPr>
              <w:ind w:left="860"/>
              <w:spacing w:after="0"/>
              <w:rPr>
                <w:sz w:val="20"/>
                <w:szCs w:val="20"/>
                <w:color w:val="auto"/>
              </w:rPr>
            </w:pPr>
            <w:r>
              <w:rPr>
                <w:rFonts w:ascii="Arial" w:cs="Arial" w:eastAsia="Arial" w:hAnsi="Arial"/>
                <w:sz w:val="18"/>
                <w:szCs w:val="18"/>
                <w:color w:val="auto"/>
              </w:rPr>
              <w:t>At any time on or after</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860" w:type="dxa"/>
            <w:vAlign w:val="bottom"/>
            <w:gridSpan w:val="3"/>
          </w:tcPr>
          <w:p>
            <w:pPr>
              <w:ind w:left="60"/>
              <w:spacing w:after="0"/>
              <w:rPr>
                <w:sz w:val="20"/>
                <w:szCs w:val="20"/>
                <w:color w:val="auto"/>
              </w:rPr>
            </w:pPr>
            <w:r>
              <w:rPr>
                <w:rFonts w:ascii="Arial" w:cs="Arial" w:eastAsia="Arial" w:hAnsi="Arial"/>
                <w:sz w:val="18"/>
                <w:szCs w:val="18"/>
                <w:color w:val="auto"/>
              </w:rPr>
              <w:t>, in the case of the 2028 Notes,</w:t>
            </w:r>
          </w:p>
        </w:tc>
        <w:tc>
          <w:tcPr>
            <w:tcW w:w="1280" w:type="dxa"/>
            <w:vAlign w:val="bottom"/>
          </w:tcPr>
          <w:p>
            <w:pPr>
              <w:spacing w:after="0"/>
              <w:rPr>
                <w:sz w:val="23"/>
                <w:szCs w:val="23"/>
                <w:color w:val="auto"/>
              </w:rPr>
            </w:pPr>
          </w:p>
        </w:tc>
      </w:tr>
      <w:tr>
        <w:trPr>
          <w:trHeight w:val="203"/>
        </w:trPr>
        <w:tc>
          <w:tcPr>
            <w:tcW w:w="3060" w:type="dxa"/>
            <w:vAlign w:val="bottom"/>
          </w:tcPr>
          <w:p>
            <w:pPr>
              <w:spacing w:after="0"/>
              <w:rPr>
                <w:sz w:val="17"/>
                <w:szCs w:val="17"/>
                <w:color w:val="auto"/>
              </w:rPr>
            </w:pPr>
          </w:p>
        </w:tc>
        <w:tc>
          <w:tcPr>
            <w:tcW w:w="1520" w:type="dxa"/>
            <w:vAlign w:val="bottom"/>
          </w:tcPr>
          <w:p>
            <w:pPr>
              <w:ind w:left="860"/>
              <w:spacing w:after="0" w:line="202" w:lineRule="exact"/>
              <w:rPr>
                <w:sz w:val="20"/>
                <w:szCs w:val="20"/>
                <w:color w:val="auto"/>
              </w:rPr>
            </w:pPr>
            <w:r>
              <w:rPr>
                <w:rFonts w:ascii="Arial" w:cs="Arial" w:eastAsia="Arial" w:hAnsi="Arial"/>
                <w:sz w:val="18"/>
                <w:szCs w:val="18"/>
                <w:color w:val="auto"/>
              </w:rPr>
              <w:t>and</w:t>
            </w:r>
          </w:p>
        </w:tc>
        <w:tc>
          <w:tcPr>
            <w:tcW w:w="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020" w:type="dxa"/>
            <w:vAlign w:val="bottom"/>
            <w:gridSpan w:val="7"/>
          </w:tcPr>
          <w:p>
            <w:pPr>
              <w:ind w:left="460"/>
              <w:spacing w:after="0" w:line="202" w:lineRule="exact"/>
              <w:rPr>
                <w:sz w:val="20"/>
                <w:szCs w:val="20"/>
                <w:color w:val="auto"/>
              </w:rPr>
            </w:pPr>
            <w:r>
              <w:rPr>
                <w:rFonts w:ascii="Arial" w:cs="Arial" w:eastAsia="Arial" w:hAnsi="Arial"/>
                <w:sz w:val="18"/>
                <w:szCs w:val="18"/>
                <w:color w:val="auto"/>
              </w:rPr>
              <w:t>, in the case of the 2033 Notes, we may redeem some or all of the</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Notes of the applicable series at a redemption price equal to 100% of the principal</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amount of such Notes to be redeemed, plus accrued and unpaid interest, if any, to, but</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not including, the redemption date. See “Description of the Notes—Optional</w:t>
            </w:r>
          </w:p>
        </w:tc>
      </w:tr>
      <w:tr>
        <w:trPr>
          <w:trHeight w:val="239"/>
        </w:trPr>
        <w:tc>
          <w:tcPr>
            <w:tcW w:w="3060" w:type="dxa"/>
            <w:vAlign w:val="bottom"/>
          </w:tcPr>
          <w:p>
            <w:pPr>
              <w:spacing w:after="0"/>
              <w:rPr>
                <w:sz w:val="20"/>
                <w:szCs w:val="20"/>
                <w:color w:val="auto"/>
              </w:rPr>
            </w:pPr>
          </w:p>
        </w:tc>
        <w:tc>
          <w:tcPr>
            <w:tcW w:w="1940" w:type="dxa"/>
            <w:vAlign w:val="bottom"/>
            <w:gridSpan w:val="2"/>
          </w:tcPr>
          <w:p>
            <w:pPr>
              <w:ind w:left="860"/>
              <w:spacing w:after="0"/>
              <w:rPr>
                <w:sz w:val="20"/>
                <w:szCs w:val="20"/>
                <w:color w:val="auto"/>
              </w:rPr>
            </w:pPr>
            <w:r>
              <w:rPr>
                <w:rFonts w:ascii="Arial" w:cs="Arial" w:eastAsia="Arial" w:hAnsi="Arial"/>
                <w:sz w:val="18"/>
                <w:szCs w:val="18"/>
                <w:color w:val="auto"/>
                <w:w w:val="98"/>
              </w:rPr>
              <w:t>Redemption.”</w:t>
            </w: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4"/>
        </w:trPr>
        <w:tc>
          <w:tcPr>
            <w:tcW w:w="3060" w:type="dxa"/>
            <w:vAlign w:val="bottom"/>
          </w:tcPr>
          <w:p>
            <w:pPr>
              <w:ind w:left="180"/>
              <w:spacing w:after="0"/>
              <w:rPr>
                <w:sz w:val="20"/>
                <w:szCs w:val="20"/>
                <w:color w:val="auto"/>
              </w:rPr>
            </w:pPr>
            <w:r>
              <w:rPr>
                <w:rFonts w:ascii="Arial" w:cs="Arial" w:eastAsia="Arial" w:hAnsi="Arial"/>
                <w:sz w:val="18"/>
                <w:szCs w:val="18"/>
                <w:color w:val="auto"/>
              </w:rPr>
              <w:t>Optional Tax Redemption</w:t>
            </w:r>
          </w:p>
        </w:tc>
        <w:tc>
          <w:tcPr>
            <w:tcW w:w="7960" w:type="dxa"/>
            <w:vAlign w:val="bottom"/>
            <w:gridSpan w:val="9"/>
          </w:tcPr>
          <w:p>
            <w:pPr>
              <w:ind w:left="860"/>
              <w:spacing w:after="0"/>
              <w:rPr>
                <w:sz w:val="20"/>
                <w:szCs w:val="20"/>
                <w:color w:val="auto"/>
              </w:rPr>
            </w:pPr>
            <w:r>
              <w:rPr>
                <w:rFonts w:ascii="Arial" w:cs="Arial" w:eastAsia="Arial" w:hAnsi="Arial"/>
                <w:sz w:val="18"/>
                <w:szCs w:val="18"/>
                <w:color w:val="auto"/>
              </w:rPr>
              <w:t>In the event that, as a result of certain tax law changes, the Company (or the</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Guarantor) becomes obligated to pay additional amounts as described under</w:t>
            </w:r>
          </w:p>
        </w:tc>
      </w:tr>
      <w:tr>
        <w:trPr>
          <w:trHeight w:val="203"/>
        </w:trPr>
        <w:tc>
          <w:tcPr>
            <w:tcW w:w="3060" w:type="dxa"/>
            <w:vAlign w:val="bottom"/>
          </w:tcPr>
          <w:p>
            <w:pPr>
              <w:spacing w:after="0"/>
              <w:rPr>
                <w:sz w:val="17"/>
                <w:szCs w:val="17"/>
                <w:color w:val="auto"/>
              </w:rPr>
            </w:pPr>
          </w:p>
        </w:tc>
        <w:tc>
          <w:tcPr>
            <w:tcW w:w="7960" w:type="dxa"/>
            <w:vAlign w:val="bottom"/>
            <w:gridSpan w:val="9"/>
          </w:tcPr>
          <w:p>
            <w:pPr>
              <w:ind w:left="860"/>
              <w:spacing w:after="0" w:line="202" w:lineRule="exact"/>
              <w:rPr>
                <w:sz w:val="20"/>
                <w:szCs w:val="20"/>
                <w:color w:val="auto"/>
              </w:rPr>
            </w:pPr>
            <w:r>
              <w:rPr>
                <w:rFonts w:ascii="Arial" w:cs="Arial" w:eastAsia="Arial" w:hAnsi="Arial"/>
                <w:sz w:val="18"/>
                <w:szCs w:val="18"/>
                <w:color w:val="auto"/>
              </w:rPr>
              <w:t>“Description of the Notes—Additional Amounts,” the Company (or the Guarantor) may</w:t>
            </w:r>
          </w:p>
        </w:tc>
      </w:tr>
      <w:tr>
        <w:trPr>
          <w:trHeight w:val="239"/>
        </w:trPr>
        <w:tc>
          <w:tcPr>
            <w:tcW w:w="3060" w:type="dxa"/>
            <w:vAlign w:val="bottom"/>
          </w:tcPr>
          <w:p>
            <w:pPr>
              <w:spacing w:after="0"/>
              <w:rPr>
                <w:sz w:val="20"/>
                <w:szCs w:val="20"/>
                <w:color w:val="auto"/>
              </w:rPr>
            </w:pPr>
          </w:p>
        </w:tc>
        <w:tc>
          <w:tcPr>
            <w:tcW w:w="7960" w:type="dxa"/>
            <w:vAlign w:val="bottom"/>
            <w:gridSpan w:val="9"/>
          </w:tcPr>
          <w:p>
            <w:pPr>
              <w:ind w:left="860"/>
              <w:spacing w:after="0"/>
              <w:rPr>
                <w:sz w:val="20"/>
                <w:szCs w:val="20"/>
                <w:color w:val="auto"/>
              </w:rPr>
            </w:pPr>
            <w:r>
              <w:rPr>
                <w:rFonts w:ascii="Arial" w:cs="Arial" w:eastAsia="Arial" w:hAnsi="Arial"/>
                <w:sz w:val="18"/>
                <w:szCs w:val="18"/>
                <w:color w:val="auto"/>
              </w:rPr>
              <w:t>redeem all of the Notes of a series prior to maturity at a redemption price equal to</w:t>
            </w:r>
          </w:p>
        </w:tc>
      </w:tr>
      <w:tr>
        <w:trPr>
          <w:trHeight w:val="141"/>
        </w:trPr>
        <w:tc>
          <w:tcPr>
            <w:tcW w:w="30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365"/>
        </w:trPr>
        <w:tc>
          <w:tcPr>
            <w:tcW w:w="3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S-3</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80" w:type="dxa"/>
            <w:vAlign w:val="bottom"/>
            <w:tcBorders>
              <w:top w:val="single" w:sz="8" w:color="auto"/>
              <w:left w:val="single" w:sz="8" w:color="auto"/>
            </w:tcBorders>
          </w:tcPr>
          <w:p>
            <w:pPr>
              <w:spacing w:after="0"/>
              <w:rPr>
                <w:sz w:val="24"/>
                <w:szCs w:val="24"/>
                <w:color w:val="auto"/>
              </w:rPr>
            </w:pPr>
          </w:p>
        </w:tc>
        <w:tc>
          <w:tcPr>
            <w:tcW w:w="7340" w:type="dxa"/>
            <w:vAlign w:val="bottom"/>
            <w:tcBorders>
              <w:top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100% of their principal amount plus accrued interest to the date of redemption as</w:t>
            </w:r>
          </w:p>
        </w:tc>
      </w:tr>
      <w:tr>
        <w:trPr>
          <w:trHeight w:val="239"/>
        </w:trPr>
        <w:tc>
          <w:tcPr>
            <w:tcW w:w="36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described under “Description of the Notes—Redemption upon Changes in Tax Law.”</w:t>
            </w:r>
          </w:p>
        </w:tc>
      </w:tr>
      <w:tr>
        <w:trPr>
          <w:trHeight w:val="274"/>
        </w:trPr>
        <w:tc>
          <w:tcPr>
            <w:tcW w:w="3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of Additional Amounts</w:t>
            </w: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Any payments made by the Company, or the Guarantor under the Guarantees, will be</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made without withholding or deduction for taxes imposed by any jurisdiction in which</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the Company or the Guarantor is incorporated, organized or resident for tax purposes</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or through which a payment is made on the Notes on their behalf, except as required</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by law. If any such withholding or deduction is required with respect to Notes of a</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series, the Company (or the Guarantor, if applicable) will pay, subject to certain</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exceptions, additional amounts necessary so that the net amount received by the</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beneficial owners after the withholding is not less than the amount that they would</w:t>
            </w:r>
          </w:p>
        </w:tc>
      </w:tr>
      <w:tr>
        <w:trPr>
          <w:trHeight w:val="239"/>
        </w:trPr>
        <w:tc>
          <w:tcPr>
            <w:tcW w:w="36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have received in the absence of the withholding.</w:t>
            </w:r>
          </w:p>
        </w:tc>
      </w:tr>
      <w:tr>
        <w:trPr>
          <w:trHeight w:val="274"/>
        </w:trPr>
        <w:tc>
          <w:tcPr>
            <w:tcW w:w="3680" w:type="dxa"/>
            <w:vAlign w:val="bottom"/>
            <w:tcBorders>
              <w:left w:val="single" w:sz="8" w:color="auto"/>
            </w:tcBorders>
          </w:tcPr>
          <w:p>
            <w:pPr>
              <w:spacing w:after="0"/>
              <w:rPr>
                <w:sz w:val="23"/>
                <w:szCs w:val="23"/>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For more information on additional amounts and the situations in which the Company</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may be required to pay additional amounts, see “Description of the Notes—Additional</w:t>
            </w:r>
          </w:p>
        </w:tc>
      </w:tr>
      <w:tr>
        <w:trPr>
          <w:trHeight w:val="239"/>
        </w:trPr>
        <w:tc>
          <w:tcPr>
            <w:tcW w:w="36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Amounts.”</w:t>
            </w:r>
          </w:p>
        </w:tc>
      </w:tr>
      <w:tr>
        <w:trPr>
          <w:trHeight w:val="274"/>
        </w:trPr>
        <w:tc>
          <w:tcPr>
            <w:tcW w:w="3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The Notes will rank equally and ratably with all other unsecured and unsubordinated</w:t>
            </w:r>
          </w:p>
        </w:tc>
      </w:tr>
      <w:tr>
        <w:trPr>
          <w:trHeight w:val="239"/>
        </w:trPr>
        <w:tc>
          <w:tcPr>
            <w:tcW w:w="36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indebtedness of the Company.</w:t>
            </w:r>
          </w:p>
        </w:tc>
      </w:tr>
      <w:tr>
        <w:trPr>
          <w:trHeight w:val="274"/>
        </w:trPr>
        <w:tc>
          <w:tcPr>
            <w:tcW w:w="3680" w:type="dxa"/>
            <w:vAlign w:val="bottom"/>
            <w:tcBorders>
              <w:left w:val="single" w:sz="8" w:color="auto"/>
            </w:tcBorders>
          </w:tcPr>
          <w:p>
            <w:pPr>
              <w:spacing w:after="0"/>
              <w:rPr>
                <w:sz w:val="23"/>
                <w:szCs w:val="23"/>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The Guarantees will rank equally and ratably with all other unsecured and</w:t>
            </w:r>
          </w:p>
        </w:tc>
      </w:tr>
      <w:tr>
        <w:trPr>
          <w:trHeight w:val="239"/>
        </w:trPr>
        <w:tc>
          <w:tcPr>
            <w:tcW w:w="36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unsubordinated indebtedness of the Guarantor.</w:t>
            </w:r>
          </w:p>
        </w:tc>
      </w:tr>
      <w:tr>
        <w:trPr>
          <w:trHeight w:val="311"/>
        </w:trPr>
        <w:tc>
          <w:tcPr>
            <w:tcW w:w="3680" w:type="dxa"/>
            <w:vAlign w:val="bottom"/>
            <w:tcBorders>
              <w:left w:val="single" w:sz="8" w:color="auto"/>
            </w:tcBorders>
          </w:tcPr>
          <w:p>
            <w:pPr>
              <w:spacing w:after="0"/>
              <w:rPr>
                <w:sz w:val="24"/>
                <w:szCs w:val="24"/>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See “Description of the Notes—Ranking of the Notes and Guarantees.”</w:t>
            </w:r>
          </w:p>
        </w:tc>
      </w:tr>
      <w:tr>
        <w:trPr>
          <w:trHeight w:val="274"/>
        </w:trPr>
        <w:tc>
          <w:tcPr>
            <w:tcW w:w="3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The Company will issue the Notes under an indenture with The Bank of New York</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Mellon, as trustee, as supplemented by one or more supplemental indentures (as</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supplemented, the “Indenture”). The Indenture will, among other things, restrict the</w:t>
            </w:r>
          </w:p>
        </w:tc>
      </w:tr>
      <w:tr>
        <w:trPr>
          <w:trHeight w:val="239"/>
        </w:trPr>
        <w:tc>
          <w:tcPr>
            <w:tcW w:w="36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ability of the Guarantor, the Company and the Guarantor’s other subsidiaries to:</w:t>
            </w:r>
          </w:p>
        </w:tc>
      </w:tr>
      <w:tr>
        <w:trPr>
          <w:trHeight w:val="310"/>
        </w:trPr>
        <w:tc>
          <w:tcPr>
            <w:tcW w:w="3680" w:type="dxa"/>
            <w:vAlign w:val="bottom"/>
            <w:tcBorders>
              <w:left w:val="single" w:sz="8" w:color="auto"/>
            </w:tcBorders>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3"/>
              </w:rPr>
              <w:t>• </w:t>
            </w:r>
          </w:p>
        </w:tc>
        <w:tc>
          <w:tcPr>
            <w:tcW w:w="6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 incur indebtedness secured by liens on specified restricted properties; and</w:t>
            </w:r>
          </w:p>
        </w:tc>
      </w:tr>
      <w:tr>
        <w:trPr>
          <w:trHeight w:val="310"/>
        </w:trPr>
        <w:tc>
          <w:tcPr>
            <w:tcW w:w="3680" w:type="dxa"/>
            <w:vAlign w:val="bottom"/>
            <w:tcBorders>
              <w:left w:val="single" w:sz="8" w:color="auto"/>
            </w:tcBorders>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3"/>
              </w:rPr>
              <w:t>• </w:t>
            </w:r>
          </w:p>
        </w:tc>
        <w:tc>
          <w:tcPr>
            <w:tcW w:w="6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 consolidate or merge under specific circumstances.</w:t>
            </w:r>
          </w:p>
        </w:tc>
      </w:tr>
      <w:tr>
        <w:trPr>
          <w:trHeight w:val="310"/>
        </w:trPr>
        <w:tc>
          <w:tcPr>
            <w:tcW w:w="3680" w:type="dxa"/>
            <w:vAlign w:val="bottom"/>
            <w:tcBorders>
              <w:left w:val="single" w:sz="8" w:color="auto"/>
            </w:tcBorders>
          </w:tcPr>
          <w:p>
            <w:pPr>
              <w:spacing w:after="0"/>
              <w:rPr>
                <w:sz w:val="24"/>
                <w:szCs w:val="24"/>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For more details, see “Description of the Notes—Certain Covenants.”</w:t>
            </w:r>
          </w:p>
        </w:tc>
      </w:tr>
      <w:tr>
        <w:trPr>
          <w:trHeight w:val="274"/>
        </w:trPr>
        <w:tc>
          <w:tcPr>
            <w:tcW w:w="3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We intend to use the net proceeds from the offering to repay certain commercial paper</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borrowings and a portion of our outstanding 3.65% senior notes due 2023 (the “2023</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notes”). Following the repayment of the commercial paper borrowings, we intend to</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invest any remaining net proceeds prior to repaying the 2023 notes in the second half</w:t>
            </w:r>
          </w:p>
        </w:tc>
      </w:tr>
      <w:tr>
        <w:trPr>
          <w:trHeight w:val="239"/>
        </w:trPr>
        <w:tc>
          <w:tcPr>
            <w:tcW w:w="36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of 2023.</w:t>
            </w:r>
          </w:p>
        </w:tc>
      </w:tr>
      <w:tr>
        <w:trPr>
          <w:trHeight w:val="274"/>
        </w:trPr>
        <w:tc>
          <w:tcPr>
            <w:tcW w:w="3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Absence of a Public Market for the Notes</w:t>
            </w: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The Notes are new securities and there is currently no existing market for the Notes.</w:t>
            </w:r>
          </w:p>
        </w:tc>
      </w:tr>
      <w:tr>
        <w:trPr>
          <w:trHeight w:val="203"/>
        </w:trPr>
        <w:tc>
          <w:tcPr>
            <w:tcW w:w="368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gridSpan w:val="2"/>
          </w:tcPr>
          <w:p>
            <w:pPr>
              <w:ind w:left="240"/>
              <w:spacing w:after="0" w:line="202" w:lineRule="exact"/>
              <w:rPr>
                <w:sz w:val="20"/>
                <w:szCs w:val="20"/>
                <w:color w:val="auto"/>
              </w:rPr>
            </w:pPr>
            <w:r>
              <w:rPr>
                <w:rFonts w:ascii="Arial" w:cs="Arial" w:eastAsia="Arial" w:hAnsi="Arial"/>
                <w:sz w:val="18"/>
                <w:szCs w:val="18"/>
                <w:color w:val="auto"/>
              </w:rPr>
              <w:t>Accordingly, there can be no assurances as to the development or liquidity of any</w:t>
            </w:r>
          </w:p>
        </w:tc>
      </w:tr>
      <w:tr>
        <w:trPr>
          <w:trHeight w:val="239"/>
        </w:trPr>
        <w:tc>
          <w:tcPr>
            <w:tcW w:w="36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market for the Notes.</w:t>
            </w:r>
          </w:p>
        </w:tc>
      </w:tr>
      <w:tr>
        <w:trPr>
          <w:trHeight w:val="141"/>
        </w:trPr>
        <w:tc>
          <w:tcPr>
            <w:tcW w:w="3680" w:type="dxa"/>
            <w:vAlign w:val="bottom"/>
            <w:tcBorders>
              <w:left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40" w:type="dxa"/>
            <w:vAlign w:val="bottom"/>
            <w:tcBorders>
              <w:bottom w:val="single" w:sz="8" w:color="auto"/>
              <w:right w:val="single" w:sz="8" w:color="auto"/>
            </w:tcBorders>
          </w:tcPr>
          <w:p>
            <w:pPr>
              <w:spacing w:after="0"/>
              <w:rPr>
                <w:sz w:val="12"/>
                <w:szCs w:val="12"/>
                <w:color w:val="auto"/>
              </w:rPr>
            </w:pPr>
          </w:p>
        </w:tc>
      </w:tr>
      <w:tr>
        <w:trPr>
          <w:trHeight w:val="365"/>
        </w:trPr>
        <w:tc>
          <w:tcPr>
            <w:tcW w:w="3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tcPr>
          <w:p>
            <w:pPr>
              <w:ind w:left="11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84"/>
        </w:trPr>
        <w:tc>
          <w:tcPr>
            <w:tcW w:w="35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75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The Company may, from time to time, without notice to or the consent of the registered</w:t>
            </w:r>
          </w:p>
        </w:tc>
      </w:tr>
      <w:tr>
        <w:trPr>
          <w:trHeight w:val="202"/>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holders of the Notes of a series, create and issue additional Notes of such series</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having the same terms as, and ranking equally and ratably with, any of the outstanding</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Notes of such series in all respects. Such additional Notes will also be fully and</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unconditionally guaranteed by the Guarantor (on the same terms and with the same</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ranking as the Guarantee for such series of Notes). See “Description of the Notes—</w:t>
            </w:r>
          </w:p>
        </w:tc>
      </w:tr>
      <w:tr>
        <w:trPr>
          <w:trHeight w:val="239"/>
        </w:trPr>
        <w:tc>
          <w:tcPr>
            <w:tcW w:w="352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Further Issuances.”</w:t>
            </w:r>
          </w:p>
        </w:tc>
      </w:tr>
      <w:tr>
        <w:trPr>
          <w:trHeight w:val="274"/>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Assumption by a Subsidiary</w:t>
            </w: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Any subsidiary of the Guarantor may, at its option, assume the obligations of the</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Company as the issuer of the Notes and the Company will be released from its liability</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as obligor under the Notes. See “Description of the Notes—Assumption by a</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Subsidiary.”  For a description of U.S. federal income tax considerations related to</w:t>
            </w:r>
          </w:p>
        </w:tc>
      </w:tr>
      <w:tr>
        <w:trPr>
          <w:trHeight w:val="239"/>
        </w:trPr>
        <w:tc>
          <w:tcPr>
            <w:tcW w:w="352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these provisions, see “U.S. Federal Income Tax Considerations.”</w:t>
            </w:r>
          </w:p>
        </w:tc>
      </w:tr>
      <w:tr>
        <w:trPr>
          <w:trHeight w:val="274"/>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The Indenture, including the Guarantees contained therein, and the Notes will be</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governed by, and construed in accordance with, the laws of the State of New York. The</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application of the provisions of articles 470-1 to 470-19 (inclusive) of the Luxembourg</w:t>
            </w:r>
          </w:p>
        </w:tc>
      </w:tr>
      <w:tr>
        <w:trPr>
          <w:trHeight w:val="203"/>
        </w:trPr>
        <w:tc>
          <w:tcPr>
            <w:tcW w:w="3520" w:type="dxa"/>
            <w:vAlign w:val="bottom"/>
            <w:tcBorders>
              <w:left w:val="single" w:sz="8" w:color="auto"/>
            </w:tcBorders>
          </w:tcPr>
          <w:p>
            <w:pPr>
              <w:spacing w:after="0"/>
              <w:rPr>
                <w:sz w:val="17"/>
                <w:szCs w:val="17"/>
                <w:color w:val="auto"/>
              </w:rPr>
            </w:pPr>
          </w:p>
        </w:tc>
        <w:tc>
          <w:tcPr>
            <w:tcW w:w="75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law of 10 August 1915 on commercial companies, as amended, is hereby expressly</w:t>
            </w:r>
          </w:p>
        </w:tc>
      </w:tr>
      <w:tr>
        <w:trPr>
          <w:trHeight w:val="239"/>
        </w:trPr>
        <w:tc>
          <w:tcPr>
            <w:tcW w:w="352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excluded.</w:t>
            </w:r>
          </w:p>
        </w:tc>
      </w:tr>
      <w:tr>
        <w:trPr>
          <w:trHeight w:val="274"/>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Registrar, Paying Agent and</w:t>
            </w:r>
          </w:p>
        </w:tc>
        <w:tc>
          <w:tcPr>
            <w:tcW w:w="7500" w:type="dxa"/>
            <w:vAlign w:val="bottom"/>
            <w:tcBorders>
              <w:right w:val="single" w:sz="8" w:color="auto"/>
            </w:tcBorders>
          </w:tcPr>
          <w:p>
            <w:pPr>
              <w:spacing w:after="0"/>
              <w:rPr>
                <w:sz w:val="23"/>
                <w:szCs w:val="23"/>
                <w:color w:val="auto"/>
              </w:rPr>
            </w:pPr>
          </w:p>
        </w:tc>
      </w:tr>
      <w:tr>
        <w:trPr>
          <w:trHeight w:val="239"/>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Transfer Agent</w:t>
            </w: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The Bank of New York Mellon.</w:t>
            </w:r>
          </w:p>
        </w:tc>
      </w:tr>
      <w:tr>
        <w:trPr>
          <w:trHeight w:val="141"/>
        </w:trPr>
        <w:tc>
          <w:tcPr>
            <w:tcW w:w="3520" w:type="dxa"/>
            <w:vAlign w:val="bottom"/>
            <w:tcBorders>
              <w:left w:val="single" w:sz="8" w:color="auto"/>
              <w:bottom w:val="single" w:sz="8" w:color="auto"/>
            </w:tcBorders>
          </w:tcPr>
          <w:p>
            <w:pPr>
              <w:spacing w:after="0"/>
              <w:rPr>
                <w:sz w:val="12"/>
                <w:szCs w:val="12"/>
                <w:color w:val="auto"/>
              </w:rPr>
            </w:pPr>
          </w:p>
        </w:tc>
        <w:tc>
          <w:tcPr>
            <w:tcW w:w="7500" w:type="dxa"/>
            <w:vAlign w:val="bottom"/>
            <w:tcBorders>
              <w:bottom w:val="single" w:sz="8" w:color="auto"/>
              <w:right w:val="single" w:sz="8" w:color="auto"/>
            </w:tcBorders>
          </w:tcPr>
          <w:p>
            <w:pPr>
              <w:spacing w:after="0"/>
              <w:rPr>
                <w:sz w:val="12"/>
                <w:szCs w:val="12"/>
                <w:color w:val="auto"/>
              </w:rPr>
            </w:pPr>
          </w:p>
        </w:tc>
      </w:tr>
      <w:tr>
        <w:trPr>
          <w:trHeight w:val="365"/>
        </w:trPr>
        <w:tc>
          <w:tcPr>
            <w:tcW w:w="3520" w:type="dxa"/>
            <w:vAlign w:val="bottom"/>
          </w:tcPr>
          <w:p>
            <w:pPr>
              <w:spacing w:after="0"/>
              <w:rPr>
                <w:sz w:val="24"/>
                <w:szCs w:val="24"/>
                <w:color w:val="auto"/>
              </w:rPr>
            </w:pPr>
          </w:p>
        </w:tc>
        <w:tc>
          <w:tcPr>
            <w:tcW w:w="7500" w:type="dxa"/>
            <w:vAlign w:val="bottom"/>
          </w:tcPr>
          <w:p>
            <w:pPr>
              <w:ind w:left="18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2022 and the Guarantor’s Quarterly Report on Form 10-Q for the fiscal quarter ended March 31, 2023, before making a decision to invest in the Notes. If any of the matters included in the “Risk Factors” sections were to occur, the SLB Group’s business, properties, assets, financial condition, results of operations, cash flows or prospects could be materially adversely affected. Additional risks and uncertainties not currently known to the SLB Group or that the SLB Group currently deems immaterial may also adversely affect the SLB Group’s business, reputation, financial condition, results of operations, cash flows and prospects.</w:t>
      </w:r>
    </w:p>
    <w:p>
      <w:pPr>
        <w:spacing w:after="0" w:line="293" w:lineRule="exact"/>
        <w:rPr>
          <w:sz w:val="20"/>
          <w:szCs w:val="20"/>
          <w:color w:val="auto"/>
        </w:rPr>
      </w:pPr>
    </w:p>
    <w:p>
      <w:pPr>
        <w:ind w:left="120"/>
        <w:spacing w:after="0" w:line="281" w:lineRule="auto"/>
        <w:rPr>
          <w:sz w:val="20"/>
          <w:szCs w:val="20"/>
          <w:color w:val="auto"/>
        </w:rPr>
      </w:pPr>
      <w:r>
        <w:rPr>
          <w:rFonts w:ascii="Arial" w:cs="Arial" w:eastAsia="Arial" w:hAnsi="Arial"/>
          <w:sz w:val="18"/>
          <w:szCs w:val="18"/>
          <w:b w:val="1"/>
          <w:bCs w:val="1"/>
          <w:color w:val="auto"/>
        </w:rPr>
        <w:t>The Company’s and the Guarantor’s ability to service their debt depends on the SLB Group’s future performance, which may not generate cash required to service their debt.</w:t>
      </w:r>
    </w:p>
    <w:p>
      <w:pPr>
        <w:spacing w:after="0" w:line="28"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The Company’s ability to make scheduled payments on the Notes depends on the SLB Group’s future operating and financial performance and ability to generate cash. This will be affected by the SLB Group’s ability to successfully implement its business strategy, as well as by general economic, financial, competitive, regulatory, technical and other factors beyond its control. If the SLB Group cannot generate sufficient cash to meet its debt service obligations or fund its other business needs, the Company or the Guarantor may, among other things, need to refinance all or a portion of its obligations, including the Notes or the Guarantees,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and the Guarantees will be subordinated to any secured indebtedness of the Company and the Guarantor.</w:t>
      </w:r>
    </w:p>
    <w:p>
      <w:pPr>
        <w:spacing w:after="0" w:line="104"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color w:val="auto"/>
        </w:rPr>
        <w:t xml:space="preserve">The Notes will be unsecured and unsubordinated obligations of the Company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existing and future unsecured and unsubordinated indebtedness of the Company and senior in right of payment to all subordinated indebtedness of the Company, if any. The Guarantees will be the unsecured and unsubordinated obligation of the Guarantor and will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to all other existing and future unsecured and unsubordinated indebtedness of the Guarantor, and senior in</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payment to all subordinated indebtedness of the Guarantor, if any. However, the Notes and the Guarantees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1" w:lineRule="auto"/>
        <w:rPr>
          <w:sz w:val="20"/>
          <w:szCs w:val="20"/>
          <w:color w:val="auto"/>
        </w:rPr>
      </w:pPr>
      <w:r>
        <w:rPr>
          <w:rFonts w:ascii="Arial" w:cs="Arial" w:eastAsia="Arial" w:hAnsi="Arial"/>
          <w:sz w:val="18"/>
          <w:szCs w:val="18"/>
          <w:b w:val="1"/>
          <w:bCs w:val="1"/>
          <w:color w:val="auto"/>
        </w:rPr>
        <w:t>The Guarantees and the Notes will be structurally subordinated to the obligations of the Guarantor’s subsidiaries other than the Company.</w:t>
      </w:r>
    </w:p>
    <w:p>
      <w:pPr>
        <w:spacing w:after="0" w:line="28"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 (including any additional amounts), on the Guarantees,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80"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7"/>
          <w:szCs w:val="17"/>
          <w:color w:val="auto"/>
        </w:rPr>
        <w:t>As a result, the Guarantees will be structurally subordinated to the obligations and liabilities of all of the Guarantor’s subsidiaries (other than the Company’s obligations and liabilities with respect to the Notes). As of March 31, 2023, the Guarantor had accounts payable and accrued liabilities of approximately U.S.$8.7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274" w:lineRule="exact"/>
        <w:rPr>
          <w:sz w:val="20"/>
          <w:szCs w:val="20"/>
          <w:color w:val="auto"/>
        </w:rPr>
      </w:pPr>
    </w:p>
    <w:p>
      <w:pPr>
        <w:ind w:left="120"/>
        <w:spacing w:after="0" w:line="281" w:lineRule="auto"/>
        <w:rPr>
          <w:sz w:val="20"/>
          <w:szCs w:val="20"/>
          <w:color w:val="auto"/>
        </w:rPr>
      </w:pPr>
      <w:r>
        <w:rPr>
          <w:rFonts w:ascii="Arial" w:cs="Arial" w:eastAsia="Arial" w:hAnsi="Arial"/>
          <w:sz w:val="18"/>
          <w:szCs w:val="18"/>
          <w:b w:val="1"/>
          <w:bCs w:val="1"/>
          <w:color w:val="auto"/>
        </w:rPr>
        <w:t>There is currently no trading market for the Notes and an active trading market for the Notes may not develop, in which case you may not be able to resell the Notes.</w:t>
      </w:r>
    </w:p>
    <w:p>
      <w:pPr>
        <w:spacing w:after="0" w:line="28"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the Company’s and the Guarantor’s financial performance, the market for similar securities and the interest of securities dealers in making a market in the Notes. In addition, changes in the overall market for investment grade securities and changes in the Company’s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be unable to recover in civil proceedings for U.S. securities laws violations.</w:t>
      </w:r>
    </w:p>
    <w:p>
      <w:pPr>
        <w:spacing w:after="0" w:line="104"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The Company is organized under the laws of Luxembourg and does not have any assets in the United States. It is anticipated that some or all of the directors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the net proceeds (after deducting the underwriting discount and the estimated expenses of the offering payable by</w:t>
      </w:r>
    </w:p>
    <w:p>
      <w:pPr>
        <w:spacing w:after="0" w:line="1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us) from the sale of the Notes will be approximately U.S.$ . We intend to use the net proceeds from the offering to repay certain commercial paper borrowings and a portion of our outstanding 2023 notes. Following the repayment of the commercial paper borrowings, we intend to invest any remaining net proceeds prior to repaying the 2023 notes in the second half of 2023.</w:t>
      </w:r>
    </w:p>
    <w:p>
      <w:pPr>
        <w:spacing w:after="0" w:line="179" w:lineRule="exact"/>
        <w:rPr>
          <w:sz w:val="20"/>
          <w:szCs w:val="20"/>
          <w:color w:val="auto"/>
        </w:rPr>
      </w:pPr>
    </w:p>
    <w:p>
      <w:pPr>
        <w:ind w:left="120" w:firstLine="440"/>
        <w:spacing w:after="0" w:line="260" w:lineRule="auto"/>
        <w:rPr>
          <w:sz w:val="20"/>
          <w:szCs w:val="20"/>
          <w:color w:val="auto"/>
        </w:rPr>
      </w:pPr>
      <w:r>
        <w:rPr>
          <w:rFonts w:ascii="Arial" w:cs="Arial" w:eastAsia="Arial" w:hAnsi="Arial"/>
          <w:sz w:val="17"/>
          <w:szCs w:val="17"/>
          <w:color w:val="auto"/>
        </w:rPr>
        <w:t xml:space="preserve">At March 31, 2023, we had U.S.$1,500,000,000 aggregate principal amount of 2023 notes outstanding, which will mature on December 1, 2023. At March 31, 2023, we had committed credit facility agreements with commercial banks aggregating U.S.$5.75 billion, of which U.S.$5.19 billion was available and unused. These committed facilities support commercial paper programs in the United States and Europe, of which U.S.$0.75 billion matures in February 2024, U.S.$2.0 billion matures in February 2025, U.S.$1.0 billion matures in July 2026 and U.S.$2.0 billion matures in February 2027. Borrowings under the commercial paper programs at March 31, 2023 were U.S.$559 million. We also have a </w:t>
      </w:r>
      <w:r>
        <w:rPr>
          <w:rFonts w:ascii="Times New Roman" w:cs="Times New Roman" w:eastAsia="Times New Roman" w:hAnsi="Times New Roman"/>
          <w:sz w:val="17"/>
          <w:szCs w:val="17"/>
          <w:color w:val="auto"/>
        </w:rPr>
        <w:t>€</w:t>
      </w:r>
      <w:r>
        <w:rPr>
          <w:rFonts w:ascii="Arial" w:cs="Arial" w:eastAsia="Arial" w:hAnsi="Arial"/>
          <w:sz w:val="17"/>
          <w:szCs w:val="17"/>
          <w:color w:val="auto"/>
        </w:rPr>
        <w:t>750 million three-year committed revolving credit facility maturing in June 2024. At March 31, 2023, no amounts had been drawn under this facility. Interest rates and other terms of borrowing under these lines of credit vary by facility.</w:t>
      </w:r>
    </w:p>
    <w:p>
      <w:pPr>
        <w:spacing w:after="0" w:line="164"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Certain affiliates of the underwriters may be holders of our 2023 notes or commercial paper. As a result of the anticipated use of proceeds here, one or more affiliates of the underwriters may receive a portion of the net proceeds from the offering of the Notes offered hereby in the form of the repayment of indebtedness. Accordingly, the offering of the Notes is being made pursuant to Rule 5121 of the Financial Industry Regulatory Authority, Inc. Pursuant to this rule, the appointment of a qualified independent underwriter is not necessary in connection with this offering, because the conditions of Rule 5121(a)(1)(C) are satisfied. See “Underwriting (Conflicts of Interest).”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40"/>
          </w:cols>
          <w:pgMar w:left="320" w:top="455" w:right="5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7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545"/>
        </w:trPr>
        <w:tc>
          <w:tcPr>
            <w:tcW w:w="136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5380" w:type="dxa"/>
            <w:vAlign w:val="bottom"/>
            <w:gridSpan w:val="2"/>
          </w:tcPr>
          <w:p>
            <w:pPr>
              <w:ind w:left="1040"/>
              <w:spacing w:after="0"/>
              <w:rPr>
                <w:sz w:val="20"/>
                <w:szCs w:val="20"/>
                <w:color w:val="auto"/>
              </w:rPr>
            </w:pPr>
            <w:r>
              <w:rPr>
                <w:rFonts w:ascii="Arial" w:cs="Arial" w:eastAsia="Arial" w:hAnsi="Arial"/>
                <w:sz w:val="18"/>
                <w:szCs w:val="18"/>
                <w:b w:val="1"/>
                <w:bCs w:val="1"/>
                <w:color w:val="auto"/>
              </w:rPr>
              <w:t>DESCRIPTION OF THE NOTES</w:t>
            </w:r>
          </w:p>
        </w:tc>
        <w:tc>
          <w:tcPr>
            <w:tcW w:w="2220" w:type="dxa"/>
            <w:vAlign w:val="bottom"/>
          </w:tcPr>
          <w:p>
            <w:pPr>
              <w:spacing w:after="0"/>
              <w:rPr>
                <w:sz w:val="24"/>
                <w:szCs w:val="24"/>
                <w:color w:val="auto"/>
              </w:rPr>
            </w:pPr>
          </w:p>
        </w:tc>
      </w:tr>
      <w:tr>
        <w:trPr>
          <w:trHeight w:val="374"/>
        </w:trPr>
        <w:tc>
          <w:tcPr>
            <w:tcW w:w="5980" w:type="dxa"/>
            <w:vAlign w:val="bottom"/>
            <w:gridSpan w:val="3"/>
          </w:tcPr>
          <w:p>
            <w:pPr>
              <w:ind w:left="560"/>
              <w:spacing w:after="0"/>
              <w:rPr>
                <w:sz w:val="20"/>
                <w:szCs w:val="20"/>
                <w:color w:val="auto"/>
              </w:rPr>
            </w:pPr>
            <w:r>
              <w:rPr>
                <w:rFonts w:ascii="Arial" w:cs="Arial" w:eastAsia="Arial" w:hAnsi="Arial"/>
                <w:sz w:val="18"/>
                <w:szCs w:val="18"/>
                <w:color w:val="auto"/>
              </w:rPr>
              <w:t>Schlumberger Investment S.A. (the “Company”) is offering U.S.$</w:t>
            </w:r>
          </w:p>
        </w:tc>
        <w:tc>
          <w:tcPr>
            <w:tcW w:w="2680" w:type="dxa"/>
            <w:vAlign w:val="bottom"/>
          </w:tcPr>
          <w:p>
            <w:pPr>
              <w:ind w:left="500"/>
              <w:spacing w:after="0"/>
              <w:rPr>
                <w:sz w:val="20"/>
                <w:szCs w:val="20"/>
                <w:color w:val="auto"/>
              </w:rPr>
            </w:pPr>
            <w:r>
              <w:rPr>
                <w:rFonts w:ascii="Arial" w:cs="Arial" w:eastAsia="Arial" w:hAnsi="Arial"/>
                <w:sz w:val="18"/>
                <w:szCs w:val="18"/>
                <w:color w:val="auto"/>
              </w:rPr>
              <w:t>principal amount of its</w:t>
            </w:r>
          </w:p>
        </w:tc>
        <w:tc>
          <w:tcPr>
            <w:tcW w:w="2220" w:type="dxa"/>
            <w:vAlign w:val="bottom"/>
          </w:tcPr>
          <w:p>
            <w:pPr>
              <w:ind w:left="420"/>
              <w:spacing w:after="0"/>
              <w:rPr>
                <w:sz w:val="20"/>
                <w:szCs w:val="20"/>
                <w:color w:val="auto"/>
              </w:rPr>
            </w:pPr>
            <w:r>
              <w:rPr>
                <w:rFonts w:ascii="Arial" w:cs="Arial" w:eastAsia="Arial" w:hAnsi="Arial"/>
                <w:sz w:val="18"/>
                <w:szCs w:val="18"/>
                <w:color w:val="auto"/>
              </w:rPr>
              <w:t>% Senior Notes due</w:t>
            </w:r>
          </w:p>
        </w:tc>
      </w:tr>
      <w:tr>
        <w:trPr>
          <w:trHeight w:val="221"/>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2028 (the “2028 Notes”) and U.S.$</w:t>
            </w:r>
          </w:p>
        </w:tc>
        <w:tc>
          <w:tcPr>
            <w:tcW w:w="2700" w:type="dxa"/>
            <w:vAlign w:val="bottom"/>
          </w:tcPr>
          <w:p>
            <w:pPr>
              <w:ind w:left="400"/>
              <w:spacing w:after="0"/>
              <w:rPr>
                <w:sz w:val="20"/>
                <w:szCs w:val="20"/>
                <w:color w:val="auto"/>
              </w:rPr>
            </w:pPr>
            <w:r>
              <w:rPr>
                <w:rFonts w:ascii="Arial" w:cs="Arial" w:eastAsia="Arial" w:hAnsi="Arial"/>
                <w:sz w:val="18"/>
                <w:szCs w:val="18"/>
                <w:color w:val="auto"/>
              </w:rPr>
              <w:t>principal amount of its</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w w:val="99"/>
              </w:rPr>
              <w:t>% Senior Notes due 2033 (the “2033 Notes” and, together</w:t>
            </w:r>
          </w:p>
        </w:tc>
      </w:tr>
    </w:tbl>
    <w:p>
      <w:pPr>
        <w:ind w:left="120" w:right="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2028 Notes, the “Notes”). The Notes are to be issued under an indenture, dated December 3, 2013, as supplemented by the second supplemental indenture, dated June 26, 2020, and a supplemental indenture to be dated as of the closing date of this offering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“Guarantees”). The terms of the Notes include those stated in the Indenture. Copies of the Indenture are available as set forth under “Where You Can Find More Information.”</w:t>
      </w:r>
    </w:p>
    <w:p>
      <w:pPr>
        <w:spacing w:after="0" w:line="18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Notes will constitute two series of debt securities under the Indenture.</w:t>
      </w:r>
    </w:p>
    <w:p>
      <w:pPr>
        <w:spacing w:after="0" w:line="16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As used in this “Description of the Notes,” the terms “we,” “us” and “our” and similar expressions refer to the Company; and the term “Guarantor” refers to our parent company, the Guarantor, and not to any of its subsidiaries, in each case unless otherwise stated or the context otherwise requires.</w:t>
      </w:r>
    </w:p>
    <w:p>
      <w:pPr>
        <w:spacing w:after="0" w:line="169"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69"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8"/>
          <w:szCs w:val="18"/>
          <w:color w:val="auto"/>
        </w:rPr>
        <w:t>The registered holder of a Note will be treated as the owner of it for all purposes. Only registered holders will have rights under the Indenture.</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7120" w:type="dxa"/>
            <w:vAlign w:val="bottom"/>
          </w:tcPr>
          <w:p>
            <w:pPr>
              <w:spacing w:after="0"/>
              <w:rPr>
                <w:sz w:val="20"/>
                <w:szCs w:val="20"/>
                <w:color w:val="auto"/>
              </w:rPr>
            </w:pPr>
            <w:r>
              <w:rPr>
                <w:rFonts w:ascii="Arial" w:cs="Arial" w:eastAsia="Arial" w:hAnsi="Arial"/>
                <w:sz w:val="18"/>
                <w:szCs w:val="18"/>
                <w:b w:val="1"/>
                <w:bCs w:val="1"/>
                <w:color w:val="auto"/>
              </w:rPr>
              <w:t>General Terms of the 2028 Notes</w:t>
            </w:r>
          </w:p>
        </w:tc>
        <w:tc>
          <w:tcPr>
            <w:tcW w:w="2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4"/>
        </w:trPr>
        <w:tc>
          <w:tcPr>
            <w:tcW w:w="7120" w:type="dxa"/>
            <w:vAlign w:val="bottom"/>
          </w:tcPr>
          <w:p>
            <w:pPr>
              <w:ind w:left="440"/>
              <w:spacing w:after="0"/>
              <w:rPr>
                <w:sz w:val="20"/>
                <w:szCs w:val="20"/>
                <w:color w:val="auto"/>
              </w:rPr>
            </w:pPr>
            <w:r>
              <w:rPr>
                <w:rFonts w:ascii="Arial" w:cs="Arial" w:eastAsia="Arial" w:hAnsi="Arial"/>
                <w:sz w:val="18"/>
                <w:szCs w:val="18"/>
                <w:color w:val="auto"/>
              </w:rPr>
              <w:t>The 2028 Notes are initially issuable in an aggregate principal amount of U.S.$</w:t>
            </w:r>
          </w:p>
        </w:tc>
        <w:tc>
          <w:tcPr>
            <w:tcW w:w="2320" w:type="dxa"/>
            <w:vAlign w:val="bottom"/>
          </w:tcPr>
          <w:p>
            <w:pPr>
              <w:ind w:left="420"/>
              <w:spacing w:after="0"/>
              <w:rPr>
                <w:sz w:val="20"/>
                <w:szCs w:val="20"/>
                <w:color w:val="auto"/>
              </w:rPr>
            </w:pPr>
            <w:r>
              <w:rPr>
                <w:rFonts w:ascii="Arial" w:cs="Arial" w:eastAsia="Arial" w:hAnsi="Arial"/>
                <w:sz w:val="18"/>
                <w:szCs w:val="18"/>
                <w:color w:val="auto"/>
              </w:rPr>
              <w:t>and will mature on</w:t>
            </w:r>
          </w:p>
        </w:tc>
        <w:tc>
          <w:tcPr>
            <w:tcW w:w="960" w:type="dxa"/>
            <w:vAlign w:val="bottom"/>
          </w:tcPr>
          <w:p>
            <w:pPr>
              <w:jc w:val="right"/>
              <w:spacing w:after="0"/>
              <w:rPr>
                <w:sz w:val="20"/>
                <w:szCs w:val="20"/>
                <w:color w:val="auto"/>
              </w:rPr>
            </w:pPr>
            <w:r>
              <w:rPr>
                <w:rFonts w:ascii="Arial" w:cs="Arial" w:eastAsia="Arial" w:hAnsi="Arial"/>
                <w:sz w:val="18"/>
                <w:szCs w:val="18"/>
                <w:color w:val="auto"/>
              </w:rPr>
              <w:t>, 2028.</w:t>
            </w:r>
          </w:p>
        </w:tc>
      </w:tr>
    </w:tbl>
    <w:p>
      <w:pPr>
        <w:ind w:left="120" w:right="160"/>
        <w:spacing w:after="0" w:line="238" w:lineRule="auto"/>
        <w:rPr>
          <w:sz w:val="20"/>
          <w:szCs w:val="20"/>
          <w:color w:val="auto"/>
        </w:rPr>
      </w:pPr>
      <w:r>
        <w:rPr>
          <w:rFonts w:ascii="Arial" w:cs="Arial" w:eastAsia="Arial" w:hAnsi="Arial"/>
          <w:sz w:val="18"/>
          <w:szCs w:val="18"/>
          <w:color w:val="auto"/>
        </w:rPr>
        <w:t>Interest on the 2028 Notes will be payable in U.S. dollars at the office of the Paying Agent in the Borough of Manhattan, the City of New York, New York, or, at the Company’s option, by check mailed to the address of the registered holder or, with respect to any global 2028 Note or upon application by the holder of a definitive, non-global 2028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2028 Notes then maturing will be due and payable, plus accrued and unpaid interest to the applicable maturity date.</w:t>
      </w:r>
    </w:p>
    <w:p>
      <w:pPr>
        <w:spacing w:after="0" w:line="181"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The Company may create and issue additional 2028 Notes under the Indenture with the same terms as the 2028 Notes offered hereby (other than the date of issuance and in certain circumstances the date from which interest thereon will begin to accrue). The 2028 Notes issued by the Company and any additional 2028 Notes subsequently issued by the Company under the Indenture will be treated as a single class for all purposes under the Indenture, including, without limitation, waivers, amendments and redemptions. See “—Further Issuances.”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46"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The 2028 Notes will be issued only in registered form without interest coupons, in minimum denominations of U.S.$2,000 and in integral multiples of U.S.$1,000 in excess thereof.</w:t>
      </w:r>
    </w:p>
    <w:p>
      <w:pPr>
        <w:spacing w:after="0" w:line="15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The 2028 Notes will bear interest at % per annum. Interest on the 2028 Notes will accrue from , 2023 and will be payable by the Company on and of each year, beginning on , 2023 to the person in whose name such 2028 Note is registered, subject to certain exceptions as provided in the Indenture, at the close of business on the and immediately preceding such interest payment date (whether or not a business day).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2028 Notes are not subject to any mandatory redemption or any sinking fund provision.</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7120" w:type="dxa"/>
            <w:vAlign w:val="bottom"/>
          </w:tcPr>
          <w:p>
            <w:pPr>
              <w:spacing w:after="0"/>
              <w:rPr>
                <w:sz w:val="20"/>
                <w:szCs w:val="20"/>
                <w:color w:val="auto"/>
              </w:rPr>
            </w:pPr>
            <w:r>
              <w:rPr>
                <w:rFonts w:ascii="Arial" w:cs="Arial" w:eastAsia="Arial" w:hAnsi="Arial"/>
                <w:sz w:val="18"/>
                <w:szCs w:val="18"/>
                <w:b w:val="1"/>
                <w:bCs w:val="1"/>
                <w:color w:val="auto"/>
              </w:rPr>
              <w:t>General Terms of the 2033 Notes</w:t>
            </w:r>
          </w:p>
        </w:tc>
        <w:tc>
          <w:tcPr>
            <w:tcW w:w="2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4"/>
        </w:trPr>
        <w:tc>
          <w:tcPr>
            <w:tcW w:w="7120" w:type="dxa"/>
            <w:vAlign w:val="bottom"/>
          </w:tcPr>
          <w:p>
            <w:pPr>
              <w:ind w:left="440"/>
              <w:spacing w:after="0"/>
              <w:rPr>
                <w:sz w:val="20"/>
                <w:szCs w:val="20"/>
                <w:color w:val="auto"/>
              </w:rPr>
            </w:pPr>
            <w:r>
              <w:rPr>
                <w:rFonts w:ascii="Arial" w:cs="Arial" w:eastAsia="Arial" w:hAnsi="Arial"/>
                <w:sz w:val="18"/>
                <w:szCs w:val="18"/>
                <w:color w:val="auto"/>
              </w:rPr>
              <w:t>The 2033 Notes are initially issuable in an aggregate principal amount of U.S.$</w:t>
            </w:r>
          </w:p>
        </w:tc>
        <w:tc>
          <w:tcPr>
            <w:tcW w:w="2320" w:type="dxa"/>
            <w:vAlign w:val="bottom"/>
          </w:tcPr>
          <w:p>
            <w:pPr>
              <w:ind w:left="420"/>
              <w:spacing w:after="0"/>
              <w:rPr>
                <w:sz w:val="20"/>
                <w:szCs w:val="20"/>
                <w:color w:val="auto"/>
              </w:rPr>
            </w:pPr>
            <w:r>
              <w:rPr>
                <w:rFonts w:ascii="Arial" w:cs="Arial" w:eastAsia="Arial" w:hAnsi="Arial"/>
                <w:sz w:val="18"/>
                <w:szCs w:val="18"/>
                <w:color w:val="auto"/>
              </w:rPr>
              <w:t>and will mature on</w:t>
            </w:r>
          </w:p>
        </w:tc>
        <w:tc>
          <w:tcPr>
            <w:tcW w:w="960" w:type="dxa"/>
            <w:vAlign w:val="bottom"/>
          </w:tcPr>
          <w:p>
            <w:pPr>
              <w:jc w:val="right"/>
              <w:spacing w:after="0"/>
              <w:rPr>
                <w:sz w:val="20"/>
                <w:szCs w:val="20"/>
                <w:color w:val="auto"/>
              </w:rPr>
            </w:pPr>
            <w:r>
              <w:rPr>
                <w:rFonts w:ascii="Arial" w:cs="Arial" w:eastAsia="Arial" w:hAnsi="Arial"/>
                <w:sz w:val="18"/>
                <w:szCs w:val="18"/>
                <w:color w:val="auto"/>
              </w:rPr>
              <w:t>, 2033.</w:t>
            </w:r>
          </w:p>
        </w:tc>
      </w:tr>
    </w:tbl>
    <w:p>
      <w:pPr>
        <w:ind w:left="120" w:right="180"/>
        <w:spacing w:after="0" w:line="238" w:lineRule="auto"/>
        <w:rPr>
          <w:sz w:val="20"/>
          <w:szCs w:val="20"/>
          <w:color w:val="auto"/>
        </w:rPr>
      </w:pPr>
      <w:r>
        <w:rPr>
          <w:rFonts w:ascii="Arial" w:cs="Arial" w:eastAsia="Arial" w:hAnsi="Arial"/>
          <w:sz w:val="18"/>
          <w:szCs w:val="18"/>
          <w:color w:val="auto"/>
        </w:rPr>
        <w:t>Interest on the 2033 Notes will be payable in U.S. dollars at the office of the Paying Agent in the Borough of Manhattan, the City of New York, New York, or, at the Company’s option, by check mailed to the address of the registered holder or, with respect to any global 2033 Note or upon application by the holder of a definitive, non-global 2033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2033 Notes then maturing will be due and payable, plus accrued and unpaid interest to the applicable maturity date.</w:t>
      </w:r>
    </w:p>
    <w:p>
      <w:pPr>
        <w:spacing w:after="0" w:line="18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The Company may create and issue additional 2033 Notes under the Indenture with the same terms as the 2033 Notes offered hereby (other than the date of issuance and in certain circumstances the date from which interest thereon will begin to accrue). The 2033 Notes issued by the Company and any additional 2033 Notes subsequently issued by the Company under the Indenture will be treated as a single class for all purposes under the Indenture, including, without limitation, waivers, amendments and redemptions. See “—Further Issuances.”</w:t>
      </w:r>
    </w:p>
    <w:p>
      <w:pPr>
        <w:spacing w:after="0" w:line="176"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The 2033 Notes will be issued only in registered form without interest coupons, in minimum denominations of U.S.$2,000 and in integral multiples of U.S.$1,000 in excess thereof.</w:t>
      </w:r>
    </w:p>
    <w:p>
      <w:pPr>
        <w:spacing w:after="0" w:line="15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The 2033 Notes will bear interest at % per annum. Interest on the 2033 Notes will accrue from , 2023 and will be payable by the Company on and of each year, beginning on , 2023 to the person in whose name such 2033 Note is registered, subject to certain exceptions as provided in the Indenture, at the close of business on the and immediately preceding such interest payment date (whether or not a business day).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2033 Notes are not subject to any mandatory redemption or any sinking fund provision.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04"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Guarantor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Guarantor will:</w:t>
      </w:r>
    </w:p>
    <w:p>
      <w:pPr>
        <w:spacing w:after="0" w:line="117" w:lineRule="exact"/>
        <w:rPr>
          <w:sz w:val="20"/>
          <w:szCs w:val="20"/>
          <w:color w:val="auto"/>
        </w:rPr>
      </w:pPr>
    </w:p>
    <w:p>
      <w:pPr>
        <w:ind w:left="1080" w:hanging="424"/>
        <w:spacing w:after="0" w:line="25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agree that, if an Event of Default occurs under a series of Notes, its obligations under the applicable Guarantee will be absolute and unconditional and will be enforceable irrespective of any invalidity, irregularity or unenforceability of the Indenture or any supplement thereto; and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7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such series of Notes to pursue or exhaust their legal or equitable remedies against the Company before exercising their rights under the applicable Guarantee.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Notes and Guarantees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w:t>
      </w:r>
    </w:p>
    <w:p>
      <w:pPr>
        <w:spacing w:after="0" w:line="117" w:lineRule="exact"/>
        <w:rPr>
          <w:sz w:val="20"/>
          <w:szCs w:val="20"/>
          <w:color w:val="auto"/>
        </w:rPr>
      </w:pPr>
    </w:p>
    <w:p>
      <w:pPr>
        <w:ind w:left="1080" w:right="80" w:hanging="424"/>
        <w:spacing w:after="0" w:line="27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59" w:lineRule="exact"/>
        <w:rPr>
          <w:rFonts w:ascii="Arial" w:cs="Arial" w:eastAsia="Arial" w:hAnsi="Arial"/>
          <w:sz w:val="18"/>
          <w:szCs w:val="18"/>
          <w:color w:val="auto"/>
        </w:rPr>
      </w:pPr>
    </w:p>
    <w:p>
      <w:pPr>
        <w:ind w:left="1080" w:right="580" w:hanging="424"/>
        <w:spacing w:after="0" w:line="27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Guarantees will rank equally and ratably with all other unsecured and unsubordinated indebtedness of the Guarantor.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0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All payments made by the Company under or with respect to the Notes, or by the Guarantor with respect to the Guarantees,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or (2) any jurisdiction from or through which payment is made or deemed made by or on behalf of the Company, or the Guarantor (including the jurisdiction of any Paying Agent for the Notes) or any political subdivision thereof or therein (each of clauses (1) and (2), a “Relevant Tax Jurisdiction”) will at any time be required to be made from any payments made or deemed made by or on behalf of the Company under or with respect to the Notes, as applicable, or the Guarantor under or with respect to the Guarantees,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93" w:lineRule="exact"/>
        <w:rPr>
          <w:sz w:val="20"/>
          <w:szCs w:val="20"/>
          <w:color w:val="auto"/>
        </w:rPr>
      </w:pPr>
    </w:p>
    <w:p>
      <w:pPr>
        <w:ind w:left="1080" w:right="200" w:hanging="532"/>
        <w:spacing w:after="0" w:line="242"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Notes or Guarantees,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applicable Guarantee or the receipt of any payments in respect of such Note or Guarantee;</w:t>
      </w:r>
    </w:p>
    <w:p>
      <w:pPr>
        <w:spacing w:after="0" w:line="84"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532"/>
        <w:spacing w:after="0" w:line="24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79" w:lineRule="exact"/>
        <w:rPr>
          <w:rFonts w:ascii="Arial" w:cs="Arial" w:eastAsia="Arial" w:hAnsi="Arial"/>
          <w:sz w:val="18"/>
          <w:szCs w:val="18"/>
          <w:color w:val="auto"/>
        </w:rPr>
      </w:pPr>
    </w:p>
    <w:p>
      <w:pPr>
        <w:ind w:left="1080" w:right="300" w:hanging="532"/>
        <w:spacing w:after="0" w:line="271"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Taxes withheld deducted or imposed pursuant to the Luxembourg law of 23 December 2005, as amended from time to time;</w:t>
      </w:r>
    </w:p>
    <w:p>
      <w:pPr>
        <w:spacing w:after="0" w:line="59" w:lineRule="exact"/>
        <w:rPr>
          <w:rFonts w:ascii="Arial" w:cs="Arial" w:eastAsia="Arial" w:hAnsi="Arial"/>
          <w:sz w:val="18"/>
          <w:szCs w:val="18"/>
          <w:color w:val="auto"/>
        </w:rPr>
      </w:pPr>
    </w:p>
    <w:p>
      <w:pPr>
        <w:ind w:left="1080" w:right="520" w:hanging="532"/>
        <w:spacing w:after="0" w:line="271"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59" w:lineRule="exact"/>
        <w:rPr>
          <w:rFonts w:ascii="Arial" w:cs="Arial" w:eastAsia="Arial" w:hAnsi="Arial"/>
          <w:sz w:val="18"/>
          <w:szCs w:val="18"/>
          <w:color w:val="auto"/>
        </w:rPr>
      </w:pPr>
    </w:p>
    <w:p>
      <w:pPr>
        <w:ind w:left="1080" w:right="740" w:hanging="532"/>
        <w:spacing w:after="0" w:line="271"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Notes or the applicable Guarantee;</w:t>
      </w:r>
    </w:p>
    <w:p>
      <w:pPr>
        <w:spacing w:after="0" w:line="59" w:lineRule="exact"/>
        <w:rPr>
          <w:rFonts w:ascii="Arial" w:cs="Arial" w:eastAsia="Arial" w:hAnsi="Arial"/>
          <w:sz w:val="18"/>
          <w:szCs w:val="18"/>
          <w:color w:val="auto"/>
        </w:rPr>
      </w:pPr>
    </w:p>
    <w:p>
      <w:pPr>
        <w:ind w:left="1080" w:right="4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w:t>
      </w:r>
    </w:p>
    <w:p>
      <w:pPr>
        <w:spacing w:after="0" w:line="90" w:lineRule="exact"/>
        <w:rPr>
          <w:rFonts w:ascii="Arial" w:cs="Arial" w:eastAsia="Arial" w:hAnsi="Arial"/>
          <w:sz w:val="18"/>
          <w:szCs w:val="18"/>
          <w:color w:val="auto"/>
        </w:rPr>
      </w:pPr>
    </w:p>
    <w:p>
      <w:pPr>
        <w:ind w:left="1080" w:hanging="532"/>
        <w:spacing w:after="0" w:line="24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Taxes imposed, deducted or withheld pursuant to section 1471(b) of the U.S. Internal Revenue Code of 1986, as amended (the “Code”) or otherwise imposed pursuant to sections 1471 through 1474 of the Code, in each case, as of the date of the original issuance of the Notes (the “Issue Date”) (and any amended or successor version that is substantively comparable), any current or future regulations or agreements thereunder, official interpretations thereof or any law implementing an intergovernmental agreement relating thereto; or</w:t>
      </w:r>
    </w:p>
    <w:p>
      <w:pPr>
        <w:spacing w:after="0" w:line="81"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combination of items (1) through (9) above.</w:t>
      </w:r>
    </w:p>
    <w:p>
      <w:pPr>
        <w:spacing w:after="0" w:line="21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its Notes, or the Indenture, Guarantees or any other document or instrument referred to therein, except in the case of Luxembourg, any registration duties (droits d’enregistrement) that would become payable upon a voluntary registration made by any party in Luxembourg of the Notes, the Indenture, Guarantees or any other document or instrument referred to therein.</w:t>
      </w:r>
    </w:p>
    <w:p>
      <w:pPr>
        <w:spacing w:after="0" w:line="185"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Notes, or the Guarantees,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Company or the Guarantor, as the case may be, will make all withholdings and deductions required by law in respect of its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w:t>
      </w:r>
    </w:p>
    <w:p>
      <w:pPr>
        <w:spacing w:after="0" w:line="180"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of a series or the applicable Guarantee, such mention will be deemed to include mention of the payment of Additional Amounts to the extent that, in such context, Additional Amounts are, were or would be payable in respect thereof.</w:t>
      </w:r>
    </w:p>
    <w:p>
      <w:pPr>
        <w:spacing w:after="0" w:line="17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Guarantees) and any political subdivision thereof or therein.</w:t>
      </w:r>
    </w:p>
    <w:p>
      <w:pPr>
        <w:spacing w:after="0" w:line="17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Notwithstanding any provision herein or in the Indenture, the Notes or the Guarantees to the contrary, none of the Trustee, the Registrar, any transfer agent or any Paying Agent will be required to determine the identity of a beneficial owner or be liable for any determination thereof by the Company or the Guarantor.</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0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At any time prior to the 2028 Par Call Date, in the case of the 2028 Notes, and the 2033 Par Call Date, in the case of the 2033 Notes, we may, at our option, redeem the Notes of such series, in whole or in part, at any time and from time to time, at a redemption price (expressed as a percentage of principal amount and rounded to three decimal places) equal to the greater of:</w:t>
      </w:r>
    </w:p>
    <w:p>
      <w:pPr>
        <w:spacing w:after="0" w:line="74" w:lineRule="exact"/>
        <w:rPr>
          <w:sz w:val="20"/>
          <w:szCs w:val="20"/>
          <w:color w:val="auto"/>
        </w:rPr>
      </w:pPr>
    </w:p>
    <w:p>
      <w:pPr>
        <w:ind w:left="1080" w:right="280" w:hanging="532"/>
        <w:spacing w:after="0" w:line="24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the sum of the present values of the remaining scheduled payments of principal and interest thereon discounted to the redemption date (assuming the Notes matured on the 2028 Par Call Date, in the case of the 2028 Notes, and the 2033 Par</w:t>
      </w:r>
    </w:p>
    <w:p>
      <w:pPr>
        <w:ind w:left="1080"/>
        <w:spacing w:after="0"/>
        <w:rPr>
          <w:rFonts w:ascii="Arial" w:cs="Arial" w:eastAsia="Arial" w:hAnsi="Arial"/>
          <w:sz w:val="18"/>
          <w:szCs w:val="18"/>
          <w:color w:val="auto"/>
        </w:rPr>
      </w:pPr>
      <w:r>
        <w:rPr>
          <w:rFonts w:ascii="Arial" w:cs="Arial" w:eastAsia="Arial" w:hAnsi="Arial"/>
          <w:sz w:val="18"/>
          <w:szCs w:val="18"/>
          <w:color w:val="auto"/>
        </w:rPr>
        <w:t>Call Date, in the case of the 2033 Notes) on a semi-annual basis (assuming a 360-day year consisting of twelve 30-day</w:t>
      </w:r>
    </w:p>
    <w:p>
      <w:pPr>
        <w:spacing w:after="0" w:line="185" w:lineRule="exact"/>
        <w:rPr>
          <w:sz w:val="20"/>
          <w:szCs w:val="20"/>
          <w:color w:val="auto"/>
        </w:rPr>
      </w:pPr>
    </w:p>
    <w:p>
      <w:pPr>
        <w:ind w:left="1080" w:right="60"/>
        <w:spacing w:after="0" w:line="271" w:lineRule="auto"/>
        <w:rPr>
          <w:sz w:val="20"/>
          <w:szCs w:val="20"/>
          <w:color w:val="auto"/>
        </w:rPr>
      </w:pPr>
      <w:r>
        <w:rPr>
          <w:rFonts w:ascii="Arial" w:cs="Arial" w:eastAsia="Arial" w:hAnsi="Arial"/>
          <w:sz w:val="18"/>
          <w:szCs w:val="18"/>
          <w:color w:val="auto"/>
        </w:rPr>
        <w:t>months) at the Treasury Rate plus basis points, in the case of the 2028 Notes, and basis points, in the case of the 2033 Notes, less (b) interest accrued to the date of redemption, and</w:t>
      </w:r>
    </w:p>
    <w:p>
      <w:pPr>
        <w:spacing w:after="0" w:line="18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either case, accrued and unpaid interest thereon, if any, to, but not including, the applicable redemption date.</w:t>
      </w:r>
    </w:p>
    <w:p>
      <w:pPr>
        <w:spacing w:after="0" w:line="212"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At any time on or after the 2028 Par Call Date, in the case of the 2028 Notes, and the 2033 Par Call Date, in the case of the 2033 Notes, we may, at our option, redeem such series of Notes, in whole or in part, at any time and from time to time, at a redemption price equal to 100% of the principal amount of such series of Notes to be redeemed plus accrued and unpaid interest thereon, if any, to, but not including, the applicable redemption date.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5" w:right="4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8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38"/>
        </w:trPr>
        <w:tc>
          <w:tcPr>
            <w:tcW w:w="3220" w:type="dxa"/>
            <w:vAlign w:val="bottom"/>
            <w:gridSpan w:val="2"/>
          </w:tcPr>
          <w:p>
            <w:pPr>
              <w:ind w:left="560"/>
              <w:spacing w:after="0"/>
              <w:rPr>
                <w:sz w:val="20"/>
                <w:szCs w:val="20"/>
                <w:color w:val="auto"/>
              </w:rPr>
            </w:pPr>
            <w:r>
              <w:rPr>
                <w:rFonts w:ascii="Arial" w:cs="Arial" w:eastAsia="Arial" w:hAnsi="Arial"/>
                <w:sz w:val="18"/>
                <w:szCs w:val="18"/>
                <w:color w:val="auto"/>
              </w:rPr>
              <w:t>“2028 Par Call Date” means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3220" w:type="dxa"/>
            <w:vAlign w:val="bottom"/>
            <w:gridSpan w:val="2"/>
          </w:tcPr>
          <w:p>
            <w:pPr>
              <w:ind w:left="560"/>
              <w:spacing w:after="0"/>
              <w:rPr>
                <w:sz w:val="20"/>
                <w:szCs w:val="20"/>
                <w:color w:val="auto"/>
              </w:rPr>
            </w:pPr>
            <w:r>
              <w:rPr>
                <w:rFonts w:ascii="Arial" w:cs="Arial" w:eastAsia="Arial" w:hAnsi="Arial"/>
                <w:sz w:val="18"/>
                <w:szCs w:val="18"/>
                <w:color w:val="auto"/>
              </w:rPr>
              <w:t>“2033 Par Call Date” means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120" w:firstLine="440"/>
        <w:spacing w:after="0" w:line="271" w:lineRule="auto"/>
        <w:rPr>
          <w:sz w:val="20"/>
          <w:szCs w:val="20"/>
          <w:color w:val="auto"/>
        </w:rPr>
      </w:pPr>
      <w:r>
        <w:rPr>
          <w:rFonts w:ascii="Arial" w:cs="Arial" w:eastAsia="Arial" w:hAnsi="Arial"/>
          <w:sz w:val="18"/>
          <w:szCs w:val="18"/>
          <w:color w:val="auto"/>
        </w:rPr>
        <w:t>“Treasury Rate” means, with respect to any redemption date, the yield determined by the Company in accordance with the following two paragraphs.</w:t>
      </w:r>
    </w:p>
    <w:p>
      <w:pPr>
        <w:spacing w:after="0" w:line="154" w:lineRule="exact"/>
        <w:rPr>
          <w:sz w:val="20"/>
          <w:szCs w:val="20"/>
          <w:color w:val="auto"/>
        </w:rPr>
      </w:pPr>
    </w:p>
    <w:p>
      <w:pPr>
        <w:ind w:left="120" w:right="120" w:firstLine="440"/>
        <w:spacing w:after="0" w:line="252" w:lineRule="auto"/>
        <w:rPr>
          <w:sz w:val="20"/>
          <w:szCs w:val="20"/>
          <w:color w:val="auto"/>
        </w:rPr>
      </w:pPr>
      <w:r>
        <w:rPr>
          <w:rFonts w:ascii="Arial" w:cs="Arial" w:eastAsia="Arial" w:hAnsi="Arial"/>
          <w:sz w:val="17"/>
          <w:szCs w:val="17"/>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will select, as applicable:</w:t>
      </w:r>
    </w:p>
    <w:p>
      <w:pPr>
        <w:spacing w:after="0" w:line="2" w:lineRule="exact"/>
        <w:rPr>
          <w:sz w:val="20"/>
          <w:szCs w:val="20"/>
          <w:color w:val="auto"/>
        </w:rPr>
      </w:pPr>
    </w:p>
    <w:p>
      <w:pPr>
        <w:ind w:left="120" w:hanging="4"/>
        <w:spacing w:after="0" w:line="236" w:lineRule="auto"/>
        <w:tabs>
          <w:tab w:leader="none" w:pos="3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yield for the Treasury constant maturity on H.15 exactly equal to the period from the redemption date to the 2028 Par Call Date, in the case of the 2028 Notes, and the 2033 Par Call Date, in the case of the 2033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2028 Par Call Date, in the case of the 2028 Notes, and the 2033 Par Call Date, in the case of the 2033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18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2028 Par Call Date, in the case of the 2028 Notes, and the 2033 Par Call Date, in the case of the 2033 Notes, as applicable. If there is no United States Treasury security maturing on the 2028 Par Call Date, in the case of the 2028 notes, and the 2033 Par Call Date, in the case of the 2033 Notes, but there are two or more United States Treasury securities with a maturity date equally distant from the 2028 Par Call Date, in the case of the 2028 Notes, and the 2033 Par Call Date, in the case of the 2033 Notes, one with a maturity date preceding the 2028 Notes, in the case of the 2028 Notes, and the 2033 Par Call Date, in the case of the 2033 Notes, and one with a maturity date following the 2028 Par Call Date, in the case of the 2028 Notes, and the 2033 Par Call Date, in the case of the 2033 Notes, the Company will select the United States Treasury security with a maturity date preceding the 2028 Par Call Date, in the case of the 2028 Notes, and the 2033 Par Call Date, in the case of the 2033 Notes. If there are two or more United States Treasury securities maturing on the 2028 Par Call Date, in the case of the 2028 Notes, and the 2033 Par Call Date, in the case of the 2033 Notes,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46"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0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7"/>
          <w:szCs w:val="17"/>
          <w:color w:val="auto"/>
        </w:rPr>
        <w:t>The Company or the Guarantor may redeem either series of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the Guarantor cannot avoid any such payment obligation by taking reasonable measures available to it (but not including substitution of the obligor of the Notes and, for avoidance of doubt, in the case of the Guarantor, by causing the payment to be made by the Company), and the requirement arises as a result of:</w:t>
      </w:r>
    </w:p>
    <w:p>
      <w:pPr>
        <w:spacing w:after="0" w:line="78" w:lineRule="exact"/>
        <w:rPr>
          <w:sz w:val="20"/>
          <w:szCs w:val="20"/>
          <w:color w:val="auto"/>
        </w:rPr>
      </w:pPr>
    </w:p>
    <w:p>
      <w:pPr>
        <w:ind w:left="1080" w:right="140" w:hanging="532"/>
        <w:spacing w:after="0" w:line="24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200" w:lineRule="exact"/>
        <w:rPr>
          <w:rFonts w:ascii="Arial" w:cs="Arial" w:eastAsia="Arial" w:hAnsi="Arial"/>
          <w:sz w:val="18"/>
          <w:szCs w:val="18"/>
          <w:color w:val="auto"/>
        </w:rPr>
      </w:pPr>
    </w:p>
    <w:p>
      <w:pPr>
        <w:ind w:left="1080" w:hanging="532"/>
        <w:spacing w:after="0" w:line="266"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59"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the Company or the Guarantor, as applicable, cannot avoid its obligation to pay Additional Amounts by the Company or the Guarantor, as applicable, taking reasonable measures available to it.</w:t>
      </w:r>
    </w:p>
    <w:p>
      <w:pPr>
        <w:spacing w:after="0" w:line="183"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The Trustee will accept and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foregoing will also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04" w:lineRule="exact"/>
        <w:rPr>
          <w:sz w:val="20"/>
          <w:szCs w:val="20"/>
          <w:color w:val="auto"/>
        </w:rPr>
      </w:pPr>
    </w:p>
    <w:p>
      <w:pPr>
        <w:ind w:left="120" w:right="380" w:firstLine="440"/>
        <w:spacing w:after="0" w:line="247" w:lineRule="auto"/>
        <w:rPr>
          <w:sz w:val="20"/>
          <w:szCs w:val="20"/>
          <w:color w:val="auto"/>
        </w:rPr>
      </w:pPr>
      <w:r>
        <w:rPr>
          <w:rFonts w:ascii="Arial" w:cs="Arial" w:eastAsia="Arial" w:hAnsi="Arial"/>
          <w:sz w:val="18"/>
          <w:szCs w:val="18"/>
          <w:color w:val="auto"/>
        </w:rPr>
        <w:t>If fewer than all of the Notes of a series are to be redeemed at any time, the Trustee will select Notes of such series in definitive, non-global form for redemption on a pro rata basis (or, in the case of Notes issued in global form as discussed under “—Book-Entry, Delivery and Form,” such Notes to be redeemed will be selected in accordance with the procedures of the depository therefor) unless otherwise required by law or applicable stock exchange.</w:t>
      </w:r>
    </w:p>
    <w:p>
      <w:pPr>
        <w:spacing w:after="0" w:line="174"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No Notes in principal amount of U.S.$2,000 or less can be redeemed in part. Notices of redemption will be given at least 10 but not more than 60 days before the redemption date to each holder of Notes of such series to be redeemed, except that redemption notices may be given more than 60 days prior to a redemption date if the notice is issued in connection with a defeasance of the Notes or a satisfaction and discharge of the Indenture.</w:t>
      </w:r>
    </w:p>
    <w:p>
      <w:pPr>
        <w:spacing w:after="0" w:line="17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76" w:lineRule="exact"/>
        <w:rPr>
          <w:sz w:val="20"/>
          <w:szCs w:val="20"/>
          <w:color w:val="auto"/>
        </w:rPr>
      </w:pPr>
    </w:p>
    <w:p>
      <w:pPr>
        <w:jc w:val="both"/>
        <w:ind w:left="120" w:right="200" w:firstLine="440"/>
        <w:spacing w:after="0" w:line="255" w:lineRule="auto"/>
        <w:rPr>
          <w:sz w:val="20"/>
          <w:szCs w:val="20"/>
          <w:color w:val="auto"/>
        </w:rPr>
      </w:pPr>
      <w:r>
        <w:rPr>
          <w:rFonts w:ascii="Arial" w:cs="Arial" w:eastAsia="Arial" w:hAnsi="Arial"/>
          <w:sz w:val="17"/>
          <w:szCs w:val="17"/>
          <w:color w:val="auto"/>
        </w:rPr>
        <w:t>The Trustee will not be liable for selections made as contemplated in this section. Notices to holders of definitive, non-global Notes will be mailed to them at their registered addresses. For Notes which are represented by global Notes held on behalf of The Depository Trust Company (“DTC”), Euroclear Bank SA/ NV, as operator of the Euroclear System (“Euroclear”) and Clearstream Banking S.A.</w:t>
      </w:r>
    </w:p>
    <w:p>
      <w:pPr>
        <w:spacing w:after="0" w:line="2" w:lineRule="exact"/>
        <w:rPr>
          <w:sz w:val="20"/>
          <w:szCs w:val="20"/>
          <w:color w:val="auto"/>
        </w:rPr>
      </w:pPr>
    </w:p>
    <w:p>
      <w:pPr>
        <w:jc w:val="both"/>
        <w:ind w:left="120" w:right="200"/>
        <w:spacing w:after="0" w:line="250" w:lineRule="auto"/>
        <w:rPr>
          <w:sz w:val="20"/>
          <w:szCs w:val="20"/>
          <w:color w:val="auto"/>
        </w:rPr>
      </w:pPr>
      <w:r>
        <w:rPr>
          <w:rFonts w:ascii="Arial" w:cs="Arial" w:eastAsia="Arial" w:hAnsi="Arial"/>
          <w:sz w:val="18"/>
          <w:szCs w:val="18"/>
          <w:color w:val="auto"/>
        </w:rPr>
        <w:t>(“Clearstream”), notices may be given by delivery of the relevant notices to DTC, Euroclear or Clearstream for communication to entitled account holders in substitution for the aforesaid mailing.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04" w:lineRule="exact"/>
        <w:rPr>
          <w:sz w:val="20"/>
          <w:szCs w:val="20"/>
          <w:color w:val="auto"/>
        </w:rPr>
      </w:pPr>
    </w:p>
    <w:p>
      <w:pPr>
        <w:ind w:left="120" w:right="200" w:firstLine="440"/>
        <w:spacing w:after="0" w:line="242" w:lineRule="auto"/>
        <w:rPr>
          <w:sz w:val="20"/>
          <w:szCs w:val="20"/>
          <w:color w:val="auto"/>
        </w:rPr>
      </w:pPr>
      <w:r>
        <w:rPr>
          <w:rFonts w:ascii="Arial" w:cs="Arial" w:eastAsia="Arial" w:hAnsi="Arial"/>
          <w:sz w:val="18"/>
          <w:szCs w:val="18"/>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04"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so determine, any of its other indebtedness or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indebtedness of any such restricted subsidiary then existing or thereafter created ranking on a parity with the Notes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8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Notes;</w:t>
      </w:r>
    </w:p>
    <w:p>
      <w:pPr>
        <w:spacing w:after="0" w:line="117" w:lineRule="exact"/>
        <w:rPr>
          <w:rFonts w:ascii="Arial" w:cs="Arial" w:eastAsia="Arial" w:hAnsi="Arial"/>
          <w:sz w:val="18"/>
          <w:szCs w:val="18"/>
          <w:color w:val="auto"/>
        </w:rPr>
      </w:pPr>
    </w:p>
    <w:p>
      <w:pPr>
        <w:ind w:left="1080" w:right="120" w:hanging="532"/>
        <w:spacing w:after="0" w:line="271"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9" w:lineRule="exact"/>
        <w:rPr>
          <w:rFonts w:ascii="Arial" w:cs="Arial" w:eastAsia="Arial" w:hAnsi="Arial"/>
          <w:sz w:val="18"/>
          <w:szCs w:val="18"/>
          <w:color w:val="auto"/>
        </w:rPr>
      </w:pPr>
    </w:p>
    <w:p>
      <w:pPr>
        <w:ind w:left="1080" w:right="280" w:hanging="532"/>
        <w:spacing w:after="0" w:line="242"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4"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17" w:lineRule="exact"/>
        <w:rPr>
          <w:rFonts w:ascii="Arial" w:cs="Arial" w:eastAsia="Arial" w:hAnsi="Arial"/>
          <w:sz w:val="18"/>
          <w:szCs w:val="18"/>
          <w:color w:val="auto"/>
        </w:rPr>
      </w:pPr>
    </w:p>
    <w:p>
      <w:pPr>
        <w:ind w:left="1080" w:hanging="532"/>
        <w:spacing w:after="0" w:line="24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9" w:lineRule="exact"/>
        <w:rPr>
          <w:rFonts w:ascii="Arial" w:cs="Arial" w:eastAsia="Arial" w:hAnsi="Arial"/>
          <w:sz w:val="18"/>
          <w:szCs w:val="18"/>
          <w:color w:val="auto"/>
        </w:rPr>
      </w:pPr>
    </w:p>
    <w:p>
      <w:pPr>
        <w:ind w:left="1080" w:right="320" w:hanging="532"/>
        <w:spacing w:after="0" w:line="271"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mortgage of any property or assets to secure indebtedness of the pollution control, industrial revenue or other revenue bond type;</w:t>
      </w:r>
    </w:p>
    <w:p>
      <w:pPr>
        <w:spacing w:after="0" w:line="59"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9" w:lineRule="exact"/>
        <w:rPr>
          <w:rFonts w:ascii="Arial" w:cs="Arial" w:eastAsia="Arial" w:hAnsi="Arial"/>
          <w:sz w:val="18"/>
          <w:szCs w:val="18"/>
          <w:color w:val="auto"/>
        </w:rPr>
      </w:pPr>
    </w:p>
    <w:p>
      <w:pPr>
        <w:ind w:left="1080" w:right="260" w:hanging="532"/>
        <w:spacing w:after="0" w:line="271"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5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5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2" w:lineRule="exact"/>
        <w:rPr>
          <w:sz w:val="20"/>
          <w:szCs w:val="20"/>
          <w:color w:val="auto"/>
        </w:rPr>
      </w:pPr>
    </w:p>
    <w:p>
      <w:pPr>
        <w:ind w:left="120" w:right="620" w:firstLine="440"/>
        <w:spacing w:after="0" w:line="30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212"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w:t>
      </w:r>
    </w:p>
    <w:p>
      <w:pPr>
        <w:ind w:left="120" w:hanging="4"/>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04"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Guarantees, as applicable, by an indenture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It is possible that a merger, transfer, or other transaction could be treated for U.S. federal income tax purposes as a taxable exchange by the beneficial owners of the Notes for new securities, which could result in beneficial owners of the Notes being required to recognize taxable gain or loss for U.S. federal income tax purposes. A merger, transfer, lease or other transaction could also have adverse tax consequences to beneficial owners of the Notes under other tax laws to which the beneficial owners are subject.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04"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color w:val="auto"/>
        </w:rPr>
        <w:t>Any subsidiary of the Guarantor may, at its option, assume the obligations of the Company under the Indenture and the Notes, provided that:</w:t>
      </w:r>
    </w:p>
    <w:p>
      <w:pPr>
        <w:spacing w:after="0" w:line="59" w:lineRule="exact"/>
        <w:rPr>
          <w:sz w:val="20"/>
          <w:szCs w:val="20"/>
          <w:color w:val="auto"/>
        </w:rPr>
      </w:pPr>
    </w:p>
    <w:p>
      <w:pPr>
        <w:ind w:left="1080" w:right="260" w:hanging="532"/>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subsidiary expressly assumes such obligations in an assumption agreement or supplemental indenture duly executed and delivered to the Trustee, and</w:t>
      </w:r>
    </w:p>
    <w:p>
      <w:pPr>
        <w:spacing w:after="0" w:line="59" w:lineRule="exact"/>
        <w:rPr>
          <w:rFonts w:ascii="Arial" w:cs="Arial" w:eastAsia="Arial" w:hAnsi="Arial"/>
          <w:sz w:val="18"/>
          <w:szCs w:val="18"/>
          <w:color w:val="auto"/>
        </w:rPr>
      </w:pPr>
    </w:p>
    <w:p>
      <w:pPr>
        <w:ind w:left="1080" w:right="340" w:hanging="532"/>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54"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Upon any such assumption, the person so assuming the Company’s obligations under the Indenture and the Notes will succeed to, and be substituted for, and may exercise any right and power of, the Company under the Notes and the Indenture with the same effect as if such person had been the issuer thereof, and the Company will be released from its liability as obligor under the Notes. An Officer’s Certificate and an opinion of counsel will be delivered to the Trustee, which will serve as conclusive evidence of compliance with these provisions.</w:t>
      </w:r>
    </w:p>
    <w:p>
      <w:pPr>
        <w:spacing w:after="0" w:line="178"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i w:val="1"/>
          <w:iCs w:val="1"/>
          <w:color w:val="auto"/>
        </w:rPr>
        <w:t>An assumption of the Company’s obligations as the issuer of the Notes by a subsidiary of the Guarantor may be treated for U.S. federal income tax purposes as a taxable exchange of the Notes for new Notes issued by such subsidiary of the Guarantor. In that event, U.S. Holders (as defined in “U.S. Federal Income Tax Considerations“) of such Notes may recognize taxable gain for U.S. federal income tax purposes, generally in an amount equal to the excess (if any) of the “issue price” of the new Notes over their basis in the old Notes, even though such U.S. Holders continue to hold the Notes and receive no distribution in connection with the deemed disposition. Beneficial owners of Notes who are U.S. Holders should consult their tax advisors regarding the non-U.S., U.S. federal, state and local income tax consequences of an assumption of the Company’s obligations as issuer of Notes by a subsidiary of the Guarantor. See “U.S. Federal Income Tax Considerations.”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 The information on or accessible through the Guarantor’s website is not incorporated herein by reference.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“Events of Default” with respect to a series of Notes:</w:t>
      </w:r>
    </w:p>
    <w:p>
      <w:pPr>
        <w:spacing w:after="0" w:line="117" w:lineRule="exact"/>
        <w:rPr>
          <w:sz w:val="20"/>
          <w:szCs w:val="20"/>
          <w:color w:val="auto"/>
        </w:rPr>
      </w:pPr>
    </w:p>
    <w:p>
      <w:pPr>
        <w:ind w:left="1080" w:right="680" w:hanging="424"/>
        <w:spacing w:after="0" w:line="271"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failure to pay any interest on such series of Notes within 30 days after such interest becomes due and payable;</w:t>
      </w:r>
    </w:p>
    <w:p>
      <w:pPr>
        <w:spacing w:after="0" w:line="59" w:lineRule="exact"/>
        <w:rPr>
          <w:rFonts w:ascii="Arial" w:cs="Arial" w:eastAsia="Arial" w:hAnsi="Arial"/>
          <w:sz w:val="18"/>
          <w:szCs w:val="18"/>
          <w:color w:val="auto"/>
        </w:rPr>
      </w:pPr>
    </w:p>
    <w:p>
      <w:pPr>
        <w:ind w:left="1080" w:right="420" w:hanging="424"/>
        <w:spacing w:after="0" w:line="271"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failure to pay principal of such series of Notes at maturity, or if applicable, the redemption price, when the same become due and payable;</w:t>
      </w:r>
    </w:p>
    <w:p>
      <w:pPr>
        <w:spacing w:after="0" w:line="59" w:lineRule="exact"/>
        <w:rPr>
          <w:rFonts w:ascii="Arial" w:cs="Arial" w:eastAsia="Arial" w:hAnsi="Arial"/>
          <w:sz w:val="18"/>
          <w:szCs w:val="18"/>
          <w:color w:val="auto"/>
        </w:rPr>
      </w:pPr>
    </w:p>
    <w:p>
      <w:pPr>
        <w:ind w:left="1080" w:hanging="424"/>
        <w:spacing w:after="0" w:line="24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such series of Notes or the Indenture (other than an agreement or covenant that the Company has included in the Indenture solely for the benefit of another series of debt securities that does not constitute part of such series of Notes) for 90 days after written notice by the Trustee or by the holders of at least 25% in principal amount of all outstanding debt securities affected by that failure;</w:t>
      </w:r>
    </w:p>
    <w:p>
      <w:pPr>
        <w:spacing w:after="0" w:line="79" w:lineRule="exact"/>
        <w:rPr>
          <w:rFonts w:ascii="Arial" w:cs="Arial" w:eastAsia="Arial" w:hAnsi="Arial"/>
          <w:sz w:val="18"/>
          <w:szCs w:val="18"/>
          <w:color w:val="auto"/>
        </w:rPr>
      </w:pPr>
    </w:p>
    <w:p>
      <w:pPr>
        <w:ind w:left="1080" w:right="360" w:hanging="424"/>
        <w:spacing w:after="0" w:line="25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such series of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12"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A default under one series of Notes or another series of debt securities issued under the Indenture will not necessarily be a default under another series of debt securities under the Indenture. The Trustee may withhold notice to the holders of a series of Notes issued under such Indenture of any default or Event of Default (except in any payment on such series of Notes) if the Trustee considers it in the interest of the holders of such Notes to do so.</w:t>
      </w:r>
    </w:p>
    <w:p>
      <w:pPr>
        <w:spacing w:after="0" w:line="17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If an Event of Default for a series of Notes occurs and is continuing, the Trustee or the holders of at least 25% in principal amount of such outstanding Notes (or, in some cases, 25% in principal amount of all outstanding debt securities under the Indenture affected, voting as one class) may require the Company to pay immediately the principal amount plus accrued and unpaid interest on such series of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of a series of Notes may pursue any remedy under the Indenture applicable to such Notes only if:</w:t>
      </w:r>
    </w:p>
    <w:p>
      <w:pPr>
        <w:spacing w:after="0" w:line="117"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Notes;</w:t>
      </w:r>
    </w:p>
    <w:p>
      <w:pPr>
        <w:spacing w:after="0" w:line="117" w:lineRule="exact"/>
        <w:rPr>
          <w:rFonts w:ascii="Arial" w:cs="Arial" w:eastAsia="Arial" w:hAnsi="Arial"/>
          <w:sz w:val="18"/>
          <w:szCs w:val="18"/>
          <w:color w:val="auto"/>
        </w:rPr>
      </w:pPr>
    </w:p>
    <w:p>
      <w:pPr>
        <w:ind w:left="1080" w:right="60" w:hanging="424"/>
        <w:spacing w:after="0" w:line="27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such outstanding Notes make a written request to the Trustee to pursue the remedy;</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1080" w:right="260" w:hanging="424"/>
        <w:spacing w:after="0" w:line="27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outstanding Notes do not give the Trustee a direction inconsistent with the request.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This provision does not, however, affect the right of a holder of a series of Notes to sue for enforcement of any overdue payment with respect to such Notes.</w:t>
      </w:r>
    </w:p>
    <w:p>
      <w:pPr>
        <w:spacing w:after="0" w:line="154"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In most cases, holders of a majority in principal amount of the outstanding Notes of a particular series issued by the Company may direct the time, method and place of:</w:t>
      </w:r>
    </w:p>
    <w:p>
      <w:pPr>
        <w:spacing w:after="0" w:line="5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such Notes; and</w:t>
      </w:r>
    </w:p>
    <w:p>
      <w:pPr>
        <w:spacing w:after="0" w:line="117" w:lineRule="exact"/>
        <w:rPr>
          <w:rFonts w:ascii="Arial" w:cs="Arial" w:eastAsia="Arial" w:hAnsi="Arial"/>
          <w:sz w:val="18"/>
          <w:szCs w:val="18"/>
          <w:color w:val="auto"/>
        </w:rPr>
      </w:pPr>
    </w:p>
    <w:p>
      <w:pPr>
        <w:ind w:left="1080" w:right="60" w:hanging="424"/>
        <w:spacing w:after="0" w:line="271"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such Notes.</w:t>
      </w:r>
    </w:p>
    <w:p>
      <w:pPr>
        <w:spacing w:after="0" w:line="154"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0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Except as provided in the next two succeeding paragraphs, the Indenture or the Notes or Guarantee of a series may be amended or supplemented, and waivers may be obtained, with the consent of the holders of at least a majority in aggregate principal amount of the outstanding Notes of such series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of a series may be waived with the consent of the holders of a majority in aggregate principal amount of the outstanding Notes of such series (including, without limitation, additional Notes, if any) voting as a single class (including, without limitation, consents obtained in connection with a tender offer or exchange offer for, or purchase of, such Notes).</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Without the consent of each holder of Notes affected thereby, an amendment, supplement or waiver may not (with respect to any</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held by a non-consenting holder):</w:t>
      </w:r>
    </w:p>
    <w:p>
      <w:pPr>
        <w:spacing w:after="0" w:line="9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its Notes;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its Notes;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any premium payable on the redemption of its Notes or change the time at which its Notes may or must be redeemed;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its Notes;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payments on its Notes payable in currency other than as originally stated in its Notes;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its Notes;</w:t>
      </w:r>
    </w:p>
    <w:p>
      <w:pPr>
        <w:spacing w:after="0" w:line="117" w:lineRule="exact"/>
        <w:rPr>
          <w:rFonts w:ascii="Arial" w:cs="Arial" w:eastAsia="Arial" w:hAnsi="Arial"/>
          <w:sz w:val="18"/>
          <w:szCs w:val="18"/>
          <w:color w:val="auto"/>
        </w:rPr>
      </w:pPr>
    </w:p>
    <w:p>
      <w:pPr>
        <w:ind w:left="1080" w:right="100" w:hanging="424"/>
        <w:spacing w:after="0" w:line="27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its Notes necessary to waive compliance with certain provisions of the Indenture such Notes were issued under or to make any change in this provision for modification; or</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its Notes.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Notwithstanding the preceding, without the consent of any holder of Notes, the Company, the Guarantor and the Trustee may amend or supplement the Indenture or the Notes or Guarantee of a series in certain circumstances, including:</w:t>
      </w:r>
    </w:p>
    <w:p>
      <w:pPr>
        <w:spacing w:after="0" w:line="5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080" w:right="160" w:hanging="424"/>
        <w:spacing w:after="0" w:line="24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assumption of the Company’s or the Guarantor’s obligations under the Indenture, and such Notes or such Guarantee, as applicable, by a successor upon any merger, consolidation or asset transfer in accordance with the requirements under “—Consolidation, Merger and Sale of Assets” or to provide for the assumption of the Company’s obligations under the Indenture and such Notes by a subsidiary of the Guarantor in accordance with the requirements under “—Assumption by a Subsidiary” above;</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any security for or guarantees of the Notes or for the addition of an additional obligor on such Notes;</w:t>
      </w:r>
    </w:p>
    <w:p>
      <w:pPr>
        <w:spacing w:after="0" w:line="117" w:lineRule="exact"/>
        <w:rPr>
          <w:rFonts w:ascii="Arial" w:cs="Arial" w:eastAsia="Arial" w:hAnsi="Arial"/>
          <w:sz w:val="18"/>
          <w:szCs w:val="18"/>
          <w:color w:val="auto"/>
        </w:rPr>
      </w:pPr>
    </w:p>
    <w:p>
      <w:pPr>
        <w:ind w:left="1080" w:right="200" w:hanging="424"/>
        <w:spacing w:after="0" w:line="27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(the “Trust Indenture Act”), if applicable;</w:t>
      </w:r>
    </w:p>
    <w:p>
      <w:pPr>
        <w:spacing w:after="0" w:line="59"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such outstanding Notes or to surrender any rights the Company has under the Indenture;</w:t>
      </w:r>
    </w:p>
    <w:p>
      <w:pPr>
        <w:spacing w:after="0" w:line="59" w:lineRule="exact"/>
        <w:rPr>
          <w:rFonts w:ascii="Arial" w:cs="Arial" w:eastAsia="Arial" w:hAnsi="Arial"/>
          <w:sz w:val="18"/>
          <w:szCs w:val="18"/>
          <w:color w:val="auto"/>
        </w:rPr>
      </w:pPr>
    </w:p>
    <w:p>
      <w:pPr>
        <w:jc w:val="both"/>
        <w:ind w:left="1080" w:right="240" w:hanging="424"/>
        <w:spacing w:after="0" w:line="25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will not become effective with respect to any such outstanding Notes created prior to the execution of such supplemental indenture which is entitled to the benefit of such provision;</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17" w:lineRule="exact"/>
        <w:rPr>
          <w:rFonts w:ascii="Arial" w:cs="Arial" w:eastAsia="Arial" w:hAnsi="Arial"/>
          <w:sz w:val="18"/>
          <w:szCs w:val="18"/>
          <w:color w:val="auto"/>
        </w:rPr>
      </w:pPr>
    </w:p>
    <w:p>
      <w:pPr>
        <w:ind w:left="1080" w:right="180" w:hanging="424"/>
        <w:spacing w:after="0" w:line="27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issue additional Notes; provided that such additional Notes have the same terms as, and will be deemed part of the same series as, such Notes to the extent required under the Indenture;</w:t>
      </w:r>
    </w:p>
    <w:p>
      <w:pPr>
        <w:spacing w:after="0" w:line="59" w:lineRule="exact"/>
        <w:rPr>
          <w:rFonts w:ascii="Arial" w:cs="Arial" w:eastAsia="Arial" w:hAnsi="Arial"/>
          <w:sz w:val="18"/>
          <w:szCs w:val="18"/>
          <w:color w:val="auto"/>
        </w:rPr>
      </w:pPr>
    </w:p>
    <w:p>
      <w:pPr>
        <w:ind w:left="1080" w:hanging="424"/>
        <w:spacing w:after="0" w:line="25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such Notes and to add to or change any of the provisions of the Indenture as are necessary to provide for or facilitate the administration of the trust by more than one trustee;</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such Notes;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such outstanding Notes in any material respect.</w:t>
      </w:r>
    </w:p>
    <w:p>
      <w:pPr>
        <w:spacing w:after="0" w:line="21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holders of a majority in principal amount of such outstanding Notes issued by the Company may waive any existing or past default or Event of Default with respect to those Notes. Notwithstanding the foregoing, those holders may not, however, waive any default or Event of Default in any payment on any such Note.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Liability of Directors, Officers, Employees, Stockholders and Certain Others</w:t>
      </w:r>
    </w:p>
    <w:p>
      <w:pPr>
        <w:spacing w:after="0" w:line="104"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Notes, Indenture or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04" w:lineRule="exact"/>
        <w:rPr>
          <w:sz w:val="20"/>
          <w:szCs w:val="20"/>
          <w:color w:val="auto"/>
        </w:rPr>
      </w:pPr>
    </w:p>
    <w:p>
      <w:pPr>
        <w:jc w:val="both"/>
        <w:ind w:left="120" w:right="180" w:firstLine="440"/>
        <w:spacing w:after="0" w:line="253"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a series of Notes on the dates those payments are due and payable, then, at the Company’s option, either of the following will occur:</w:t>
      </w:r>
    </w:p>
    <w:p>
      <w:pPr>
        <w:spacing w:after="0" w:line="74" w:lineRule="exact"/>
        <w:rPr>
          <w:sz w:val="20"/>
          <w:szCs w:val="20"/>
          <w:color w:val="auto"/>
        </w:rPr>
      </w:pPr>
    </w:p>
    <w:p>
      <w:pPr>
        <w:ind w:left="1080" w:right="160" w:hanging="424"/>
        <w:spacing w:after="0" w:line="271"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such Notes, except as described in the paragraph immediately below (“legal defeasance”); or</w:t>
      </w:r>
    </w:p>
    <w:p>
      <w:pPr>
        <w:spacing w:after="0" w:line="59"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such Notes, and the related Events of Default will no longer apply to the Company (“covenant defeasance”).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exercise our legal defeasance option notwithstanding our prior exercise of our covenant defeasance option.</w:t>
      </w:r>
    </w:p>
    <w:p>
      <w:pPr>
        <w:spacing w:after="0" w:line="21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7"/>
          <w:szCs w:val="17"/>
          <w:color w:val="auto"/>
        </w:rPr>
        <w:t>If we exercise our legal defeasance option with respect to a series of Notes, the Company and the Guarantor will be deemed to have paid and discharged the entire indebtedness represented by such outstanding Notes and the applicable Guarantee, and to have satisfied all other obligations under such Notes, the applicable Guarantee and the Indenture with respect to such series of Notes, except as to</w:t>
      </w:r>
    </w:p>
    <w:p>
      <w:pPr>
        <w:spacing w:after="0" w:line="2" w:lineRule="exact"/>
        <w:rPr>
          <w:sz w:val="20"/>
          <w:szCs w:val="20"/>
          <w:color w:val="auto"/>
        </w:rPr>
      </w:pPr>
    </w:p>
    <w:p>
      <w:pPr>
        <w:jc w:val="both"/>
        <w:ind w:left="120" w:right="300" w:hanging="4"/>
        <w:spacing w:after="0" w:line="242"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obligations to register the transfer or exchange of such Notes, replace stolen, lost or mutilated Notes, pay Additional Amounts, maintain paying agencies, and hold moneys for payment in trust, and (ii) the obligation of the Company and the Guarantor to compensate and indemnify the Trustee.</w:t>
      </w:r>
    </w:p>
    <w:p>
      <w:pPr>
        <w:spacing w:after="0" w:line="17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If we exercise our covenant defeasance option with respect to a series of Notes, the Company will no longer have any obligation to comply with the restrictive covenants under the Indenture with respect to such Notes, and the related Events of Default will no longer apply to the Company. Except as specified in the Indenture, however, the remainder of the Indenture and the Notes and the Guarantees will be unaffected by the occurrence of covenant defeasance, and the Notes will continue to be deemed “outstanding” for all other purposes under the Indenture other than for the purposes of any direction, waiver, consent or declaration or act of holders (and the consequences of any thereof) in connection with any of the defeased covenants.</w:t>
      </w:r>
    </w:p>
    <w:p>
      <w:pPr>
        <w:spacing w:after="0" w:line="179"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or a tax ruling to the effect that the deposit and related defeasance would not cause the beneficial owners of the Notes to recognize income, gain or loss for U.S. federal income tax purposes. If the Company elects legal defeasance, that opinion of counsel must be based upon a ruling from the U.S. Internal Revenue Service (or successor agency) or changes in law to that effect.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0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5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or security reasonably satisfactory to it.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Securities and Exchange Commission permitting it to remain as Trustee.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04"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will maintain one or more paying agents (each a “Paying Agent”) for the Notes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the Notes. If we fail to appoint or maintain another entity as Paying Agent, the Trustee will act as such. The Company, the Guarantor or any of the Guarantor’s subsidiaries, upon notice to the Trustee, may act as Paying Agent. The initial Paying Agent will be The Bank of New York Mellon in New York.</w:t>
      </w:r>
    </w:p>
    <w:p>
      <w:pPr>
        <w:spacing w:after="0" w:line="180"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We will also maintain a registrar (the “Registrar”) with an office in the Borough of Manhattan, City of New York. Upon written notice to the Trustee accompanied by an Officer’s Certificate, we may appoint one or more registrars, other than the Trustee, for the Notes. If we fail to appoint or maintain another entity as Registrar, the Trustee will act as such. The Company, the Guarantor or any of the Guarantor’s subsidiaries, upon notice to the Trustee, may act as Registrar. The initial Registrar will be The Bank of New York Mellon in New York.</w:t>
      </w:r>
    </w:p>
    <w:p>
      <w:pPr>
        <w:spacing w:after="0" w:line="174" w:lineRule="exact"/>
        <w:rPr>
          <w:sz w:val="20"/>
          <w:szCs w:val="20"/>
          <w:color w:val="auto"/>
        </w:rPr>
      </w:pPr>
    </w:p>
    <w:p>
      <w:pPr>
        <w:jc w:val="both"/>
        <w:ind w:left="120" w:right="100" w:firstLine="440"/>
        <w:spacing w:after="0" w:line="244"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the Notes. If we fail to appoint or maintain another entity as transfer agent, the Trustee will act as such. The Company, the Guarantor or any of the Guarantor’s subsidiaries, upon notice to the Trustee, may act as transfer agent. The initial transfer agent will be The Bank of New York Mellon in New York.</w:t>
      </w:r>
    </w:p>
    <w:p>
      <w:pPr>
        <w:spacing w:after="0" w:line="176" w:lineRule="exact"/>
        <w:rPr>
          <w:sz w:val="20"/>
          <w:szCs w:val="20"/>
          <w:color w:val="auto"/>
        </w:rPr>
      </w:pPr>
    </w:p>
    <w:p>
      <w:pPr>
        <w:ind w:left="120" w:right="340" w:firstLine="440"/>
        <w:spacing w:after="0" w:line="271" w:lineRule="auto"/>
        <w:rPr>
          <w:sz w:val="20"/>
          <w:szCs w:val="20"/>
          <w:color w:val="auto"/>
        </w:rPr>
      </w:pPr>
      <w:r>
        <w:rPr>
          <w:rFonts w:ascii="Arial" w:cs="Arial" w:eastAsia="Arial" w:hAnsi="Arial"/>
          <w:sz w:val="18"/>
          <w:szCs w:val="18"/>
          <w:color w:val="auto"/>
        </w:rPr>
        <w:t>The Registrar will maintain a register reflecting ownership of Notes outstanding from time to time and the Paying Agent will make payments on and facilitate transfer of Notes on our behalf.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change any Paying Agents, Registrars or transfer agents without prior notice to the holders of Notes.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10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Company may, from time to time, without notice to or consent of the registered holders of its Notes of a series, increase the principal amount of such Notes that may be issued under the Indenture and issue such increased principal amount (or any portion thereof), in which case any such additional Notes so issued will have the same form and terms (other than the date of issuance and, under certain circumstances, the date from which interest thereon will begin to accrue), and will carry the same right to receive accrued and unpaid interest, as the Notes of such series previously issued, and such additional Notes will form a single series with the previously issued Notes, including for purposes of</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 of such series).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0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will issue the Notes of each series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69"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5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represented by a global Note can be exchanged for definitive securities in registered form only if:</w:t>
      </w:r>
    </w:p>
    <w:p>
      <w:pPr>
        <w:spacing w:after="0" w:line="117" w:lineRule="exact"/>
        <w:rPr>
          <w:sz w:val="20"/>
          <w:szCs w:val="20"/>
          <w:color w:val="auto"/>
        </w:rPr>
      </w:pPr>
    </w:p>
    <w:p>
      <w:pPr>
        <w:ind w:left="1080" w:right="20" w:hanging="424"/>
        <w:spacing w:after="0" w:line="25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74" w:lineRule="exact"/>
        <w:rPr>
          <w:rFonts w:ascii="Arial" w:cs="Arial" w:eastAsia="Arial" w:hAnsi="Arial"/>
          <w:sz w:val="18"/>
          <w:szCs w:val="18"/>
          <w:color w:val="auto"/>
        </w:rPr>
      </w:pPr>
    </w:p>
    <w:p>
      <w:pPr>
        <w:ind w:left="1080" w:right="560" w:hanging="424"/>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determine that such Notes will no longer be represented by a global Note and execute and deliver to the Trustee an Officer’s Certificate to such effect.</w:t>
      </w:r>
    </w:p>
    <w:p>
      <w:pPr>
        <w:spacing w:after="0" w:line="154" w:lineRule="exact"/>
        <w:rPr>
          <w:sz w:val="20"/>
          <w:szCs w:val="20"/>
          <w:color w:val="auto"/>
        </w:rPr>
      </w:pPr>
    </w:p>
    <w:p>
      <w:pPr>
        <w:ind w:left="120" w:right="240" w:firstLine="440"/>
        <w:spacing w:after="0" w:line="253" w:lineRule="auto"/>
        <w:rPr>
          <w:sz w:val="20"/>
          <w:szCs w:val="20"/>
          <w:color w:val="auto"/>
        </w:rPr>
      </w:pPr>
      <w:r>
        <w:rPr>
          <w:rFonts w:ascii="Arial" w:cs="Arial" w:eastAsia="Arial" w:hAnsi="Arial"/>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69" w:lineRule="exact"/>
        <w:rPr>
          <w:sz w:val="20"/>
          <w:szCs w:val="20"/>
          <w:color w:val="auto"/>
        </w:rPr>
      </w:pPr>
    </w:p>
    <w:p>
      <w:pPr>
        <w:ind w:left="120" w:right="260" w:firstLine="440"/>
        <w:spacing w:after="0" w:line="247" w:lineRule="auto"/>
        <w:rPr>
          <w:sz w:val="20"/>
          <w:szCs w:val="20"/>
          <w:color w:val="auto"/>
        </w:rPr>
      </w:pPr>
      <w:r>
        <w:rPr>
          <w:rFonts w:ascii="Arial" w:cs="Arial" w:eastAsia="Arial" w:hAnsi="Arial"/>
          <w:sz w:val="18"/>
          <w:szCs w:val="18"/>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79" w:lineRule="exact"/>
        <w:rPr>
          <w:sz w:val="20"/>
          <w:szCs w:val="20"/>
          <w:color w:val="auto"/>
        </w:rPr>
      </w:pPr>
    </w:p>
    <w:p>
      <w:pPr>
        <w:ind w:left="1080" w:right="960" w:hanging="424"/>
        <w:spacing w:after="0" w:line="27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Note represented by a global Note;</w:t>
      </w:r>
    </w:p>
    <w:p>
      <w:pPr>
        <w:spacing w:after="0" w:line="59" w:lineRule="exact"/>
        <w:rPr>
          <w:rFonts w:ascii="Arial" w:cs="Arial" w:eastAsia="Arial" w:hAnsi="Arial"/>
          <w:sz w:val="18"/>
          <w:szCs w:val="18"/>
          <w:color w:val="auto"/>
        </w:rPr>
      </w:pPr>
    </w:p>
    <w:p>
      <w:pPr>
        <w:ind w:left="1080" w:right="180" w:hanging="424"/>
        <w:spacing w:after="0" w:line="27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maintenance, supervision or review of any of DTC’s records relating to those beneficial ownership interests.</w:t>
      </w:r>
    </w:p>
    <w:p>
      <w:pPr>
        <w:spacing w:after="0" w:line="212"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DTC</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80"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6"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174"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2"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7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Clearstream</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3" w:lineRule="exact"/>
        <w:rPr>
          <w:sz w:val="20"/>
          <w:szCs w:val="20"/>
          <w:color w:val="auto"/>
        </w:rPr>
      </w:pPr>
    </w:p>
    <w:p>
      <w:pPr>
        <w:ind w:left="120" w:right="960" w:firstLine="440"/>
        <w:spacing w:after="0" w:line="301" w:lineRule="auto"/>
        <w:rPr>
          <w:sz w:val="20"/>
          <w:szCs w:val="20"/>
          <w:color w:val="auto"/>
        </w:rPr>
      </w:pPr>
      <w:r>
        <w:rPr>
          <w:rFonts w:ascii="Arial" w:cs="Arial" w:eastAsia="Arial" w:hAnsi="Arial"/>
          <w:sz w:val="17"/>
          <w:szCs w:val="17"/>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Euroclear</w:t>
      </w:r>
    </w:p>
    <w:p>
      <w:pPr>
        <w:spacing w:after="0" w:line="10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7"/>
          <w:szCs w:val="17"/>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71"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5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04"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76"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Because of time-zone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6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0"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NON-U.S. FEDERAL INCOME TAX CONSIDERATIONS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This summary solely addresses the principal Luxembourg tax consequences of the acquisition, ownership and disposal of the Notes and does not purport to describe every aspect of taxation that may be relevant to a particular holder. Tax matters are complex, and the tax consequences of the offer to a particular holder of Notes will depend in part on such holder’s circumstances. Accordingly, a holder is urged to consult his own tax advisor for a full understanding of the tax consequences of the offer to him, including the applicability and effect of Luxembourg tax laws.</w:t>
      </w:r>
    </w:p>
    <w:p>
      <w:pPr>
        <w:spacing w:after="0" w:line="176"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7"/>
          <w:szCs w:val="17"/>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131" w:lineRule="exact"/>
        <w:rPr>
          <w:sz w:val="20"/>
          <w:szCs w:val="20"/>
          <w:color w:val="auto"/>
        </w:rPr>
      </w:pPr>
    </w:p>
    <w:p>
      <w:pPr>
        <w:jc w:val="both"/>
        <w:ind w:left="120" w:right="80" w:firstLine="440"/>
        <w:spacing w:after="0" w:line="253" w:lineRule="auto"/>
        <w:rPr>
          <w:sz w:val="20"/>
          <w:szCs w:val="20"/>
          <w:color w:val="auto"/>
        </w:rPr>
      </w:pPr>
      <w:r>
        <w:rPr>
          <w:rFonts w:ascii="Arial" w:cs="Arial" w:eastAsia="Arial" w:hAnsi="Arial"/>
          <w:sz w:val="18"/>
          <w:szCs w:val="18"/>
          <w:color w:val="auto"/>
        </w:rPr>
        <w:t>This summary is based on the tax law of Luxembourg (unpublished case law not included) as it stands at the date of this prospectus supplement. The tax law upon which this summary is based, is subject to changes, possibly with retroactive effect. Any such change may invalidate the contents of this summary, which will not be updated to reflect such change.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overview assumes that each transaction with respect to the Notes is at arm’s length.</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summary in this Luxembourg taxation paragraph does not address the Luxembourg tax consequences for a noteholder who:</w:t>
      </w:r>
    </w:p>
    <w:p>
      <w:pPr>
        <w:spacing w:after="0" w:line="117" w:lineRule="exact"/>
        <w:rPr>
          <w:sz w:val="20"/>
          <w:szCs w:val="20"/>
          <w:color w:val="auto"/>
        </w:rPr>
      </w:pPr>
    </w:p>
    <w:p>
      <w:pPr>
        <w:ind w:left="1540" w:right="60" w:hanging="439"/>
        <w:spacing w:after="0" w:line="244"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an investor as defined in a specific law (such as the law on family wealth management companies of 11 May 2007, as amended, the law on undertakings for collective investment of 17 December 2010, as amended, the law on specialized investment funds of 13 February 2007, as amended, the law on reserved alternative investment funds of 23 July 2016, the law on securitisation of 22 March 2004, as amended, the law on venture capital vehicles of 15 June 2004, as amended and the law on pension saving companies and associations of 13 July 2005);</w:t>
      </w:r>
    </w:p>
    <w:p>
      <w:pPr>
        <w:spacing w:after="0" w:line="81" w:lineRule="exact"/>
        <w:rPr>
          <w:rFonts w:ascii="Arial" w:cs="Arial" w:eastAsia="Arial" w:hAnsi="Arial"/>
          <w:sz w:val="18"/>
          <w:szCs w:val="18"/>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in whole or in part, exempt from tax;</w:t>
      </w:r>
    </w:p>
    <w:p>
      <w:pPr>
        <w:spacing w:after="0" w:line="117" w:lineRule="exact"/>
        <w:rPr>
          <w:rFonts w:ascii="Arial" w:cs="Arial" w:eastAsia="Arial" w:hAnsi="Arial"/>
          <w:sz w:val="18"/>
          <w:szCs w:val="18"/>
          <w:color w:val="auto"/>
        </w:rPr>
      </w:pPr>
    </w:p>
    <w:p>
      <w:pPr>
        <w:ind w:left="1540" w:right="40" w:hanging="439"/>
        <w:spacing w:after="0" w:line="271"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acquires, owns or disposes of the Notes in connection with a membership of a management board, a supervisory board, an employment relationship, a deemed employment relationship or management role; or</w:t>
      </w:r>
    </w:p>
    <w:p>
      <w:pPr>
        <w:spacing w:after="0" w:line="59" w:lineRule="exact"/>
        <w:rPr>
          <w:rFonts w:ascii="Arial" w:cs="Arial" w:eastAsia="Arial" w:hAnsi="Arial"/>
          <w:sz w:val="18"/>
          <w:szCs w:val="18"/>
          <w:color w:val="auto"/>
        </w:rPr>
      </w:pPr>
    </w:p>
    <w:p>
      <w:pPr>
        <w:ind w:left="1540" w:right="20" w:hanging="439"/>
        <w:spacing w:after="0" w:line="253"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has a substantial interest in the Company or a deemed substantial interest in the Company for Luxembourg tax purposes. Generally, a person holds a substantial interest if such person owns or is deemed to own, directly or indirectly, more than 10% of the shares or interest in an entity.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Non-resident noteholders</w:t>
      </w:r>
    </w:p>
    <w:p>
      <w:pPr>
        <w:spacing w:after="0" w:line="102"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All payments of interest and principal under the Notes made to non-residents of Luxembourg may be made free from withholding or deduction of or for any taxes of whatever nature imposed, levied, withheld or assessed by Luxembourg or any political subdivision or taxing authority of or in Luxembourg.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Individual resident noteholders</w:t>
      </w:r>
    </w:p>
    <w:p>
      <w:pPr>
        <w:spacing w:after="0" w:line="10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Under the law of 23 December 2005 as amended (the “Relibi Law”), payments of interest and similar income made or deemed to be made to an individual who is resident in Luxembourg are subject to a withholding tax of 20% of the payment.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 on Income and Capital Gains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Non-resident noteholders</w:t>
      </w:r>
    </w:p>
    <w:p>
      <w:pPr>
        <w:spacing w:after="0" w:line="1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Non-resident noteholders that do not have a permanent establishment in Luxembourg to which the Notes or income thereon are attributable are not subject to Luxembourg income taxes in respect of any benefits derived or deemed to be derived in connection with the Notes.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Resident noteholders</w:t>
      </w:r>
    </w:p>
    <w:p>
      <w:pPr>
        <w:spacing w:after="0" w:line="102"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i w:val="1"/>
          <w:iCs w:val="1"/>
          <w:color w:val="auto"/>
        </w:rPr>
        <w:t xml:space="preserve">Individuals. </w:t>
      </w:r>
      <w:r>
        <w:rPr>
          <w:rFonts w:ascii="Arial" w:cs="Arial" w:eastAsia="Arial" w:hAnsi="Arial"/>
          <w:sz w:val="18"/>
          <w:szCs w:val="18"/>
          <w:color w:val="auto"/>
        </w:rPr>
        <w:t>Any benefits derived or deemed to be derived from or in connection with Notes that are attributable to an enterprise from</w:t>
      </w:r>
      <w:r>
        <w:rPr>
          <w:rFonts w:ascii="Arial" w:cs="Arial" w:eastAsia="Arial" w:hAnsi="Arial"/>
          <w:sz w:val="18"/>
          <w:szCs w:val="18"/>
          <w:i w:val="1"/>
          <w:iCs w:val="1"/>
          <w:color w:val="auto"/>
        </w:rPr>
        <w:t xml:space="preserve"> </w:t>
      </w:r>
      <w:r>
        <w:rPr>
          <w:rFonts w:ascii="Arial" w:cs="Arial" w:eastAsia="Arial" w:hAnsi="Arial"/>
          <w:sz w:val="18"/>
          <w:szCs w:val="18"/>
          <w:color w:val="auto"/>
        </w:rPr>
        <w:t>which an individual derives profits, whether as an entrepreneur or pursuant to a co-entitlement to the net value of an enterprise, are generally subject to Luxembourg income tax. A resident individual who invests in the Notes as part of such person’s private wealth management, is subject to Luxembourg income tax in respect of interest and similar income (such as premiums or issue discounts) derived from the Notes, except if tax is levied on such income in accordance with the Relibi Law. A gain realised by a resident individual, acting in the course of the management of that person’s private wealth, upon the sale or disposal, in any form whatsoever, of Notes is not subject to Luxembourg income tax, provided this sale or disposal takes place more than six months after the Notes are acquired. However, any portion of such gain corresponding to accrued but unpaid interest is subject to Luxembourg income tax, except if tax is levied on such interest in accordance with the Relibi Law. Any benefit derived by a resident individual from the disposal of Notes prior to their acquisition is subject to income tax as well.</w:t>
      </w:r>
    </w:p>
    <w:p>
      <w:pPr>
        <w:spacing w:after="0" w:line="180"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i w:val="1"/>
          <w:iCs w:val="1"/>
          <w:color w:val="auto"/>
        </w:rPr>
        <w:t>Corporations</w:t>
      </w:r>
      <w:r>
        <w:rPr>
          <w:rFonts w:ascii="Arial" w:cs="Arial" w:eastAsia="Arial" w:hAnsi="Arial"/>
          <w:sz w:val="18"/>
          <w:szCs w:val="18"/>
          <w:color w:val="auto"/>
        </w:rPr>
        <w:t>. A corporate resident noteholder must include any benefits derived or deemed to be derived from or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such as interest accrued or received, any redemption premium or issue discount, as well as any gain realized on the sale or disposal, in any form whatsoever, of the Notes, in its taxable income for Luxembourg income tax purposes.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02"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If a noteholder is neither resident nor deemed to be resident in Luxembourg, such holder will for Luxembourg tax purposes not carry on or be deemed to carry on an enterprise, in whole or in part, through a permanent establishment or a permanent representative in Luxembourg by reason only of the execution of the documents relating to the issue of Notes or the performance by the Company of its obligations under such documents or under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Wealth Tax</w:t>
      </w:r>
    </w:p>
    <w:p>
      <w:pPr>
        <w:spacing w:after="0" w:line="10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 xml:space="preserve">Corporate noteholders resident in Luxembourg and non-resident corporate noteholders that maintain a permanent establishment in Luxembourg to which such Notes are attributable are subject to annual net wealth tax on their unitary value (i.e., non-exempt assets minus liabilities and certain provisions as valued according to the Luxembourg valuation rules), levied at a rate of 0.5% if the unitary value does not exceed </w:t>
      </w:r>
      <w:r>
        <w:rPr>
          <w:rFonts w:ascii="Times New Roman" w:cs="Times New Roman" w:eastAsia="Times New Roman" w:hAnsi="Times New Roman"/>
          <w:sz w:val="18"/>
          <w:szCs w:val="18"/>
          <w:color w:val="auto"/>
        </w:rPr>
        <w:t>€</w:t>
      </w:r>
      <w:r>
        <w:rPr>
          <w:rFonts w:ascii="Arial" w:cs="Arial" w:eastAsia="Arial" w:hAnsi="Arial"/>
          <w:sz w:val="18"/>
          <w:szCs w:val="18"/>
          <w:color w:val="auto"/>
        </w:rPr>
        <w:t>500,000,000.</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Individuals are not subject to Luxembourg net wealth tax.</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Inheritance and Gift Tax</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transferred for non-consideration:</w:t>
      </w:r>
    </w:p>
    <w:p>
      <w:pPr>
        <w:spacing w:after="0" w:line="117" w:lineRule="exact"/>
        <w:rPr>
          <w:sz w:val="20"/>
          <w:szCs w:val="20"/>
          <w:color w:val="auto"/>
        </w:rPr>
      </w:pPr>
    </w:p>
    <w:p>
      <w:pPr>
        <w:ind w:left="1540" w:right="140" w:hanging="439"/>
        <w:spacing w:after="0" w:line="271" w:lineRule="auto"/>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Luxembourg inheritance tax is levied on the transfer of the Notes upon the death of a noteholder in cases where the deceased was not a resident or a deemed resident of Luxembourg for inheritance tax purposes;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0" w:hanging="439"/>
        <w:spacing w:after="0" w:line="253"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way of gift, Luxembourg gift tax will be levied in the event that the gift is made pursuant to a notarial deed signed before a Luxembourg notary or produced for registration, directly or indirectly,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Taxes and Duties</w:t>
      </w:r>
    </w:p>
    <w:p>
      <w:pPr>
        <w:spacing w:after="0" w:line="10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It is not compulsory that the Notes be filed, recorded, or enrolled with any court or other authority in Luxembourg. No registration tax, stamp duty or any other similar documentary tax or duty is due in respect of or in connection with the issue of Notes, the performance by the Company of its obligations under the Notes, or the transfer of the Notes.</w:t>
      </w:r>
    </w:p>
    <w:p>
      <w:pPr>
        <w:spacing w:after="0" w:line="169" w:lineRule="exact"/>
        <w:rPr>
          <w:sz w:val="20"/>
          <w:szCs w:val="20"/>
          <w:color w:val="auto"/>
        </w:rPr>
      </w:pPr>
    </w:p>
    <w:p>
      <w:pPr>
        <w:ind w:left="120" w:right="120" w:firstLine="440"/>
        <w:spacing w:after="0" w:line="247" w:lineRule="auto"/>
        <w:rPr>
          <w:sz w:val="20"/>
          <w:szCs w:val="20"/>
          <w:color w:val="auto"/>
        </w:rPr>
      </w:pPr>
      <w:r>
        <w:rPr>
          <w:rFonts w:ascii="Arial" w:cs="Arial" w:eastAsia="Arial" w:hAnsi="Arial"/>
          <w:sz w:val="18"/>
          <w:szCs w:val="18"/>
          <w:color w:val="auto"/>
        </w:rPr>
        <w:t>A fixed or proportional registration duty in Luxembourg may however apply (i) upon registration of the Notes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 in Luxembourg where this registration is not required by law, or (ii) if the Notes are (a) enclosed to a compulsory registrable deed under Luxembourg law, or (b) deposited with the official records of a notary.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04" w:lineRule="exact"/>
        <w:rPr>
          <w:sz w:val="20"/>
          <w:szCs w:val="20"/>
          <w:color w:val="auto"/>
        </w:rPr>
      </w:pPr>
    </w:p>
    <w:p>
      <w:pPr>
        <w:ind w:left="120" w:right="120" w:firstLine="440"/>
        <w:spacing w:after="0" w:line="247" w:lineRule="auto"/>
        <w:rPr>
          <w:sz w:val="20"/>
          <w:szCs w:val="20"/>
          <w:color w:val="auto"/>
        </w:rPr>
      </w:pPr>
      <w:r>
        <w:rPr>
          <w:rFonts w:ascii="Arial" w:cs="Arial" w:eastAsia="Arial" w:hAnsi="Arial"/>
          <w:sz w:val="18"/>
          <w:szCs w:val="18"/>
          <w:color w:val="auto"/>
        </w:rPr>
        <w:t>The Foreign Account Tax Compliance Act (“FATCA”) was enacted into U.S. law in March 2010 as part of the Hiring Incentives to Restore Employment Act. FATCA aims at reducing tax evasion by U.S. citizens and requires, among other things, foreign financial institutions outside the U.S. (“FFIs”) to spontaneously provide information about financial accounts held, directly or indirectly, by specified U.S. persons or face a 30% U.S. federal withholding tax imposed on certain U.S.-source payment (“FATCA Withholding”).</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To implement FATCA in Luxembourg, Luxembourg entered into a so-called Model 1 Intergovernmental Agreement (the “IGA”) with the U.S., and a memorandum of understanding in respect thereof, on 28 March 2014. The IGA was implemented under Luxembourg domestic law by Law of 24 July 2015 (the “Luxembourg FATCA Law”). Luxembourg FFIs that comply with the requirements of the IGA and the Luxembourg FATCA Law will not be subject to FATCA Withholding.</w:t>
      </w:r>
    </w:p>
    <w:p>
      <w:pPr>
        <w:spacing w:after="0" w:line="17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7"/>
          <w:szCs w:val="17"/>
          <w:color w:val="auto"/>
        </w:rPr>
        <w:t>Under the IGA and the Luxembourg FATCA Law, Luxembourg FFIs are required to perform certain necessary due diligence and monitoring of investors, and to report to the Luxembourg tax authorities on an annual basis information about financial accounts held by</w:t>
      </w:r>
    </w:p>
    <w:p>
      <w:pPr>
        <w:spacing w:after="0" w:line="1" w:lineRule="exact"/>
        <w:rPr>
          <w:sz w:val="20"/>
          <w:szCs w:val="20"/>
          <w:color w:val="auto"/>
        </w:rPr>
      </w:pPr>
    </w:p>
    <w:p>
      <w:pPr>
        <w:ind w:left="120" w:right="260" w:hanging="4"/>
        <w:spacing w:after="0" w:line="279" w:lineRule="auto"/>
        <w:tabs>
          <w:tab w:leader="none" w:pos="39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specified U.S. investors, (b) certain U.S.-controlled entity investors and (c) non-U.S. financial institution investors that do not comply with FATCA. Such information will subsequently be remitted by the Luxembourg tax authorities to the U.S. Internal Revenue Service.</w:t>
      </w:r>
    </w:p>
    <w:p>
      <w:pPr>
        <w:spacing w:after="0" w:line="149" w:lineRule="exact"/>
        <w:rPr>
          <w:sz w:val="20"/>
          <w:szCs w:val="20"/>
          <w:color w:val="auto"/>
        </w:rPr>
      </w:pPr>
    </w:p>
    <w:p>
      <w:pPr>
        <w:jc w:val="both"/>
        <w:ind w:left="120" w:right="440" w:firstLine="440"/>
        <w:spacing w:after="0" w:line="253" w:lineRule="auto"/>
        <w:rPr>
          <w:sz w:val="20"/>
          <w:szCs w:val="20"/>
          <w:color w:val="auto"/>
        </w:rPr>
      </w:pPr>
      <w:r>
        <w:rPr>
          <w:rFonts w:ascii="Arial" w:cs="Arial" w:eastAsia="Arial" w:hAnsi="Arial"/>
          <w:sz w:val="18"/>
          <w:szCs w:val="18"/>
          <w:color w:val="auto"/>
        </w:rPr>
        <w:t>Noteholders may be required to provide information to the Company to ensure the Company’s compliance with the IGA and the Luxembourg FATCA Law. In the event that a noteholder does not provide the required information, the Company may need to report financial account information of such noteholder to Luxembourg tax authorities.</w:t>
      </w:r>
    </w:p>
    <w:p>
      <w:pPr>
        <w:spacing w:after="0" w:line="169"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Noteholders should consult with their own tax advisers regarding the effects of the IGA and the Luxembourg FATCA Law on their investment in the Notes.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Reporting Standard</w:t>
      </w:r>
    </w:p>
    <w:p>
      <w:pPr>
        <w:spacing w:after="0" w:line="104"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The Organisation for Economic Co-operation and Development has developed a new global standard for the automatic exchange of financial information between tax authorities (the “CRS”). Luxembourg is a signatory jurisdiction to the CRS and has conducted its first exchange of information with tax authorities of other signatory jurisdictions in September 2017, as regards reportable financial information gathered in relation to fiscal year 2016. The CRS has been implemented in Luxembourg via the law dated 18 December 2015 concerning the automatic exchange of information on financial accounts and tax matters and implementing the EU Directive 2014/107/EU.</w:t>
      </w:r>
    </w:p>
    <w:p>
      <w:pPr>
        <w:spacing w:after="0" w:line="166"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The regulations may impose obligations on the Company and the noteholders, if the Company is considered as a Reporting Financial Institution (e.g., an Investment Entity) under the CRS, so that the latter could be required to conduct due diligence and obtain (among other things) confirmation of the tax residency, tax identification number and CRS classification of noteholders in order to fulfil its own legal obligations.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40"/>
          </w:cols>
          <w:pgMar w:left="320" w:top="455"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12" w:lineRule="exact"/>
        <w:rPr>
          <w:sz w:val="20"/>
          <w:szCs w:val="20"/>
          <w:color w:val="auto"/>
        </w:rPr>
      </w:pPr>
    </w:p>
    <w:p>
      <w:pPr>
        <w:ind w:left="120" w:right="140" w:firstLine="440"/>
        <w:spacing w:after="0" w:line="242" w:lineRule="auto"/>
        <w:rPr>
          <w:sz w:val="20"/>
          <w:szCs w:val="20"/>
          <w:color w:val="auto"/>
        </w:rPr>
      </w:pPr>
      <w:r>
        <w:rPr>
          <w:rFonts w:ascii="Arial" w:cs="Arial" w:eastAsia="Arial" w:hAnsi="Arial"/>
          <w:sz w:val="18"/>
          <w:szCs w:val="18"/>
          <w:color w:val="auto"/>
        </w:rPr>
        <w:t>The following is a summary of U.S. federal income tax considerations relating to the ownership and disposition of Notes as of the date hereof, and does not purport to be to be a complete analysis of all the potential tax considerations relating thereto. Except where noted, this summary deals only with Notes that are held as capital assets (within the meaning of Section 1221 of the Code (as defined below)) by a beneficial owner who acquired the Notes upon original issuance at their “issue price,” which will equal the first price to the public (not including bond houses, brokers or similar persons or organizations acting in the capacity of underwriters, placement agents or wholesalers) at which a substantial amount of Notes are sold for money.</w:t>
      </w:r>
    </w:p>
    <w:p>
      <w:pPr>
        <w:spacing w:after="0" w:line="179"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For purposes of this summary, a “U.S. Holder” is a beneficial owner of a Note that, for U.S. federal income tax purposes, is: (a) an individual citizen or resident of the United States; (b) a corporation (or other entity treated as a corporation for U.S. federal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85"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17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regulated investment company, a real estate investment trust, an employee stock ownership plan, a controlled foreign corporation, a foreign personal holding company, a passive foreign investment company, a pass-through entity (or an owner of a pass-through entity), a corporation that accumulates earnings to avoid tax, an insurance company, a tax-exempt organization, a former citizen or resident of the United States, a person liable for the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b w:val="1"/>
          <w:bCs w:val="1"/>
          <w:color w:val="auto"/>
        </w:rPr>
        <w:t>If you are considering the purchase of Notes, you should consult your own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Subsidiary</w:t>
      </w:r>
    </w:p>
    <w:p>
      <w:pPr>
        <w:spacing w:after="0" w:line="104"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An assumption of the Company’s obligations as the issuer of the Notes by a subsidiary of the Guarantor may be treated for U.S. federal income tax purposes as a taxable exchange of the Notes for new Notes issued by such subsidiary of the Guarantor. In that event, you may be required to recognize taxable gain or loss for U.S. federal income tax purposes, generally in an amount equal to the difference between be required to the “issue price” of the new Notes and their basis in the old Notes, even though you continue to hold the Notes and receive no distribution in connection with the deemed disposition. Beneficial owners of Notes who are U.S. Holders should consult their tax advisors regarding the non-U.S., U.S. federal, state and local income tax consequences of an assumption of the Company’s obligations as issuer of Notes by a subsidiary of the Guarantor. See “</w:t>
      </w:r>
      <w:r>
        <w:rPr>
          <w:rFonts w:ascii="Arial" w:cs="Arial" w:eastAsia="Arial" w:hAnsi="Arial"/>
          <w:sz w:val="17"/>
          <w:szCs w:val="17"/>
          <w:i w:val="1"/>
          <w:iCs w:val="1"/>
          <w:color w:val="auto"/>
        </w:rPr>
        <w:t>Description of Notes – Assumption by a Subsidiary</w:t>
      </w:r>
      <w:r>
        <w:rPr>
          <w:rFonts w:ascii="Arial" w:cs="Arial" w:eastAsia="Arial" w:hAnsi="Arial"/>
          <w:sz w:val="17"/>
          <w:szCs w:val="17"/>
          <w:color w:val="auto"/>
        </w:rPr>
        <w:t>” for additional information.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04"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Interest on a Note (including Additional Amounts, if any) will generally be taxable to you as ordinary interest income as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accrues or is received by you in accordance with your usual method of accounting for U.S. federal income tax purposes.</w:t>
      </w:r>
    </w:p>
    <w:p>
      <w:pPr>
        <w:spacing w:after="0" w:line="154"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If withholding taxes are imposed in Luxembourg or in another jurisdiction, you will be treated as having actually received an amount equal to the amount of such taxes and as having paid such amount to the relevant taxing authority. As a result, the amount of income included in gross income may be greater than the amount of cash actually received. Subject to certain limitations, you may be entitled to a credit or deduction in respect of income taxes paid to Luxembourg or other non-U.S. country. You should consult your tax advisors concerning the U.S. federal income tax consequences of the imposition of such taxes.</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Interest income (and Additional Amounts, if any) from the Notes generally will constitute foreign-source income, which may be relevant to you in calculating your foreign tax credit limitation. The limitation on foreign taxes eligible for credit is calculated separately with respect to specific classes of income. You should consult your tax advisors regarding the application of the U.S. foreign tax credit rules.</w:t>
      </w:r>
    </w:p>
    <w:p>
      <w:pPr>
        <w:spacing w:after="0" w:line="152"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b w:val="1"/>
          <w:bCs w:val="1"/>
          <w:i w:val="1"/>
          <w:iCs w:val="1"/>
          <w:color w:val="auto"/>
        </w:rPr>
        <w:t xml:space="preserve">Sale, Exchange or Other Taxable Dispositions of Notes. </w:t>
      </w:r>
      <w:r>
        <w:rPr>
          <w:rFonts w:ascii="Arial" w:cs="Arial" w:eastAsia="Arial" w:hAnsi="Arial"/>
          <w:sz w:val="18"/>
          <w:szCs w:val="18"/>
          <w:color w:val="auto"/>
        </w:rPr>
        <w:t>If you are a U.S. Holder, upon the sale, exchange, redemption,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or other taxable 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w:t>
      </w:r>
    </w:p>
    <w:p>
      <w:pPr>
        <w:spacing w:after="0" w:line="179"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 Accordingly, if Luxembourg or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another non-U.S. jurisdiction imposes a withholding tax on the sale or disposition of the Notes, you may not be able to fully utilize its U.S. foreign tax credits in respect of such withholding tax unless you have other foreign source income. You should consult your tax advisors as to the U.S. federal income tax and foreign tax credit implications of such sale, redemption, retirement or other disposition of a Note.</w:t>
      </w:r>
    </w:p>
    <w:p>
      <w:pPr>
        <w:spacing w:after="0" w:line="16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b w:val="1"/>
          <w:bCs w:val="1"/>
          <w:i w:val="1"/>
          <w:iCs w:val="1"/>
          <w:color w:val="auto"/>
        </w:rPr>
        <w:t xml:space="preserve">Additional Tax on Net Investment Income. </w:t>
      </w:r>
      <w:r>
        <w:rPr>
          <w:rFonts w:ascii="Arial" w:cs="Arial" w:eastAsia="Arial" w:hAnsi="Arial"/>
          <w:sz w:val="18"/>
          <w:szCs w:val="18"/>
          <w:color w:val="auto"/>
        </w:rPr>
        <w:t>U.S. persons that are individuals, estates, or certain trusts are generally subject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3.8% tax on the 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recognized by such beneficial owner with respect to the Notes, unless such income or gain is derived in the ordinary course of the conduct of such beneficial owner’s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80"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b w:val="1"/>
          <w:bCs w:val="1"/>
          <w:i w:val="1"/>
          <w:iCs w:val="1"/>
          <w:color w:val="auto"/>
        </w:rPr>
        <w:t xml:space="preserve">Information With Respect to Foreign Financial Assets. </w:t>
      </w:r>
      <w:r>
        <w:rPr>
          <w:rFonts w:ascii="Arial" w:cs="Arial" w:eastAsia="Arial" w:hAnsi="Arial"/>
          <w:sz w:val="18"/>
          <w:szCs w:val="18"/>
          <w:color w:val="auto"/>
        </w:rPr>
        <w:t>A U.S. Holder that holds certain foreign financial assets (which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the Notes) other than in an account at a financial institution may be required to report information relating to such assets to the IRS. Failure to report such information, if required, may result in substantial penalties. You should consult your tax advisor regarding the application of these rules to your ownership of the Notes.</w:t>
      </w:r>
    </w:p>
    <w:p>
      <w:pPr>
        <w:spacing w:after="0" w:line="17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U.S. federal backup withholding will apply to interest on the Notes and proceeds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sale or other disposition of the Notes unless (a) you are an exempt recipient and, when required, demonstrate this fact, (b) you provide a correct taxpayer identification number and otherwise comply with applicable requirements of the backup withholding rules, or</w:t>
      </w:r>
    </w:p>
    <w:p>
      <w:pPr>
        <w:spacing w:after="0" w:line="2" w:lineRule="exact"/>
        <w:rPr>
          <w:sz w:val="20"/>
          <w:szCs w:val="20"/>
          <w:color w:val="auto"/>
        </w:rPr>
      </w:pPr>
    </w:p>
    <w:p>
      <w:pPr>
        <w:ind w:left="120" w:right="260" w:hanging="4"/>
        <w:spacing w:after="0" w:line="242"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certain circumstances, you certify under penalty of perjury that you are not subject to backup withholding. The backup withholding rate is currently 24%. A U.S. Holder who does not provide a correct taxpayer identification number may also be subject to penalties imposed by the IRS.</w:t>
      </w:r>
    </w:p>
    <w:p>
      <w:pPr>
        <w:spacing w:after="0" w:line="179" w:lineRule="exact"/>
        <w:rPr>
          <w:sz w:val="20"/>
          <w:szCs w:val="20"/>
          <w:color w:val="auto"/>
        </w:rPr>
      </w:pPr>
    </w:p>
    <w:p>
      <w:pPr>
        <w:jc w:val="both"/>
        <w:ind w:left="120" w:right="260" w:firstLine="440"/>
        <w:spacing w:after="0" w:line="25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credit against your U.S. federal income tax liability and may entitle you to a refund, provided the required information is timely furnished to the IRS.</w:t>
      </w:r>
    </w:p>
    <w:p>
      <w:pPr>
        <w:spacing w:after="0" w:line="169"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color w:val="auto"/>
        </w:rPr>
        <w:t>You will also be subject to information reporting on interest on the Notes and proceeds from the sale or other disposition of the Notes, unless you are an exempt recipient and appropriately establish that exemption.</w:t>
      </w:r>
    </w:p>
    <w:p>
      <w:pPr>
        <w:spacing w:after="0" w:line="154" w:lineRule="exact"/>
        <w:rPr>
          <w:sz w:val="20"/>
          <w:szCs w:val="20"/>
          <w:color w:val="auto"/>
        </w:rPr>
      </w:pPr>
    </w:p>
    <w:p>
      <w:pPr>
        <w:jc w:val="both"/>
        <w:ind w:left="120" w:right="180" w:firstLine="440"/>
        <w:spacing w:after="0" w:line="250" w:lineRule="auto"/>
        <w:rPr>
          <w:sz w:val="20"/>
          <w:szCs w:val="20"/>
          <w:color w:val="auto"/>
        </w:rPr>
      </w:pPr>
      <w:r>
        <w:rPr>
          <w:rFonts w:ascii="Arial" w:cs="Arial" w:eastAsia="Arial" w:hAnsi="Arial"/>
          <w:sz w:val="18"/>
          <w:szCs w:val="18"/>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foreign, state, local or other tax laws, and of any pending or subsequent changes in applicable laws.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 (CONFLICTS OF INTEREST)</w:t>
      </w:r>
    </w:p>
    <w:p>
      <w:pPr>
        <w:spacing w:after="0" w:line="212" w:lineRule="exact"/>
        <w:rPr>
          <w:sz w:val="20"/>
          <w:szCs w:val="20"/>
          <w:color w:val="auto"/>
        </w:rPr>
      </w:pPr>
    </w:p>
    <w:p>
      <w:pPr>
        <w:ind w:left="120" w:right="260" w:firstLine="440"/>
        <w:spacing w:after="0" w:line="247" w:lineRule="auto"/>
        <w:rPr>
          <w:sz w:val="20"/>
          <w:szCs w:val="20"/>
          <w:color w:val="auto"/>
        </w:rPr>
      </w:pPr>
      <w:r>
        <w:rPr>
          <w:rFonts w:ascii="Arial" w:cs="Arial" w:eastAsia="Arial" w:hAnsi="Arial"/>
          <w:sz w:val="18"/>
          <w:szCs w:val="18"/>
          <w:color w:val="auto"/>
        </w:rPr>
        <w:t>Subject to the terms and conditions contained in an underwriting agreement, dated as of the date of this prospectus supplement among us, the Guarantor and the underwriters named below, for whom BofA Securities, Inc., Deutsche Bank Securities Inc. and MUFG Securities Americas Inc. are acting as representatives, we have agreed to sell to each underwriter, and each underwriter has severally agreed to purchase from us, the principal amount of Notes that appears opposite its name in the table below:</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980" w:type="dxa"/>
            <w:vAlign w:val="bottom"/>
          </w:tcPr>
          <w:p>
            <w:pPr>
              <w:spacing w:after="0"/>
              <w:rPr>
                <w:sz w:val="14"/>
                <w:szCs w:val="1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2"/>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080" w:type="dxa"/>
            <w:vAlign w:val="bottom"/>
          </w:tcPr>
          <w:p>
            <w:pPr>
              <w:spacing w:after="0"/>
              <w:rPr>
                <w:sz w:val="20"/>
                <w:szCs w:val="20"/>
                <w:color w:val="auto"/>
              </w:rPr>
            </w:pPr>
            <w:r>
              <w:rPr>
                <w:rFonts w:ascii="Arial" w:cs="Arial" w:eastAsia="Arial" w:hAnsi="Arial"/>
                <w:sz w:val="14"/>
                <w:szCs w:val="14"/>
                <w:b w:val="1"/>
                <w:bCs w:val="1"/>
                <w:color w:val="auto"/>
              </w:rPr>
              <w:t>Amount of 2028</w:t>
            </w:r>
          </w:p>
        </w:tc>
        <w:tc>
          <w:tcPr>
            <w:tcW w:w="9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Amount of 2033</w:t>
            </w:r>
          </w:p>
        </w:tc>
        <w:tc>
          <w:tcPr>
            <w:tcW w:w="0" w:type="dxa"/>
            <w:vAlign w:val="bottom"/>
          </w:tcPr>
          <w:p>
            <w:pPr>
              <w:spacing w:after="0"/>
              <w:rPr>
                <w:sz w:val="1"/>
                <w:szCs w:val="1"/>
                <w:color w:val="auto"/>
              </w:rPr>
            </w:pPr>
          </w:p>
        </w:tc>
      </w:tr>
      <w:tr>
        <w:trPr>
          <w:trHeight w:val="158"/>
        </w:trPr>
        <w:tc>
          <w:tcPr>
            <w:tcW w:w="5180" w:type="dxa"/>
            <w:vAlign w:val="bottom"/>
            <w:gridSpan w:val="2"/>
            <w:vMerge w:val="continue"/>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Notes</w:t>
            </w:r>
          </w:p>
        </w:tc>
        <w:tc>
          <w:tcPr>
            <w:tcW w:w="980" w:type="dxa"/>
            <w:vAlign w:val="bottom"/>
          </w:tcPr>
          <w:p>
            <w:pPr>
              <w:spacing w:after="0"/>
              <w:rPr>
                <w:sz w:val="13"/>
                <w:szCs w:val="13"/>
                <w:color w:val="auto"/>
              </w:rPr>
            </w:pPr>
          </w:p>
        </w:tc>
        <w:tc>
          <w:tcPr>
            <w:tcW w:w="11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BofA Securities, Inc.</w:t>
            </w:r>
          </w:p>
        </w:tc>
        <w:tc>
          <w:tcPr>
            <w:tcW w:w="1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Deutsche Bank Securities Inc.</w:t>
            </w: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MUFG Securities Americas Inc.</w:t>
            </w:r>
          </w:p>
        </w:tc>
        <w:tc>
          <w:tcPr>
            <w:tcW w:w="1080" w:type="dxa"/>
            <w:vAlign w:val="bottom"/>
            <w:tcBorders>
              <w:bottom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7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7"/>
          <w:szCs w:val="17"/>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w:t>
      </w:r>
    </w:p>
    <w:p>
      <w:pPr>
        <w:spacing w:after="0" w:line="1"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concession not in excess of % of the principal amount of the Notes. Any underwriter may allow, and any such dealer may reallow, a concession not in excess of % of the principal amount of the Notes to certain other dealers. After the initial offering of</w:t>
      </w:r>
    </w:p>
    <w:p>
      <w:pPr>
        <w:spacing w:after="0" w:line="1" w:lineRule="exact"/>
        <w:rPr>
          <w:sz w:val="20"/>
          <w:szCs w:val="20"/>
          <w:color w:val="auto"/>
        </w:rPr>
      </w:pPr>
    </w:p>
    <w:p>
      <w:pPr>
        <w:ind w:left="120" w:right="400"/>
        <w:spacing w:after="0" w:line="250" w:lineRule="auto"/>
        <w:rPr>
          <w:sz w:val="20"/>
          <w:szCs w:val="20"/>
          <w:color w:val="auto"/>
        </w:rPr>
      </w:pPr>
      <w:r>
        <w:rPr>
          <w:rFonts w:ascii="Arial" w:cs="Arial" w:eastAsia="Arial" w:hAnsi="Arial"/>
          <w:sz w:val="18"/>
          <w:szCs w:val="18"/>
          <w:color w:val="auto"/>
        </w:rPr>
        <w:t>the Notes, the underwriters may from time to time vary the offering prices and other selling terms. The underwriters may offer and sell Notes through certain of their affiliates.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the offering of the Notes: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by Us</w:t>
            </w: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2028 Note</w:t>
            </w:r>
          </w:p>
        </w:tc>
        <w:tc>
          <w:tcPr>
            <w:tcW w:w="76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660" w:type="dxa"/>
            <w:vAlign w:val="bottom"/>
          </w:tcPr>
          <w:p>
            <w:pPr>
              <w:ind w:left="360"/>
              <w:spacing w:after="0" w:line="202" w:lineRule="exact"/>
              <w:rPr>
                <w:sz w:val="20"/>
                <w:szCs w:val="20"/>
                <w:color w:val="auto"/>
              </w:rPr>
            </w:pPr>
            <w:r>
              <w:rPr>
                <w:rFonts w:ascii="Arial" w:cs="Arial" w:eastAsia="Arial" w:hAnsi="Arial"/>
                <w:sz w:val="18"/>
                <w:szCs w:val="18"/>
                <w:color w:val="auto"/>
              </w:rPr>
              <w:t>2028 Notes Total</w:t>
            </w:r>
          </w:p>
        </w:tc>
        <w:tc>
          <w:tcPr>
            <w:tcW w:w="7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2033 Note</w:t>
            </w:r>
          </w:p>
        </w:tc>
        <w:tc>
          <w:tcPr>
            <w:tcW w:w="8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r>
      <w:tr>
        <w:trPr>
          <w:trHeight w:val="239"/>
        </w:trPr>
        <w:tc>
          <w:tcPr>
            <w:tcW w:w="6660" w:type="dxa"/>
            <w:vAlign w:val="bottom"/>
          </w:tcPr>
          <w:p>
            <w:pPr>
              <w:ind w:left="360"/>
              <w:spacing w:after="0"/>
              <w:rPr>
                <w:sz w:val="20"/>
                <w:szCs w:val="20"/>
                <w:color w:val="auto"/>
              </w:rPr>
            </w:pPr>
            <w:r>
              <w:rPr>
                <w:rFonts w:ascii="Arial" w:cs="Arial" w:eastAsia="Arial" w:hAnsi="Arial"/>
                <w:sz w:val="18"/>
                <w:szCs w:val="18"/>
                <w:color w:val="auto"/>
              </w:rPr>
              <w:t>2033 Notes Total</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61"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Expenses associated with this offering to be paid by us, other than underwriting discounts, are estimated to be approximately U.S.$1.8 million.</w:t>
      </w:r>
    </w:p>
    <w:p>
      <w:pPr>
        <w:spacing w:after="0" w:line="15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15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Notes are new issues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7"/>
          <w:szCs w:val="17"/>
          <w:color w:val="auto"/>
        </w:rPr>
        <w:t>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31"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210"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Securities Act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Notes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400" w:firstLine="440"/>
        <w:spacing w:after="0" w:line="271"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10"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5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89"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This prospectus supplement is for distribution only to persons who (i) have professional experience in matters relating to investments and who qualify as investment professionals within the meaning of Article 19 (5)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Luxembourg</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terms and conditions relating to this prospectus supplement have not been approved by and will not be submitted for approval to the Luxembourg Financial Services Authority (Commission de Surveillance du Secteur Financier)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0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0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7"/>
          <w:szCs w:val="17"/>
          <w:color w:val="auto"/>
        </w:rPr>
        <w:t>The Notes have not and may not be offered or sold in Hong Kong by means of any document other than (i) to “professional investors” as defined in the Securities and Futures Ordinance (Cap.571, Laws of Hong Kong) (“SFO”) and any rules made thereunder, or</w:t>
      </w:r>
    </w:p>
    <w:p>
      <w:pPr>
        <w:spacing w:after="0" w:line="1" w:lineRule="exact"/>
        <w:rPr>
          <w:sz w:val="20"/>
          <w:szCs w:val="20"/>
          <w:color w:val="auto"/>
        </w:rPr>
      </w:pPr>
    </w:p>
    <w:p>
      <w:pPr>
        <w:ind w:left="120" w:hanging="4"/>
        <w:spacing w:after="0" w:line="237" w:lineRule="auto"/>
        <w:tabs>
          <w:tab w:leader="none" w:pos="3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(Cap.32, Laws of Hong Kong) or which do not constitute an offer to the public within the meaning of that Ordinance, and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0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7"/>
          <w:szCs w:val="17"/>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0" w:lineRule="exact"/>
        <w:rPr>
          <w:sz w:val="20"/>
          <w:szCs w:val="20"/>
          <w:color w:val="auto"/>
        </w:rPr>
      </w:pPr>
    </w:p>
    <w:p>
      <w:pPr>
        <w:jc w:val="both"/>
        <w:ind w:left="120" w:right="100" w:firstLine="440"/>
        <w:spacing w:after="0" w:line="253"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transferable for six months after that corporation or that trust has acquired the Notes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w:t>
      </w:r>
    </w:p>
    <w:p>
      <w:pPr>
        <w:spacing w:after="0" w:line="14" w:lineRule="exact"/>
        <w:rPr>
          <w:sz w:val="20"/>
          <w:szCs w:val="20"/>
          <w:color w:val="auto"/>
        </w:rPr>
      </w:pPr>
    </w:p>
    <w:p>
      <w:pPr>
        <w:ind w:left="120" w:hanging="4"/>
        <w:spacing w:after="0" w:line="239" w:lineRule="auto"/>
        <w:tabs>
          <w:tab w:leader="none" w:pos="3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and 309B(1 )(c)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Taiwan</w:t>
      </w:r>
    </w:p>
    <w:p>
      <w:pPr>
        <w:spacing w:after="0" w:line="102"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This prospectus supplement and the accompanying prospectus have not been approved by or filed with the Central Bank of the United Arab Emirates, the Securities Commodities Authority, the Financial Services Regulatory Authority or the Dubai Financial Services Authority.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and Sale of the Notes</w:t>
      </w:r>
    </w:p>
    <w:p>
      <w:pPr>
        <w:spacing w:after="0" w:line="104"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last paragraph of the cover page of this prospectus supplement, which will be the fifth business day following the date of the pricing of the Notes. Since trades in the secondary market generally settle in two business days, purchasers who wish to trade Notes on the date of pricing or the next three succeeding business days will be required, by virtue of the fact that the Notes initially will settle in T+5, to specify alternative settlement arrangements to prevent a failed settlement.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04"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Certain affiliates of the underwriters may be holders of our 2023 notes or commercial paper. As a result of the anticipated use of proceeds here, one or more affiliates of the underwriter may receive a portion of the net proceeds from the offering of the Notes offered hereby in the form of the repayment of indebtedness. Accordingly, the offering of the Notes is being made pursuant to Rule 5121 of the Financial Industry Regulatory Authority, Inc. Pursuant to this rule, the appointment of a qualified independent underwriter is not necessary in connection with this offering, because the conditions of Rule 5121(a)(1)(C) are satisfied.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0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5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04" w:lineRule="exact"/>
        <w:rPr>
          <w:sz w:val="20"/>
          <w:szCs w:val="20"/>
          <w:color w:val="auto"/>
        </w:rPr>
      </w:pPr>
    </w:p>
    <w:p>
      <w:pPr>
        <w:ind w:left="120" w:right="300" w:firstLine="440"/>
        <w:spacing w:after="0" w:line="253" w:lineRule="auto"/>
        <w:rPr>
          <w:sz w:val="20"/>
          <w:szCs w:val="20"/>
          <w:color w:val="auto"/>
        </w:rPr>
      </w:pPr>
      <w:r>
        <w:rPr>
          <w:rFonts w:ascii="Arial" w:cs="Arial" w:eastAsia="Arial" w:hAnsi="Arial"/>
          <w:sz w:val="18"/>
          <w:szCs w:val="18"/>
          <w:color w:val="auto"/>
        </w:rPr>
        <w:t>Certain legal matters in connection with the notes and guarantees offered hereby will be passed upon for us by Gibson, Dunn &amp; Crutcher LLP, New York, New York, Loyens &amp; Loeff Luxembourg SARL, Luxembourg, and STvB Advocaten (Europe) N.V., Amsterdam, The Netherlands, and for the underwriters by Davis Polk &amp; Wardwell LLP, New York, New York.</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9" w:lineRule="exact"/>
        <w:rPr>
          <w:sz w:val="20"/>
          <w:szCs w:val="20"/>
          <w:color w:val="auto"/>
        </w:rPr>
      </w:pPr>
    </w:p>
    <w:p>
      <w:pPr>
        <w:ind w:left="120" w:right="260" w:firstLine="440"/>
        <w:spacing w:after="0" w:line="253" w:lineRule="auto"/>
        <w:rPr>
          <w:sz w:val="20"/>
          <w:szCs w:val="20"/>
          <w:color w:val="auto"/>
        </w:rPr>
      </w:pPr>
      <w:r>
        <w:rPr>
          <w:rFonts w:ascii="Arial" w:cs="Arial" w:eastAsia="Arial" w:hAnsi="Arial"/>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17th Floor, Houston, Texas 77056.</w:t>
      </w:r>
    </w:p>
    <w:p>
      <w:pPr>
        <w:spacing w:after="0" w:line="169" w:lineRule="exact"/>
        <w:rPr>
          <w:sz w:val="20"/>
          <w:szCs w:val="20"/>
          <w:color w:val="auto"/>
        </w:rPr>
      </w:pPr>
    </w:p>
    <w:p>
      <w:pPr>
        <w:jc w:val="both"/>
        <w:ind w:left="120" w:right="240" w:firstLine="440"/>
        <w:spacing w:after="0" w:line="253" w:lineRule="auto"/>
        <w:rPr>
          <w:sz w:val="20"/>
          <w:szCs w:val="20"/>
          <w:color w:val="auto"/>
        </w:rPr>
      </w:pPr>
      <w:r>
        <w:rPr>
          <w:rFonts w:ascii="Arial" w:cs="Arial" w:eastAsia="Arial" w:hAnsi="Arial"/>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12"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SLB Group and its financial condition, business and results.</w:t>
      </w:r>
    </w:p>
    <w:p>
      <w:pPr>
        <w:spacing w:after="0" w:line="179"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We are incorporating by reference into this prospectus supplement and the accompanying prospectus the following documents listed below and any other filings made by the Guarantor under Section 13(a), 13(c), 14 or 15(d) of the Exchange Act on or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82" w:lineRule="exact"/>
        <w:rPr>
          <w:sz w:val="20"/>
          <w:szCs w:val="20"/>
          <w:color w:val="auto"/>
        </w:rPr>
      </w:pPr>
    </w:p>
    <w:p>
      <w:pPr>
        <w:ind w:left="1080" w:hanging="424"/>
        <w:spacing w:after="0" w:line="25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Guarantor’s </w:t>
      </w:r>
      <w:hyperlink r:id="rId62">
        <w:r>
          <w:rPr>
            <w:rFonts w:ascii="Arial" w:cs="Arial" w:eastAsia="Arial" w:hAnsi="Arial"/>
            <w:sz w:val="18"/>
            <w:szCs w:val="18"/>
            <w:u w:val="single" w:color="auto"/>
            <w:color w:val="0000EE"/>
          </w:rPr>
          <w:t>Annual Report on Form 10-K for the fiscal year ended December 31, 2022</w:t>
        </w:r>
      </w:hyperlink>
      <w:r>
        <w:rPr>
          <w:rFonts w:ascii="Arial" w:cs="Arial" w:eastAsia="Arial" w:hAnsi="Arial"/>
          <w:sz w:val="18"/>
          <w:szCs w:val="18"/>
          <w:color w:val="auto"/>
        </w:rPr>
        <w:t xml:space="preserve">, as filed with the SEC on January 25, 2023 (including the </w:t>
      </w:r>
      <w:hyperlink r:id="rId63">
        <w:r>
          <w:rPr>
            <w:rFonts w:ascii="Arial" w:cs="Arial" w:eastAsia="Arial" w:hAnsi="Arial"/>
            <w:sz w:val="18"/>
            <w:szCs w:val="18"/>
            <w:u w:val="single" w:color="auto"/>
            <w:color w:val="0000EE"/>
          </w:rPr>
          <w:t>portions of our proxy statement for our 2023 annual meeting of shareholders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incorporated by reference therein);</w:t>
      </w:r>
    </w:p>
    <w:p>
      <w:pPr>
        <w:spacing w:after="0" w:line="10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Guarantor’s Quarterly Report on </w:t>
      </w:r>
      <w:hyperlink r:id="rId6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2023, as filed with the SEC on April 26, 2023; and</w:t>
      </w:r>
    </w:p>
    <w:p>
      <w:pPr>
        <w:spacing w:after="0" w:line="5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Guarantor’s Current Reports on Form 8-K as filed with the SEC on </w:t>
      </w:r>
      <w:hyperlink r:id="rId66">
        <w:r>
          <w:rPr>
            <w:rFonts w:ascii="Arial" w:cs="Arial" w:eastAsia="Arial" w:hAnsi="Arial"/>
            <w:sz w:val="18"/>
            <w:szCs w:val="18"/>
            <w:u w:val="single" w:color="auto"/>
            <w:color w:val="0000EE"/>
          </w:rPr>
          <w:t>April 6, 2023</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xml:space="preserve">, and </w:t>
      </w:r>
      <w:hyperlink r:id="rId68">
        <w:r>
          <w:rPr>
            <w:rFonts w:ascii="Arial" w:cs="Arial" w:eastAsia="Arial" w:hAnsi="Arial"/>
            <w:sz w:val="18"/>
            <w:szCs w:val="18"/>
            <w:u w:val="single" w:color="auto"/>
            <w:color w:val="0000EE"/>
          </w:rPr>
          <w:t>April 21,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(Items 5.03 and 5.05 only).</w:t>
      </w:r>
    </w:p>
    <w:p>
      <w:pPr>
        <w:spacing w:after="0" w:line="154" w:lineRule="exact"/>
        <w:rPr>
          <w:rFonts w:ascii="Arial" w:cs="Arial" w:eastAsia="Arial" w:hAnsi="Arial"/>
          <w:sz w:val="18"/>
          <w:szCs w:val="18"/>
          <w:color w:val="auto"/>
        </w:rPr>
      </w:pPr>
    </w:p>
    <w:p>
      <w:pPr>
        <w:ind w:left="120" w:right="100" w:firstLine="440"/>
        <w:spacing w:after="0"/>
        <w:rPr>
          <w:sz w:val="20"/>
          <w:szCs w:val="20"/>
          <w:color w:val="auto"/>
        </w:rPr>
      </w:pPr>
      <w:r>
        <w:rPr>
          <w:rFonts w:ascii="Arial" w:cs="Arial" w:eastAsia="Arial" w:hAnsi="Arial"/>
          <w:sz w:val="18"/>
          <w:szCs w:val="18"/>
          <w:color w:val="auto"/>
        </w:rPr>
        <w:t>Any statement contained in this prospectus supplement and accompanying prospectus or in a document incorporated or deemed to be incorporated by reference in this prospectus supplement and accompanying prospectus will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will be deemed, except as so modified or superseded, to constitute a part of this prospectus supplement and accompanying prospectus.</w:t>
      </w:r>
    </w:p>
    <w:p>
      <w:pPr>
        <w:spacing w:after="0" w:line="185" w:lineRule="exact"/>
        <w:rPr>
          <w:rFonts w:ascii="Arial" w:cs="Arial" w:eastAsia="Arial" w:hAnsi="Arial"/>
          <w:sz w:val="18"/>
          <w:szCs w:val="18"/>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69" w:lineRule="exact"/>
        <w:rPr>
          <w:rFonts w:ascii="Arial" w:cs="Arial" w:eastAsia="Arial" w:hAnsi="Arial"/>
          <w:sz w:val="18"/>
          <w:szCs w:val="18"/>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6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Schlumberger Limited</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5599 San Felipe</w:t>
      </w:r>
    </w:p>
    <w:p>
      <w:pPr>
        <w:jc w:val="center"/>
        <w:ind w:right="-139"/>
        <w:spacing w:after="0" w:line="234" w:lineRule="auto"/>
        <w:rPr>
          <w:sz w:val="20"/>
          <w:szCs w:val="20"/>
          <w:color w:val="auto"/>
        </w:rPr>
      </w:pPr>
      <w:r>
        <w:rPr>
          <w:rFonts w:ascii="Arial" w:cs="Arial" w:eastAsia="Arial" w:hAnsi="Arial"/>
          <w:sz w:val="18"/>
          <w:szCs w:val="18"/>
          <w:color w:val="auto"/>
        </w:rPr>
        <w:t>Houston, Texas 77056</w:t>
      </w:r>
    </w:p>
    <w:p>
      <w:pPr>
        <w:ind w:left="5480" w:hanging="471"/>
        <w:spacing w:after="0" w:line="235" w:lineRule="auto"/>
        <w:tabs>
          <w:tab w:leader="none" w:pos="5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375-3535</w:t>
      </w:r>
    </w:p>
    <w:p>
      <w:pPr>
        <w:ind w:left="45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94" w:lineRule="exact"/>
        <w:rPr>
          <w:rFonts w:ascii="Arial" w:cs="Arial" w:eastAsia="Arial" w:hAnsi="Arial"/>
          <w:sz w:val="18"/>
          <w:szCs w:val="18"/>
          <w:color w:val="auto"/>
        </w:rPr>
      </w:pPr>
    </w:p>
    <w:p>
      <w:pPr>
        <w:ind w:left="120" w:right="780" w:firstLine="440"/>
        <w:spacing w:after="0" w:line="271"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 supplement and accompanying prospectus.</w:t>
      </w:r>
    </w:p>
    <w:p>
      <w:pPr>
        <w:spacing w:after="0" w:line="86"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163195</wp:posOffset>
            </wp:positionV>
            <wp:extent cx="1225550" cy="737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2255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Investment S.A.</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Schlumberger Investment S.A.,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and existing under the laws of the Grand Duchy of Luxembourg, having its registered office located at 5, Place de la Gare, L-1616 Luxembourg, Grand Duchy of Luxembourg, and registered with the Luxembourg Trade and Companies Register (</w:t>
      </w:r>
      <w:r>
        <w:rPr>
          <w:rFonts w:ascii="Arial" w:cs="Arial" w:eastAsia="Arial" w:hAnsi="Arial"/>
          <w:sz w:val="18"/>
          <w:szCs w:val="18"/>
          <w:i w:val="1"/>
          <w:iCs w:val="1"/>
          <w:color w:val="auto"/>
        </w:rPr>
        <w:t>Registre de Commerce et des Sociétés</w:t>
      </w:r>
      <w:r>
        <w:rPr>
          <w:rFonts w:ascii="Arial" w:cs="Arial" w:eastAsia="Arial" w:hAnsi="Arial"/>
          <w:sz w:val="18"/>
          <w:szCs w:val="18"/>
          <w:color w:val="auto"/>
        </w:rPr>
        <w:t>) under number B 163.122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71"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22"/>
          <w:szCs w:val="22"/>
          <w:b w:val="1"/>
          <w:bCs w:val="1"/>
          <w:color w:val="auto"/>
        </w:rPr>
        <w:t>Investing in the securities involves risks. You should carefully consider the information in the “</w:t>
      </w:r>
      <w:r>
        <w:rPr>
          <w:rFonts w:ascii="Arial" w:cs="Arial" w:eastAsia="Arial" w:hAnsi="Arial"/>
          <w:sz w:val="22"/>
          <w:szCs w:val="22"/>
          <w:b w:val="1"/>
          <w:bCs w:val="1"/>
          <w:u w:val="single" w:color="auto"/>
          <w:color w:val="0000EE"/>
        </w:rPr>
        <w:t>Risk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0000EE"/>
        </w:rPr>
        <w:t>Factors</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 section beginning on page 5 of this prospectus, including those risks incorporated by reference</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in this prospectus and in any prospectus supplement, before deciding whether to invest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6" w:lineRule="exact"/>
        <w:rPr>
          <w:sz w:val="20"/>
          <w:szCs w:val="20"/>
          <w:color w:val="auto"/>
        </w:rPr>
      </w:pPr>
    </w:p>
    <w:p>
      <w:pPr>
        <w:ind w:left="120" w:firstLine="440"/>
        <w:spacing w:after="0" w:line="309"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153670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May 8, 2023</w:t>
      </w:r>
    </w:p>
    <w:p>
      <w:pPr>
        <w:sectPr>
          <w:pgSz w:w="11900" w:h="16838" w:orient="portrait"/>
          <w:cols w:equalWidth="0" w:num="1">
            <w:col w:w="11100"/>
          </w:cols>
          <w:pgMar w:left="320" w:top="455" w:right="4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6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2"/>
          </w:tcPr>
          <w:p>
            <w:pPr>
              <w:ind w:left="14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8500" w:type="dxa"/>
            <w:vAlign w:val="bottom"/>
            <w:gridSpan w:val="14"/>
          </w:tcPr>
          <w:p>
            <w:pPr>
              <w:spacing w:after="0"/>
              <w:rPr>
                <w:sz w:val="20"/>
                <w:szCs w:val="20"/>
                <w:color w:val="auto"/>
              </w:rPr>
            </w:pPr>
            <w:r>
              <w:rPr>
                <w:rFonts w:ascii="Arial" w:cs="Arial" w:eastAsia="Arial" w:hAnsi="Arial"/>
                <w:sz w:val="18"/>
                <w:szCs w:val="18"/>
                <w:color w:val="0000EE"/>
              </w:rPr>
              <w:t>About this Prospectus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About the Guarantor</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6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About the Company</w:t>
            </w:r>
          </w:p>
        </w:tc>
        <w:tc>
          <w:tcPr>
            <w:tcW w:w="28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5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89"/>
              </w:rPr>
              <w:t>Cautionary Statement</w:t>
            </w:r>
          </w:p>
        </w:tc>
        <w:tc>
          <w:tcPr>
            <w:tcW w:w="6920" w:type="dxa"/>
            <w:vAlign w:val="bottom"/>
            <w:gridSpan w:val="8"/>
          </w:tcPr>
          <w:p>
            <w:pPr>
              <w:ind w:left="200"/>
              <w:spacing w:after="0" w:line="182" w:lineRule="exact"/>
              <w:rPr>
                <w:sz w:val="20"/>
                <w:szCs w:val="20"/>
                <w:color w:val="auto"/>
              </w:rPr>
            </w:pPr>
            <w:r>
              <w:rPr>
                <w:rFonts w:ascii="Arial" w:cs="Arial" w:eastAsia="Arial" w:hAnsi="Arial"/>
                <w:sz w:val="18"/>
                <w:szCs w:val="18"/>
                <w:color w:val="0000EE"/>
              </w:rPr>
              <w:t>Regarding Forward-Looking Statements</w:t>
            </w: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9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Risk Factors</w:t>
            </w: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Where You</w:t>
            </w:r>
          </w:p>
        </w:tc>
        <w:tc>
          <w:tcPr>
            <w:tcW w:w="7500" w:type="dxa"/>
            <w:vAlign w:val="bottom"/>
            <w:gridSpan w:val="12"/>
          </w:tcPr>
          <w:p>
            <w:pPr>
              <w:spacing w:after="0" w:line="182" w:lineRule="exact"/>
              <w:rPr>
                <w:sz w:val="20"/>
                <w:szCs w:val="20"/>
                <w:color w:val="auto"/>
              </w:rPr>
            </w:pPr>
            <w:r>
              <w:rPr>
                <w:rFonts w:ascii="Arial" w:cs="Arial" w:eastAsia="Arial" w:hAnsi="Arial"/>
                <w:sz w:val="18"/>
                <w:szCs w:val="18"/>
                <w:color w:val="0000EE"/>
              </w:rPr>
              <w:t>Can Find More Information</w:t>
            </w: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Incorporation of Documents by Reference</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3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Use of Proceeds</w:t>
            </w:r>
          </w:p>
        </w:tc>
        <w:tc>
          <w:tcPr>
            <w:tcW w:w="5180" w:type="dxa"/>
            <w:vAlign w:val="bottom"/>
            <w:gridSpan w:val="2"/>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Description of Debt Securities</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Plan of Distribution</w:t>
            </w:r>
          </w:p>
        </w:tc>
        <w:tc>
          <w:tcPr>
            <w:tcW w:w="6140" w:type="dxa"/>
            <w:vAlign w:val="bottom"/>
            <w:gridSpan w:val="4"/>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60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Validity of the Securities</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90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Experts</w:t>
            </w:r>
          </w:p>
        </w:tc>
        <w:tc>
          <w:tcPr>
            <w:tcW w:w="6600" w:type="dxa"/>
            <w:vAlign w:val="bottom"/>
            <w:gridSpan w:val="5"/>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117"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refers to Schlumberger Investment S.A., as defined on the first page of this prospectus;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“Guarantor” refers to Schlumberger Limited, the ultimate parent of the Company;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“SLB Group” refers to Schlumberger Limited and its consolidated subsidiaries, including the Company; and</w:t>
      </w:r>
    </w:p>
    <w:p>
      <w:pPr>
        <w:spacing w:after="0" w:line="117"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“us” and “our” and similar expressions refer to the SLB Group, including the Company, except when used in connection with “securities,” in which case these terms refer only to the Company.</w:t>
      </w:r>
    </w:p>
    <w:p>
      <w:pPr>
        <w:sectPr>
          <w:pgSz w:w="11900" w:h="16838" w:orient="portrait"/>
          <w:cols w:equalWidth="0" w:num="1">
            <w:col w:w="11080"/>
          </w:cols>
          <w:pgMar w:left="320" w:top="446"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12" w:lineRule="exact"/>
        <w:rPr>
          <w:sz w:val="20"/>
          <w:szCs w:val="20"/>
          <w:color w:val="auto"/>
        </w:rPr>
      </w:pPr>
    </w:p>
    <w:p>
      <w:pPr>
        <w:ind w:left="120" w:right="480" w:firstLine="440"/>
        <w:spacing w:after="0" w:line="271"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 (the “Securities Act”).</w:t>
      </w:r>
    </w:p>
    <w:p>
      <w:pPr>
        <w:spacing w:after="0" w:line="154"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85"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Schlumberger Limited’s financial statements. You can read the registration statement and exhibits on the SEC’s website or at the SEC as described under “Where You Can Find More Information.”</w:t>
      </w: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Guarantor</w:t>
      </w:r>
    </w:p>
    <w:p>
      <w:pPr>
        <w:spacing w:after="0" w:line="21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Schlumberger Limited, together with its subsidiaries, form a global technology company focused on driving energy innovation for a balanced planet. With a global presence in more than 100 countries and employees representing almost twice as many nationalities, the SLB Group works each day on innovating oil and gas, delivering digital at scale, decarbonizing industries, and developing and scaling new energy systems that accelerate the energy transition.</w:t>
      </w:r>
    </w:p>
    <w:p>
      <w:pPr>
        <w:spacing w:after="0" w:line="174" w:lineRule="exact"/>
        <w:rPr>
          <w:sz w:val="20"/>
          <w:szCs w:val="20"/>
          <w:color w:val="auto"/>
        </w:rPr>
      </w:pPr>
    </w:p>
    <w:p>
      <w:pPr>
        <w:ind w:left="120" w:right="440" w:firstLine="440"/>
        <w:spacing w:after="0" w:line="271" w:lineRule="auto"/>
        <w:rPr>
          <w:sz w:val="20"/>
          <w:szCs w:val="20"/>
          <w:color w:val="auto"/>
        </w:rPr>
      </w:pPr>
      <w:r>
        <w:rPr>
          <w:rFonts w:ascii="Arial" w:cs="Arial" w:eastAsia="Arial" w:hAnsi="Arial"/>
          <w:sz w:val="18"/>
          <w:szCs w:val="18"/>
          <w:color w:val="auto"/>
        </w:rPr>
        <w:t>The Guarantor was founded in 1926 and is incorporated under the laws of Curaçao. The Guarantor is the ultimate parent of the Company.</w:t>
      </w:r>
    </w:p>
    <w:p>
      <w:pPr>
        <w:spacing w:after="0" w:line="154" w:lineRule="exact"/>
        <w:rPr>
          <w:sz w:val="20"/>
          <w:szCs w:val="20"/>
          <w:color w:val="auto"/>
        </w:rPr>
      </w:pPr>
    </w:p>
    <w:p>
      <w:pPr>
        <w:ind w:left="120" w:right="840" w:firstLine="440"/>
        <w:spacing w:after="0" w:line="271" w:lineRule="auto"/>
        <w:rPr>
          <w:sz w:val="20"/>
          <w:szCs w:val="20"/>
          <w:color w:val="auto"/>
        </w:rPr>
      </w:pPr>
      <w:r>
        <w:rPr>
          <w:rFonts w:ascii="Arial" w:cs="Arial" w:eastAsia="Arial" w:hAnsi="Arial"/>
          <w:sz w:val="18"/>
          <w:szCs w:val="18"/>
          <w:color w:val="auto"/>
        </w:rPr>
        <w:t>The Guarantor has principal executive offices in Paris, Houston, London and The Hague. The principal U.S. market for the Guarantor’s common stock is the New York Stock Exchange, where it is traded under the symbol “SLB.”</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Company</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Schlumberger Investment S.A. is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in 2011 under the laws of the Grand Duchy of Luxembourg (“Luxembourg”) and registered with the Luxembourg Trade and Companies Register (</w:t>
      </w:r>
      <w:r>
        <w:rPr>
          <w:rFonts w:ascii="Arial" w:cs="Arial" w:eastAsia="Arial" w:hAnsi="Arial"/>
          <w:sz w:val="18"/>
          <w:szCs w:val="18"/>
          <w:i w:val="1"/>
          <w:iCs w:val="1"/>
          <w:color w:val="auto"/>
        </w:rPr>
        <w:t>Registre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 et des Sociétés</w:t>
      </w:r>
      <w:r>
        <w:rPr>
          <w:rFonts w:ascii="Arial" w:cs="Arial" w:eastAsia="Arial" w:hAnsi="Arial"/>
          <w:sz w:val="18"/>
          <w:szCs w:val="18"/>
          <w:color w:val="auto"/>
        </w:rPr>
        <w:t>) under number B 163.122. The Company has no subsidiaries, and its principal activities are debt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group financing. The Company is part of the SLB Group and all shares of the Company are owned indirectly by the Guarantor.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79"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82" w:lineRule="exact"/>
        <w:rPr>
          <w:sz w:val="20"/>
          <w:szCs w:val="20"/>
          <w:color w:val="auto"/>
        </w:rPr>
      </w:pPr>
    </w:p>
    <w:p>
      <w:pPr>
        <w:ind w:left="1080" w:right="580" w:hanging="424"/>
        <w:spacing w:after="0" w:line="271"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SLB Group’s financial and performance targets and other forecasts or expectations regarding, or dependent on, its business outlook;</w:t>
      </w:r>
    </w:p>
    <w:p>
      <w:pPr>
        <w:spacing w:after="0" w:line="59"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growth for the SLB Group as a whole and for each of its Divisions (and for specified business lines, geographic areas or technologies within each Division);</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forecasts or expectations regarding energy transition and global climate change;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expenditures by the SLB Group and the oil and gas industry;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business strategies of the SLB Group, including digital and “fit for basin,” as well as the strategies of its customers;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SLB Group’s effective tax rate;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SLB Group’s Asset Performance Solutions projects, joint ventures, and other alliances;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SLB Group’s response to the COVID-19 pandemic and its preparedness for other widespread health emergencies;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the ongoing conflict in Ukraine on global energy supply;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access to raw materials;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global economic and geopolitical conditions;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liquidity, including free cash flow;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results of operations, such as margin levels.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17"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changing global economic and geopolitical conditions;</w:t>
      </w:r>
    </w:p>
    <w:p>
      <w:pPr>
        <w:spacing w:after="0" w:line="117"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SLB Group’s customers, and changes in the level of oil and natural gas exploration and development;</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operations and financial condition of the SLB Group’s customers and suppliers;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SLB Group’s inability to achieve its financial and performance targets and other forecasts and expectations;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SLB Group’s inability to achieve its net-zero carbon emissions goals or interim emissions reduction goals;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geopolitical and business conditions in key regions of the world;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ongoing conflict in Ukraine;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monetary policy by governments;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effects of health pandemics;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and cost of raw materials;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challenges in the SLB Group’s supply chain;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of future charges;</w:t>
      </w:r>
    </w:p>
    <w:p>
      <w:pPr>
        <w:spacing w:after="0" w:line="117"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SLB Group’s inability to recognize efficiencies and other intended benefits from its business strategies and initiatives, such as digital or new energy, as well as its cost reduction strategies;</w:t>
      </w:r>
    </w:p>
    <w:p>
      <w:pPr>
        <w:spacing w:after="0" w:line="59"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and climate-related initiatives;</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competitiveness of alternative energy sources or product substitutes;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12"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2022 and the Guarantor’s Quarterly Report on Form 10-Q for the fiscal quarter ended March 31, 2023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9" w:lineRule="exact"/>
        <w:rPr>
          <w:sz w:val="20"/>
          <w:szCs w:val="20"/>
          <w:color w:val="auto"/>
        </w:rPr>
      </w:pPr>
    </w:p>
    <w:p>
      <w:pPr>
        <w:ind w:left="120" w:right="260" w:firstLine="440"/>
        <w:spacing w:after="0" w:line="253" w:lineRule="auto"/>
        <w:rPr>
          <w:sz w:val="20"/>
          <w:szCs w:val="20"/>
          <w:color w:val="auto"/>
        </w:rPr>
      </w:pPr>
      <w:r>
        <w:rPr>
          <w:rFonts w:ascii="Arial" w:cs="Arial" w:eastAsia="Arial" w:hAnsi="Arial"/>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69" w:lineRule="exact"/>
        <w:rPr>
          <w:sz w:val="20"/>
          <w:szCs w:val="20"/>
          <w:color w:val="auto"/>
        </w:rPr>
      </w:pPr>
    </w:p>
    <w:p>
      <w:pPr>
        <w:jc w:val="both"/>
        <w:ind w:left="120" w:right="240" w:firstLine="440"/>
        <w:spacing w:after="0" w:line="253" w:lineRule="auto"/>
        <w:rPr>
          <w:sz w:val="20"/>
          <w:szCs w:val="20"/>
          <w:color w:val="auto"/>
        </w:rPr>
      </w:pPr>
      <w:r>
        <w:rPr>
          <w:rFonts w:ascii="Arial" w:cs="Arial" w:eastAsia="Arial" w:hAnsi="Arial"/>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12"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w:t>
      </w:r>
    </w:p>
    <w:p>
      <w:pPr>
        <w:spacing w:after="0" w:line="159" w:lineRule="exact"/>
        <w:rPr>
          <w:sz w:val="20"/>
          <w:szCs w:val="20"/>
          <w:color w:val="auto"/>
        </w:rPr>
      </w:pPr>
    </w:p>
    <w:p>
      <w:pPr>
        <w:ind w:left="120" w:right="240" w:firstLine="440"/>
        <w:spacing w:after="0" w:line="244"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82" w:lineRule="exact"/>
        <w:rPr>
          <w:sz w:val="20"/>
          <w:szCs w:val="20"/>
          <w:color w:val="auto"/>
        </w:rPr>
      </w:pPr>
    </w:p>
    <w:p>
      <w:pPr>
        <w:ind w:left="1080" w:hanging="424"/>
        <w:spacing w:after="0" w:line="25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Guarantor’s </w:t>
      </w:r>
      <w:hyperlink r:id="rId62">
        <w:r>
          <w:rPr>
            <w:rFonts w:ascii="Arial" w:cs="Arial" w:eastAsia="Arial" w:hAnsi="Arial"/>
            <w:sz w:val="18"/>
            <w:szCs w:val="18"/>
            <w:u w:val="single" w:color="auto"/>
            <w:color w:val="0000EE"/>
          </w:rPr>
          <w:t>Annual Report on Form 10-K for the fiscal year ended December 31, 2022</w:t>
        </w:r>
      </w:hyperlink>
      <w:r>
        <w:rPr>
          <w:rFonts w:ascii="Arial" w:cs="Arial" w:eastAsia="Arial" w:hAnsi="Arial"/>
          <w:sz w:val="18"/>
          <w:szCs w:val="18"/>
          <w:color w:val="auto"/>
        </w:rPr>
        <w:t xml:space="preserve">, as filed with the SEC on January 25, 2023 (including the </w:t>
      </w:r>
      <w:hyperlink r:id="rId63">
        <w:r>
          <w:rPr>
            <w:rFonts w:ascii="Arial" w:cs="Arial" w:eastAsia="Arial" w:hAnsi="Arial"/>
            <w:sz w:val="18"/>
            <w:szCs w:val="18"/>
            <w:u w:val="single" w:color="auto"/>
            <w:color w:val="0000EE"/>
          </w:rPr>
          <w:t>portions of our proxy statement for our 2023 annual meeting of shareholders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incorporated by reference therein);</w:t>
      </w:r>
    </w:p>
    <w:p>
      <w:pPr>
        <w:spacing w:after="0" w:line="74"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Guarantor’s Quarterly Report on Form 10-Q for the fiscal quarter ended </w:t>
      </w:r>
      <w:hyperlink r:id="rId65">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as filed with the SEC on April 26, 2023; and</w:t>
      </w:r>
    </w:p>
    <w:p>
      <w:pPr>
        <w:spacing w:after="0" w:line="8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2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Guarantor’s Current Reports on Form 8-K as filed with the SEC on </w:t>
      </w:r>
      <w:hyperlink r:id="rId66">
        <w:r>
          <w:rPr>
            <w:rFonts w:ascii="Arial" w:cs="Arial" w:eastAsia="Arial" w:hAnsi="Arial"/>
            <w:sz w:val="18"/>
            <w:szCs w:val="18"/>
            <w:u w:val="single" w:color="auto"/>
            <w:color w:val="0000EE"/>
          </w:rPr>
          <w:t>April 6, 2023</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xml:space="preserve">, and </w:t>
      </w:r>
      <w:hyperlink r:id="rId68">
        <w:r>
          <w:rPr>
            <w:rFonts w:ascii="Arial" w:cs="Arial" w:eastAsia="Arial" w:hAnsi="Arial"/>
            <w:sz w:val="18"/>
            <w:szCs w:val="18"/>
            <w:u w:val="single" w:color="auto"/>
            <w:color w:val="0000EE"/>
          </w:rPr>
          <w:t>April 21, 2023</w:t>
        </w:r>
      </w:hyperlink>
      <w:r>
        <w:rPr>
          <w:rFonts w:ascii="Arial" w:cs="Arial" w:eastAsia="Arial" w:hAnsi="Arial"/>
          <w:sz w:val="18"/>
          <w:szCs w:val="18"/>
          <w:color w:val="auto"/>
        </w:rPr>
        <w:t xml:space="preserve"> (Items 5.03 and 5.05 only).</w:t>
      </w:r>
    </w:p>
    <w:p>
      <w:pPr>
        <w:spacing w:after="0" w:line="154" w:lineRule="exact"/>
        <w:rPr>
          <w:rFonts w:ascii="Arial" w:cs="Arial" w:eastAsia="Arial" w:hAnsi="Arial"/>
          <w:sz w:val="18"/>
          <w:szCs w:val="18"/>
          <w:color w:val="auto"/>
        </w:rPr>
      </w:pPr>
    </w:p>
    <w:p>
      <w:pPr>
        <w:ind w:left="120" w:firstLine="440"/>
        <w:spacing w:after="0" w:line="242"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79" w:lineRule="exact"/>
        <w:rPr>
          <w:rFonts w:ascii="Arial" w:cs="Arial" w:eastAsia="Arial" w:hAnsi="Arial"/>
          <w:sz w:val="18"/>
          <w:szCs w:val="18"/>
          <w:color w:val="auto"/>
        </w:rPr>
      </w:pPr>
    </w:p>
    <w:p>
      <w:pPr>
        <w:jc w:val="both"/>
        <w:ind w:left="120" w:right="40" w:firstLine="440"/>
        <w:spacing w:after="0" w:line="25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69" w:lineRule="exact"/>
        <w:rPr>
          <w:rFonts w:ascii="Arial" w:cs="Arial" w:eastAsia="Arial" w:hAnsi="Arial"/>
          <w:sz w:val="18"/>
          <w:szCs w:val="18"/>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6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5599 San Felipe</w:t>
      </w:r>
    </w:p>
    <w:p>
      <w:pPr>
        <w:jc w:val="center"/>
        <w:ind w:right="-119"/>
        <w:spacing w:after="0" w:line="234" w:lineRule="auto"/>
        <w:rPr>
          <w:sz w:val="20"/>
          <w:szCs w:val="20"/>
          <w:color w:val="auto"/>
        </w:rPr>
      </w:pPr>
      <w:r>
        <w:rPr>
          <w:rFonts w:ascii="Arial" w:cs="Arial" w:eastAsia="Arial" w:hAnsi="Arial"/>
          <w:sz w:val="18"/>
          <w:szCs w:val="18"/>
          <w:color w:val="auto"/>
        </w:rPr>
        <w:t>Houston, Texas 77056</w:t>
      </w:r>
    </w:p>
    <w:p>
      <w:pPr>
        <w:ind w:left="5480" w:hanging="471"/>
        <w:spacing w:after="0" w:line="235" w:lineRule="auto"/>
        <w:tabs>
          <w:tab w:leader="none" w:pos="5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375-3535</w:t>
      </w:r>
    </w:p>
    <w:p>
      <w:pPr>
        <w:ind w:left="45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94" w:lineRule="exact"/>
        <w:rPr>
          <w:rFonts w:ascii="Arial" w:cs="Arial" w:eastAsia="Arial" w:hAnsi="Arial"/>
          <w:sz w:val="18"/>
          <w:szCs w:val="18"/>
          <w:color w:val="auto"/>
        </w:rPr>
      </w:pPr>
    </w:p>
    <w:p>
      <w:pPr>
        <w:ind w:left="120" w:right="800" w:firstLine="440"/>
        <w:spacing w:after="0" w:line="271"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w:t>
      </w:r>
    </w:p>
    <w:p>
      <w:pPr>
        <w:spacing w:after="0" w:line="37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rFonts w:ascii="Arial" w:cs="Arial" w:eastAsia="Arial" w:hAnsi="Arial"/>
          <w:sz w:val="18"/>
          <w:szCs w:val="18"/>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10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5"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 “Guarantor” refers to our parent company, Schlumberger Limited, and not to any of its subsidiaries, in each case unless otherwise stated or the context otherwise requires.</w:t>
      </w:r>
    </w:p>
    <w:p>
      <w:pPr>
        <w:spacing w:after="0" w:line="169"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 (as defined below).</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debt securities that we may issue will be senior debt securities that will be issued under an indenture, dated December 3, 2013, among us, Schlumberger Limited, as guarantor, and The Bank of New York Mellon, as trustee, as amended by the second supplemental indenture dated June 26, 2020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 (the “Trust Indenture Act”).</w:t>
      </w:r>
    </w:p>
    <w:p>
      <w:pPr>
        <w:spacing w:after="0" w:line="180"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5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w:t>
      </w:r>
    </w:p>
    <w:p>
      <w:pPr>
        <w:spacing w:after="0" w:line="2" w:lineRule="exact"/>
        <w:rPr>
          <w:sz w:val="20"/>
          <w:szCs w:val="20"/>
          <w:color w:val="auto"/>
        </w:rPr>
      </w:pPr>
    </w:p>
    <w:p>
      <w:pPr>
        <w:jc w:val="both"/>
        <w:ind w:left="120" w:right="140"/>
        <w:spacing w:after="0" w:line="264" w:lineRule="auto"/>
        <w:rPr>
          <w:sz w:val="20"/>
          <w:szCs w:val="20"/>
          <w:color w:val="auto"/>
        </w:rPr>
      </w:pPr>
      <w:r>
        <w:rPr>
          <w:rFonts w:ascii="Arial" w:cs="Arial" w:eastAsia="Arial" w:hAnsi="Arial"/>
          <w:sz w:val="17"/>
          <w:szCs w:val="17"/>
          <w:color w:val="auto"/>
        </w:rPr>
        <w:t>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6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5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5580" w:right="3740" w:hanging="4924"/>
        <w:spacing w:after="0" w:line="443" w:lineRule="auto"/>
        <w:tabs>
          <w:tab w:leader="none" w:pos="10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 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5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17"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74" w:lineRule="exact"/>
        <w:rPr>
          <w:rFonts w:ascii="Arial" w:cs="Arial" w:eastAsia="Arial" w:hAnsi="Arial"/>
          <w:sz w:val="18"/>
          <w:szCs w:val="18"/>
          <w:color w:val="auto"/>
        </w:rPr>
      </w:pPr>
    </w:p>
    <w:p>
      <w:pPr>
        <w:ind w:left="1080" w:right="60" w:hanging="424"/>
        <w:spacing w:after="0" w:line="24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79" w:lineRule="exact"/>
        <w:rPr>
          <w:rFonts w:ascii="Arial" w:cs="Arial" w:eastAsia="Arial" w:hAnsi="Arial"/>
          <w:sz w:val="18"/>
          <w:szCs w:val="18"/>
          <w:color w:val="auto"/>
        </w:rPr>
      </w:pPr>
    </w:p>
    <w:p>
      <w:pPr>
        <w:ind w:left="1080" w:right="320" w:hanging="424"/>
        <w:spacing w:after="0" w:line="25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74" w:lineRule="exact"/>
        <w:rPr>
          <w:rFonts w:ascii="Arial" w:cs="Arial" w:eastAsia="Arial" w:hAnsi="Arial"/>
          <w:sz w:val="18"/>
          <w:szCs w:val="18"/>
          <w:color w:val="auto"/>
        </w:rPr>
      </w:pPr>
    </w:p>
    <w:p>
      <w:pPr>
        <w:ind w:left="1080" w:right="68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trustees, authenticating agents or paying agents with respect to such series, if different from those set forth in the indenture;</w:t>
      </w:r>
    </w:p>
    <w:p>
      <w:pPr>
        <w:spacing w:after="0" w:line="59" w:lineRule="exact"/>
        <w:rPr>
          <w:rFonts w:ascii="Arial" w:cs="Arial" w:eastAsia="Arial" w:hAnsi="Arial"/>
          <w:sz w:val="18"/>
          <w:szCs w:val="18"/>
          <w:color w:val="auto"/>
        </w:rPr>
      </w:pPr>
    </w:p>
    <w:p>
      <w:pPr>
        <w:ind w:left="1080" w:right="10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defer the payment of interest and the duration of such extension or deferral;</w:t>
      </w:r>
    </w:p>
    <w:p>
      <w:pPr>
        <w:spacing w:after="0" w:line="5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us, in whole or in part, at our option;</w:t>
      </w:r>
    </w:p>
    <w:p>
      <w:pPr>
        <w:spacing w:after="0" w:line="59" w:lineRule="exact"/>
        <w:rPr>
          <w:rFonts w:ascii="Arial" w:cs="Arial" w:eastAsia="Arial" w:hAnsi="Arial"/>
          <w:sz w:val="18"/>
          <w:szCs w:val="18"/>
          <w:color w:val="auto"/>
        </w:rPr>
      </w:pPr>
    </w:p>
    <w:p>
      <w:pPr>
        <w:ind w:left="1080" w:right="300" w:hanging="424"/>
        <w:spacing w:after="0" w:line="24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17"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will be issuable;</w:t>
      </w:r>
    </w:p>
    <w:p>
      <w:pPr>
        <w:spacing w:after="0" w:line="59" w:lineRule="exact"/>
        <w:rPr>
          <w:rFonts w:ascii="Arial" w:cs="Arial" w:eastAsia="Arial" w:hAnsi="Arial"/>
          <w:sz w:val="18"/>
          <w:szCs w:val="18"/>
          <w:color w:val="auto"/>
        </w:rPr>
      </w:pPr>
    </w:p>
    <w:p>
      <w:pPr>
        <w:ind w:left="1080" w:right="16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will be payable;</w:t>
      </w:r>
    </w:p>
    <w:p>
      <w:pPr>
        <w:spacing w:after="0" w:line="59" w:lineRule="exact"/>
        <w:rPr>
          <w:rFonts w:ascii="Arial" w:cs="Arial" w:eastAsia="Arial" w:hAnsi="Arial"/>
          <w:sz w:val="18"/>
          <w:szCs w:val="18"/>
          <w:color w:val="auto"/>
        </w:rPr>
      </w:pPr>
    </w:p>
    <w:p>
      <w:pPr>
        <w:ind w:left="1080" w:right="30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will be payable upon declaration of acceleration of the maturity thereof;</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17" w:lineRule="exact"/>
        <w:rPr>
          <w:rFonts w:ascii="Arial" w:cs="Arial" w:eastAsia="Arial" w:hAnsi="Arial"/>
          <w:sz w:val="18"/>
          <w:szCs w:val="18"/>
          <w:color w:val="auto"/>
        </w:rPr>
      </w:pPr>
    </w:p>
    <w:p>
      <w:pPr>
        <w:jc w:val="both"/>
        <w:ind w:left="1080" w:right="360" w:hanging="424"/>
        <w:spacing w:after="0" w:line="25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3" w:lineRule="auto"/>
        <w:rPr>
          <w:sz w:val="20"/>
          <w:szCs w:val="20"/>
          <w:color w:val="auto"/>
        </w:rPr>
      </w:pPr>
      <w:r>
        <w:rPr>
          <w:rFonts w:ascii="Arial" w:cs="Arial" w:eastAsia="Arial" w:hAnsi="Arial"/>
          <w:sz w:val="18"/>
          <w:szCs w:val="18"/>
          <w:color w:val="auto"/>
        </w:rPr>
        <w:t>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74" w:lineRule="exact"/>
        <w:rPr>
          <w:sz w:val="20"/>
          <w:szCs w:val="20"/>
          <w:color w:val="auto"/>
        </w:rPr>
      </w:pPr>
    </w:p>
    <w:p>
      <w:pPr>
        <w:ind w:left="1080" w:hanging="424"/>
        <w:spacing w:after="0" w:line="24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17" w:lineRule="exact"/>
        <w:rPr>
          <w:rFonts w:ascii="Arial" w:cs="Arial" w:eastAsia="Arial" w:hAnsi="Arial"/>
          <w:sz w:val="18"/>
          <w:szCs w:val="18"/>
          <w:color w:val="auto"/>
        </w:rPr>
      </w:pPr>
    </w:p>
    <w:p>
      <w:pPr>
        <w:ind w:left="1080" w:right="340" w:hanging="424"/>
        <w:spacing w:after="0" w:line="271"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17" w:lineRule="exact"/>
        <w:rPr>
          <w:rFonts w:ascii="Arial" w:cs="Arial" w:eastAsia="Arial" w:hAnsi="Arial"/>
          <w:sz w:val="18"/>
          <w:szCs w:val="18"/>
          <w:color w:val="auto"/>
        </w:rPr>
      </w:pPr>
    </w:p>
    <w:p>
      <w:pPr>
        <w:ind w:left="1080" w:right="520" w:hanging="424"/>
        <w:spacing w:after="0" w:line="271"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upon what terms debt securities of a series may be defeased if different from the provisions set forth in the indenture;</w:t>
      </w:r>
    </w:p>
    <w:p>
      <w:pPr>
        <w:spacing w:after="0" w:line="59"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17" w:lineRule="exact"/>
        <w:rPr>
          <w:rFonts w:ascii="Arial" w:cs="Arial" w:eastAsia="Arial" w:hAnsi="Arial"/>
          <w:sz w:val="18"/>
          <w:szCs w:val="18"/>
          <w:color w:val="auto"/>
        </w:rPr>
      </w:pPr>
    </w:p>
    <w:p>
      <w:pPr>
        <w:ind w:left="1080" w:right="560" w:hanging="424"/>
        <w:spacing w:after="0" w:line="271"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59" w:lineRule="exact"/>
        <w:rPr>
          <w:rFonts w:ascii="Arial" w:cs="Arial" w:eastAsia="Arial" w:hAnsi="Arial"/>
          <w:sz w:val="18"/>
          <w:szCs w:val="18"/>
          <w:color w:val="auto"/>
        </w:rPr>
      </w:pPr>
    </w:p>
    <w:p>
      <w:pPr>
        <w:ind w:left="1080" w:right="80" w:hanging="424"/>
        <w:spacing w:after="0" w:line="242"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84"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12"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53" w:lineRule="auto"/>
        <w:rPr>
          <w:sz w:val="20"/>
          <w:szCs w:val="20"/>
          <w:color w:val="auto"/>
        </w:rPr>
      </w:pPr>
      <w:r>
        <w:rPr>
          <w:rFonts w:ascii="Arial" w:cs="Arial" w:eastAsia="Arial" w:hAnsi="Arial"/>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69" w:lineRule="exact"/>
        <w:rPr>
          <w:sz w:val="20"/>
          <w:szCs w:val="20"/>
          <w:color w:val="auto"/>
        </w:rPr>
      </w:pPr>
    </w:p>
    <w:p>
      <w:pPr>
        <w:ind w:left="120" w:right="560" w:firstLine="440"/>
        <w:spacing w:after="0" w:line="253"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0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Schlumberger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Guarantor will:</w:t>
      </w:r>
    </w:p>
    <w:p>
      <w:pPr>
        <w:spacing w:after="0" w:line="117" w:lineRule="exact"/>
        <w:rPr>
          <w:sz w:val="20"/>
          <w:szCs w:val="20"/>
          <w:color w:val="auto"/>
        </w:rPr>
      </w:pPr>
    </w:p>
    <w:p>
      <w:pPr>
        <w:jc w:val="both"/>
        <w:ind w:left="1080" w:right="80" w:hanging="424"/>
        <w:spacing w:after="0" w:line="25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74" w:lineRule="exact"/>
        <w:rPr>
          <w:rFonts w:ascii="Arial" w:cs="Arial" w:eastAsia="Arial" w:hAnsi="Arial"/>
          <w:sz w:val="18"/>
          <w:szCs w:val="18"/>
          <w:color w:val="auto"/>
        </w:rPr>
      </w:pPr>
    </w:p>
    <w:p>
      <w:pPr>
        <w:ind w:left="1080" w:right="280" w:hanging="424"/>
        <w:spacing w:after="0" w:line="271"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will be:</w:t>
      </w:r>
    </w:p>
    <w:p>
      <w:pPr>
        <w:spacing w:after="0" w:line="117" w:lineRule="exact"/>
        <w:rPr>
          <w:sz w:val="20"/>
          <w:szCs w:val="20"/>
          <w:color w:val="auto"/>
        </w:rPr>
      </w:pPr>
    </w:p>
    <w:p>
      <w:pPr>
        <w:ind w:left="1080" w:right="320" w:hanging="424"/>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59" w:lineRule="exact"/>
        <w:rPr>
          <w:rFonts w:ascii="Arial" w:cs="Arial" w:eastAsia="Arial" w:hAnsi="Arial"/>
          <w:sz w:val="18"/>
          <w:szCs w:val="18"/>
          <w:color w:val="auto"/>
        </w:rPr>
      </w:pPr>
    </w:p>
    <w:p>
      <w:pPr>
        <w:ind w:left="1080" w:right="600" w:hanging="424"/>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82" w:lineRule="exact"/>
        <w:rPr>
          <w:sz w:val="20"/>
          <w:szCs w:val="20"/>
          <w:color w:val="auto"/>
        </w:rPr>
      </w:pPr>
    </w:p>
    <w:p>
      <w:pPr>
        <w:ind w:left="1080" w:right="180" w:hanging="532"/>
        <w:spacing w:after="0" w:line="242"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84" w:lineRule="exact"/>
        <w:rPr>
          <w:rFonts w:ascii="Arial" w:cs="Arial" w:eastAsia="Arial" w:hAnsi="Arial"/>
          <w:sz w:val="18"/>
          <w:szCs w:val="18"/>
          <w:color w:val="auto"/>
        </w:rPr>
      </w:pPr>
    </w:p>
    <w:p>
      <w:pPr>
        <w:ind w:left="1080" w:right="160" w:hanging="532"/>
        <w:spacing w:after="0" w:line="24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57" w:lineRule="exact"/>
        <w:rPr>
          <w:rFonts w:ascii="Arial" w:cs="Arial" w:eastAsia="Arial" w:hAnsi="Arial"/>
          <w:sz w:val="17"/>
          <w:szCs w:val="17"/>
          <w:color w:val="auto"/>
        </w:rPr>
      </w:pPr>
    </w:p>
    <w:p>
      <w:pPr>
        <w:ind w:left="1080" w:right="240" w:hanging="532"/>
        <w:spacing w:after="0" w:line="24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79" w:lineRule="exact"/>
        <w:rPr>
          <w:rFonts w:ascii="Arial" w:cs="Arial" w:eastAsia="Arial" w:hAnsi="Arial"/>
          <w:sz w:val="18"/>
          <w:szCs w:val="18"/>
          <w:color w:val="auto"/>
        </w:rPr>
      </w:pPr>
    </w:p>
    <w:p>
      <w:pPr>
        <w:ind w:left="1080" w:right="160" w:hanging="532"/>
        <w:spacing w:after="0" w:line="301"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36" w:lineRule="exact"/>
        <w:rPr>
          <w:rFonts w:ascii="Arial" w:cs="Arial" w:eastAsia="Arial" w:hAnsi="Arial"/>
          <w:sz w:val="17"/>
          <w:szCs w:val="17"/>
          <w:color w:val="auto"/>
        </w:rPr>
      </w:pPr>
    </w:p>
    <w:p>
      <w:pPr>
        <w:ind w:left="1080" w:right="40" w:hanging="532"/>
        <w:spacing w:after="0" w:line="271"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debt securities or the Guarantee;</w:t>
      </w:r>
    </w:p>
    <w:p>
      <w:pPr>
        <w:spacing w:after="0" w:line="59" w:lineRule="exact"/>
        <w:rPr>
          <w:rFonts w:ascii="Arial" w:cs="Arial" w:eastAsia="Arial" w:hAnsi="Arial"/>
          <w:sz w:val="18"/>
          <w:szCs w:val="18"/>
          <w:color w:val="auto"/>
        </w:rPr>
      </w:pPr>
    </w:p>
    <w:p>
      <w:pPr>
        <w:ind w:left="1080" w:right="16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12"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In addition to the foregoing, the Company and the Guarantor, as the case may be, will also pay and indemnify the holder for any present or future stamp, issue, registration, court or documentary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6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80"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74"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7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74"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7"/>
          <w:szCs w:val="17"/>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04"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5" w:lineRule="exact"/>
        <w:rPr>
          <w:sz w:val="20"/>
          <w:szCs w:val="20"/>
          <w:color w:val="auto"/>
        </w:rPr>
      </w:pPr>
    </w:p>
    <w:p>
      <w:pPr>
        <w:ind w:left="1080" w:right="40" w:hanging="532"/>
        <w:spacing w:after="0" w:line="24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79" w:lineRule="exact"/>
        <w:rPr>
          <w:rFonts w:ascii="Arial" w:cs="Arial" w:eastAsia="Arial" w:hAnsi="Arial"/>
          <w:sz w:val="18"/>
          <w:szCs w:val="18"/>
          <w:color w:val="auto"/>
        </w:rPr>
      </w:pPr>
    </w:p>
    <w:p>
      <w:pPr>
        <w:ind w:left="1080" w:right="20" w:hanging="532"/>
        <w:spacing w:after="0" w:line="24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Issue Date, such later date).</w:t>
      </w:r>
    </w:p>
    <w:p>
      <w:pPr>
        <w:spacing w:after="0" w:line="17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83"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69"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0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in definitive, non-global form for redemption on a pro rata basis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69"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No debt securities in principal amount of less than the minimum authorized denomination can be redeemed in part. Unless otherwise described in a prospectus supplement relating to any debt securities, notices of redemption will be delivered at least 30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w:t>
      </w:r>
    </w:p>
    <w:p>
      <w:pPr>
        <w:spacing w:after="0" w:line="176"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79"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04"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04"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0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85"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17" w:lineRule="exact"/>
        <w:rPr>
          <w:rFonts w:ascii="Arial" w:cs="Arial" w:eastAsia="Arial" w:hAnsi="Arial"/>
          <w:sz w:val="18"/>
          <w:szCs w:val="18"/>
          <w:color w:val="auto"/>
        </w:rPr>
      </w:pPr>
    </w:p>
    <w:p>
      <w:pPr>
        <w:ind w:left="1080" w:right="120" w:hanging="532"/>
        <w:spacing w:after="0" w:line="271"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9" w:lineRule="exact"/>
        <w:rPr>
          <w:rFonts w:ascii="Arial" w:cs="Arial" w:eastAsia="Arial" w:hAnsi="Arial"/>
          <w:sz w:val="18"/>
          <w:szCs w:val="18"/>
          <w:color w:val="auto"/>
        </w:rPr>
      </w:pPr>
    </w:p>
    <w:p>
      <w:pPr>
        <w:ind w:left="1080" w:right="280" w:hanging="532"/>
        <w:spacing w:after="0" w:line="242"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4"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17" w:lineRule="exact"/>
        <w:rPr>
          <w:rFonts w:ascii="Arial" w:cs="Arial" w:eastAsia="Arial" w:hAnsi="Arial"/>
          <w:sz w:val="18"/>
          <w:szCs w:val="18"/>
          <w:color w:val="auto"/>
        </w:rPr>
      </w:pPr>
    </w:p>
    <w:p>
      <w:pPr>
        <w:ind w:left="1080" w:hanging="532"/>
        <w:spacing w:after="0" w:line="24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9" w:lineRule="exact"/>
        <w:rPr>
          <w:rFonts w:ascii="Arial" w:cs="Arial" w:eastAsia="Arial" w:hAnsi="Arial"/>
          <w:sz w:val="18"/>
          <w:szCs w:val="18"/>
          <w:color w:val="auto"/>
        </w:rPr>
      </w:pPr>
    </w:p>
    <w:p>
      <w:pPr>
        <w:ind w:left="1080" w:right="320" w:hanging="532"/>
        <w:spacing w:after="0" w:line="271"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mortgage of any property or assets to secure indebtedness of the pollution control, industrial revenue or other revenue bond type;</w:t>
      </w:r>
    </w:p>
    <w:p>
      <w:pPr>
        <w:spacing w:after="0" w:line="59"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9" w:lineRule="exact"/>
        <w:rPr>
          <w:rFonts w:ascii="Arial" w:cs="Arial" w:eastAsia="Arial" w:hAnsi="Arial"/>
          <w:sz w:val="18"/>
          <w:szCs w:val="18"/>
          <w:color w:val="auto"/>
        </w:rPr>
      </w:pPr>
    </w:p>
    <w:p>
      <w:pPr>
        <w:ind w:left="1080" w:right="260" w:hanging="532"/>
        <w:spacing w:after="0" w:line="271"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5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2" w:lineRule="exact"/>
        <w:rPr>
          <w:sz w:val="20"/>
          <w:szCs w:val="20"/>
          <w:color w:val="auto"/>
        </w:rPr>
      </w:pPr>
    </w:p>
    <w:p>
      <w:pPr>
        <w:ind w:left="120" w:right="620" w:firstLine="440"/>
        <w:spacing w:after="0" w:line="30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04"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04" w:lineRule="exact"/>
        <w:rPr>
          <w:sz w:val="20"/>
          <w:szCs w:val="20"/>
          <w:color w:val="auto"/>
        </w:rPr>
      </w:pPr>
    </w:p>
    <w:p>
      <w:pPr>
        <w:ind w:left="120" w:right="720" w:firstLine="440"/>
        <w:spacing w:after="0" w:line="271" w:lineRule="auto"/>
        <w:rPr>
          <w:sz w:val="20"/>
          <w:szCs w:val="20"/>
          <w:color w:val="auto"/>
        </w:rPr>
      </w:pPr>
      <w:r>
        <w:rPr>
          <w:rFonts w:ascii="Arial" w:cs="Arial" w:eastAsia="Arial" w:hAnsi="Arial"/>
          <w:sz w:val="18"/>
          <w:szCs w:val="18"/>
          <w:color w:val="auto"/>
        </w:rPr>
        <w:t>Any subsidiary of the Guarantor may, at its option, assume the obligations of the Company under the indenture and the debt securities, provided that:</w:t>
      </w:r>
    </w:p>
    <w:p>
      <w:pPr>
        <w:spacing w:after="0" w:line="59" w:lineRule="exact"/>
        <w:rPr>
          <w:sz w:val="20"/>
          <w:szCs w:val="20"/>
          <w:color w:val="auto"/>
        </w:rPr>
      </w:pPr>
    </w:p>
    <w:p>
      <w:pPr>
        <w:ind w:left="540" w:right="460" w:hanging="424"/>
        <w:spacing w:after="0" w:line="271"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subsidiary expressly assumes such obligations in an assumption agreement or supplemental indenture duly executed and delivered to the trustee, and</w:t>
      </w:r>
    </w:p>
    <w:p>
      <w:pPr>
        <w:spacing w:after="0" w:line="59" w:lineRule="exact"/>
        <w:rPr>
          <w:rFonts w:ascii="Arial" w:cs="Arial" w:eastAsia="Arial" w:hAnsi="Arial"/>
          <w:sz w:val="18"/>
          <w:szCs w:val="18"/>
          <w:color w:val="auto"/>
        </w:rPr>
      </w:pPr>
    </w:p>
    <w:p>
      <w:pPr>
        <w:ind w:left="540" w:right="480" w:hanging="424"/>
        <w:spacing w:after="0" w:line="271"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54" w:lineRule="exact"/>
        <w:rPr>
          <w:sz w:val="20"/>
          <w:szCs w:val="20"/>
          <w:color w:val="auto"/>
        </w:rPr>
      </w:pPr>
    </w:p>
    <w:p>
      <w:pPr>
        <w:ind w:left="120" w:right="200" w:firstLine="440"/>
        <w:spacing w:after="0" w:line="244" w:lineRule="auto"/>
        <w:rPr>
          <w:sz w:val="20"/>
          <w:szCs w:val="20"/>
          <w:color w:val="auto"/>
        </w:rPr>
      </w:pPr>
      <w:r>
        <w:rPr>
          <w:rFonts w:ascii="Arial" w:cs="Arial" w:eastAsia="Arial" w:hAnsi="Arial"/>
          <w:sz w:val="18"/>
          <w:szCs w:val="18"/>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28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0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59" w:lineRule="exact"/>
        <w:rPr>
          <w:sz w:val="20"/>
          <w:szCs w:val="20"/>
          <w:color w:val="auto"/>
        </w:rPr>
      </w:pPr>
    </w:p>
    <w:p>
      <w:pPr>
        <w:ind w:left="1080" w:right="640" w:hanging="424"/>
        <w:spacing w:after="0" w:line="271"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59"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becomes due and payable by the terms of the debt securities of such series, and continuance of such default for a period of 30 days;</w:t>
      </w:r>
    </w:p>
    <w:p>
      <w:pPr>
        <w:spacing w:after="0" w:line="59" w:lineRule="exact"/>
        <w:rPr>
          <w:rFonts w:ascii="Arial" w:cs="Arial" w:eastAsia="Arial" w:hAnsi="Arial"/>
          <w:sz w:val="18"/>
          <w:szCs w:val="18"/>
          <w:color w:val="auto"/>
        </w:rPr>
      </w:pPr>
    </w:p>
    <w:p>
      <w:pPr>
        <w:ind w:left="1080" w:right="340" w:hanging="424"/>
        <w:spacing w:after="0" w:line="24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81"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57" w:lineRule="exact"/>
        <w:rPr>
          <w:rFonts w:ascii="Arial" w:cs="Arial" w:eastAsia="Arial" w:hAnsi="Arial"/>
          <w:sz w:val="17"/>
          <w:szCs w:val="17"/>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1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7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85"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A holder of debt securities of any series may pursue any remedy under the indenture applicable to the debt securities of that series only if:</w:t>
      </w:r>
    </w:p>
    <w:p>
      <w:pPr>
        <w:spacing w:after="0" w:line="5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1080" w:right="14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5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59"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17" w:lineRule="exact"/>
        <w:rPr>
          <w:rFonts w:ascii="Arial" w:cs="Arial" w:eastAsia="Arial" w:hAnsi="Arial"/>
          <w:sz w:val="18"/>
          <w:szCs w:val="18"/>
          <w:color w:val="auto"/>
        </w:rPr>
      </w:pPr>
    </w:p>
    <w:p>
      <w:pPr>
        <w:ind w:left="1080" w:right="300" w:hanging="424"/>
        <w:spacing w:after="0" w:line="271"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04" w:lineRule="exact"/>
        <w:rPr>
          <w:sz w:val="20"/>
          <w:szCs w:val="20"/>
          <w:color w:val="auto"/>
        </w:rPr>
      </w:pPr>
    </w:p>
    <w:p>
      <w:pPr>
        <w:ind w:left="120" w:firstLine="440"/>
        <w:spacing w:after="0" w:line="254"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7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59"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17"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17" w:lineRule="exact"/>
        <w:rPr>
          <w:rFonts w:ascii="Arial" w:cs="Arial" w:eastAsia="Arial" w:hAnsi="Arial"/>
          <w:sz w:val="18"/>
          <w:szCs w:val="18"/>
          <w:color w:val="auto"/>
        </w:rPr>
      </w:pPr>
    </w:p>
    <w:p>
      <w:pPr>
        <w:ind w:left="1080" w:right="200" w:hanging="424"/>
        <w:spacing w:after="0" w:line="25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74"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080" w:hanging="424"/>
        <w:spacing w:after="0" w:line="24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17" w:lineRule="exact"/>
        <w:rPr>
          <w:rFonts w:ascii="Arial" w:cs="Arial" w:eastAsia="Arial" w:hAnsi="Arial"/>
          <w:sz w:val="18"/>
          <w:szCs w:val="18"/>
          <w:color w:val="auto"/>
        </w:rPr>
      </w:pPr>
    </w:p>
    <w:p>
      <w:pPr>
        <w:ind w:left="1080" w:right="800" w:hanging="424"/>
        <w:spacing w:after="0" w:line="27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59" w:lineRule="exact"/>
        <w:rPr>
          <w:rFonts w:ascii="Arial" w:cs="Arial" w:eastAsia="Arial" w:hAnsi="Arial"/>
          <w:sz w:val="18"/>
          <w:szCs w:val="18"/>
          <w:color w:val="auto"/>
        </w:rPr>
      </w:pPr>
    </w:p>
    <w:p>
      <w:pPr>
        <w:ind w:left="1080" w:right="700" w:hanging="424"/>
        <w:spacing w:after="0" w:line="27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if applicable;</w:t>
      </w:r>
    </w:p>
    <w:p>
      <w:pPr>
        <w:spacing w:after="0" w:line="59" w:lineRule="exact"/>
        <w:rPr>
          <w:rFonts w:ascii="Arial" w:cs="Arial" w:eastAsia="Arial" w:hAnsi="Arial"/>
          <w:sz w:val="18"/>
          <w:szCs w:val="18"/>
          <w:color w:val="auto"/>
        </w:rPr>
      </w:pPr>
    </w:p>
    <w:p>
      <w:pPr>
        <w:ind w:left="1080" w:right="400" w:hanging="424"/>
        <w:spacing w:after="0" w:line="27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59" w:lineRule="exact"/>
        <w:rPr>
          <w:rFonts w:ascii="Arial" w:cs="Arial" w:eastAsia="Arial" w:hAnsi="Arial"/>
          <w:sz w:val="18"/>
          <w:szCs w:val="18"/>
          <w:color w:val="auto"/>
        </w:rPr>
      </w:pPr>
    </w:p>
    <w:p>
      <w:pPr>
        <w:ind w:left="1080" w:right="260" w:hanging="424"/>
        <w:spacing w:after="0" w:line="25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17" w:lineRule="exact"/>
        <w:rPr>
          <w:rFonts w:ascii="Arial" w:cs="Arial" w:eastAsia="Arial" w:hAnsi="Arial"/>
          <w:sz w:val="18"/>
          <w:szCs w:val="18"/>
          <w:color w:val="auto"/>
        </w:rPr>
      </w:pPr>
    </w:p>
    <w:p>
      <w:pPr>
        <w:ind w:left="1080" w:right="60" w:hanging="424"/>
        <w:spacing w:after="0" w:line="27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59"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17" w:lineRule="exact"/>
        <w:rPr>
          <w:rFonts w:ascii="Arial" w:cs="Arial" w:eastAsia="Arial" w:hAnsi="Arial"/>
          <w:sz w:val="18"/>
          <w:szCs w:val="18"/>
          <w:color w:val="auto"/>
        </w:rPr>
      </w:pPr>
    </w:p>
    <w:p>
      <w:pPr>
        <w:ind w:left="1080" w:right="640" w:hanging="424"/>
        <w:spacing w:after="0" w:line="27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0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04"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79" w:lineRule="exact"/>
        <w:rPr>
          <w:sz w:val="20"/>
          <w:szCs w:val="20"/>
          <w:color w:val="auto"/>
        </w:rPr>
      </w:pPr>
    </w:p>
    <w:p>
      <w:pPr>
        <w:ind w:left="1080" w:right="840" w:hanging="424"/>
        <w:spacing w:after="0" w:line="27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59" w:lineRule="exact"/>
        <w:rPr>
          <w:rFonts w:ascii="Arial" w:cs="Arial" w:eastAsia="Arial" w:hAnsi="Arial"/>
          <w:sz w:val="18"/>
          <w:szCs w:val="18"/>
          <w:color w:val="auto"/>
        </w:rPr>
      </w:pPr>
    </w:p>
    <w:p>
      <w:pPr>
        <w:ind w:left="1080" w:right="440" w:hanging="424"/>
        <w:spacing w:after="0" w:line="27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5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w:t>
      </w:r>
    </w:p>
    <w:p>
      <w:pPr>
        <w:spacing w:after="0" w:line="179"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0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74"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04"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76"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7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our behalf.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change any Paying Agents, Registrars or transfer agents without prior notice to the holders of debt securities.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04" w:lineRule="exact"/>
        <w:rPr>
          <w:sz w:val="20"/>
          <w:szCs w:val="20"/>
          <w:color w:val="auto"/>
        </w:rPr>
      </w:pPr>
    </w:p>
    <w:p>
      <w:pPr>
        <w:ind w:left="120" w:right="300" w:firstLine="440"/>
        <w:spacing w:after="0" w:line="24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6"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17" w:lineRule="exact"/>
        <w:rPr>
          <w:sz w:val="20"/>
          <w:szCs w:val="20"/>
          <w:color w:val="auto"/>
        </w:rPr>
      </w:pPr>
    </w:p>
    <w:p>
      <w:pPr>
        <w:ind w:left="1080" w:right="300" w:hanging="424"/>
        <w:spacing w:after="0" w:line="271"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59" w:lineRule="exact"/>
        <w:rPr>
          <w:rFonts w:ascii="Arial" w:cs="Arial" w:eastAsia="Arial" w:hAnsi="Arial"/>
          <w:sz w:val="18"/>
          <w:szCs w:val="18"/>
          <w:color w:val="auto"/>
        </w:rPr>
      </w:pPr>
    </w:p>
    <w:p>
      <w:pPr>
        <w:ind w:left="1080" w:right="20" w:hanging="424"/>
        <w:spacing w:after="0" w:line="25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74" w:lineRule="exact"/>
        <w:rPr>
          <w:rFonts w:ascii="Arial" w:cs="Arial" w:eastAsia="Arial" w:hAnsi="Arial"/>
          <w:sz w:val="18"/>
          <w:szCs w:val="18"/>
          <w:color w:val="auto"/>
        </w:rPr>
      </w:pPr>
    </w:p>
    <w:p>
      <w:pPr>
        <w:ind w:left="1080" w:right="120" w:hanging="424"/>
        <w:spacing w:after="0" w:line="271"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54"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69"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79" w:lineRule="exact"/>
        <w:rPr>
          <w:sz w:val="20"/>
          <w:szCs w:val="20"/>
          <w:color w:val="auto"/>
        </w:rPr>
      </w:pPr>
    </w:p>
    <w:p>
      <w:pPr>
        <w:ind w:left="1080" w:right="340" w:hanging="424"/>
        <w:spacing w:after="0" w:line="271"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59"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6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02" w:lineRule="exact"/>
        <w:rPr>
          <w:sz w:val="20"/>
          <w:szCs w:val="20"/>
          <w:color w:val="auto"/>
        </w:rPr>
      </w:pPr>
    </w:p>
    <w:p>
      <w:pPr>
        <w:ind w:left="120" w:right="800" w:firstLine="440"/>
        <w:spacing w:after="0" w:line="271" w:lineRule="auto"/>
        <w:rPr>
          <w:sz w:val="20"/>
          <w:szCs w:val="20"/>
          <w:color w:val="auto"/>
        </w:rPr>
      </w:pPr>
      <w:r>
        <w:rPr>
          <w:rFonts w:ascii="Arial" w:cs="Arial" w:eastAsia="Arial" w:hAnsi="Arial"/>
          <w:sz w:val="18"/>
          <w:szCs w:val="18"/>
          <w:color w:val="auto"/>
        </w:rPr>
        <w:t>So long as DTC or its nominee is the registered owner of a global security, DTC or its nominee, as the case may be, will be considered the sole owner and holder of the debt securities represented by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83"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6"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74"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2"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83"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02"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Clearstream has advised us that it is incorporated under the laws of Luxembourg as a professional depositary. Clearstream holds securities for its participating organizations, or “Clearstream</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0"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6" w:lineRule="exact"/>
        <w:rPr>
          <w:sz w:val="20"/>
          <w:szCs w:val="20"/>
          <w:color w:val="auto"/>
        </w:rPr>
      </w:pPr>
    </w:p>
    <w:p>
      <w:pPr>
        <w:ind w:left="120" w:right="500" w:firstLine="440"/>
        <w:spacing w:after="0" w:line="271"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5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65"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04" w:lineRule="exact"/>
        <w:rPr>
          <w:sz w:val="20"/>
          <w:szCs w:val="20"/>
          <w:color w:val="auto"/>
        </w:rPr>
      </w:pPr>
    </w:p>
    <w:p>
      <w:pPr>
        <w:ind w:left="120" w:right="380" w:firstLine="440"/>
        <w:spacing w:after="0" w:line="244"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76"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320" w:top="455" w:right="6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17"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underwriters, brokers or dealers;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1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5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320" w:top="455"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Validity of the Securities</w:t>
      </w:r>
    </w:p>
    <w:p>
      <w:pPr>
        <w:spacing w:after="0" w:line="21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The validity of the debt securities and guarantees offered hereby will be passed upon for us by Gibson, Dunn &amp; Crutcher LLP, New York, New York. Certain matters of Luxembourg law will be passed upon by Loyens &amp; Loeff Luxembourg SARL, Luxembourg, Grand Duchy of Luxembourg; and certain matters of Curaçao will be passed upon by STvB Advocaten (Europe) N.V., Amsterdam, The Netherlands.</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320" w:top="455" w:right="6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40"/>
        <w:spacing w:after="0"/>
        <w:rPr>
          <w:sz w:val="20"/>
          <w:szCs w:val="20"/>
          <w:color w:val="auto"/>
        </w:rPr>
      </w:pPr>
      <w:r>
        <w:rPr>
          <w:rFonts w:ascii="Arial" w:cs="Arial" w:eastAsia="Arial" w:hAnsi="Arial"/>
          <w:sz w:val="29"/>
          <w:szCs w:val="29"/>
          <w:b w:val="1"/>
          <w:bCs w:val="1"/>
          <w:color w:val="auto"/>
        </w:rPr>
        <w:t>Schlumberger Investment S.A.</w:t>
      </w:r>
    </w:p>
    <w:p>
      <w:pPr>
        <w:spacing w:after="0" w:line="200" w:lineRule="exact"/>
        <w:rPr>
          <w:sz w:val="20"/>
          <w:szCs w:val="20"/>
          <w:color w:val="auto"/>
        </w:rPr>
      </w:pPr>
    </w:p>
    <w:p>
      <w:pPr>
        <w:spacing w:after="0" w:line="236" w:lineRule="exact"/>
        <w:rPr>
          <w:sz w:val="20"/>
          <w:szCs w:val="20"/>
          <w:color w:val="auto"/>
        </w:rPr>
      </w:pPr>
    </w:p>
    <w:p>
      <w:pPr>
        <w:ind w:left="4640" w:hanging="1448"/>
        <w:spacing w:after="0"/>
        <w:tabs>
          <w:tab w:leader="none" w:pos="4640" w:val="left"/>
        </w:tabs>
        <w:numPr>
          <w:ilvl w:val="0"/>
          <w:numId w:val="63"/>
        </w:numPr>
        <w:rPr>
          <w:rFonts w:ascii="Arial" w:cs="Arial" w:eastAsia="Arial" w:hAnsi="Arial"/>
          <w:sz w:val="29"/>
          <w:szCs w:val="29"/>
          <w:b w:val="1"/>
          <w:bCs w:val="1"/>
          <w:color w:val="auto"/>
        </w:rPr>
      </w:pPr>
      <w:r>
        <w:rPr>
          <w:rFonts w:ascii="Arial" w:cs="Arial" w:eastAsia="Arial" w:hAnsi="Arial"/>
          <w:sz w:val="29"/>
          <w:szCs w:val="29"/>
          <w:b w:val="1"/>
          <w:bCs w:val="1"/>
          <w:color w:val="auto"/>
        </w:rPr>
        <w:t>% Senior Notes due 2028</w:t>
      </w:r>
    </w:p>
    <w:p>
      <w:pPr>
        <w:spacing w:after="0" w:line="34" w:lineRule="exact"/>
        <w:rPr>
          <w:sz w:val="20"/>
          <w:szCs w:val="20"/>
          <w:color w:val="auto"/>
        </w:rPr>
      </w:pPr>
    </w:p>
    <w:p>
      <w:pPr>
        <w:ind w:left="4640" w:hanging="1448"/>
        <w:spacing w:after="0"/>
        <w:tabs>
          <w:tab w:leader="none" w:pos="4640" w:val="left"/>
        </w:tabs>
        <w:numPr>
          <w:ilvl w:val="0"/>
          <w:numId w:val="64"/>
        </w:numPr>
        <w:rPr>
          <w:rFonts w:ascii="Arial" w:cs="Arial" w:eastAsia="Arial" w:hAnsi="Arial"/>
          <w:sz w:val="29"/>
          <w:szCs w:val="29"/>
          <w:b w:val="1"/>
          <w:bCs w:val="1"/>
          <w:color w:val="auto"/>
        </w:rPr>
      </w:pPr>
      <w:r>
        <w:rPr>
          <w:rFonts w:ascii="Arial" w:cs="Arial" w:eastAsia="Arial" w:hAnsi="Arial"/>
          <w:sz w:val="29"/>
          <w:szCs w:val="29"/>
          <w:b w:val="1"/>
          <w:bCs w:val="1"/>
          <w:color w:val="auto"/>
        </w:rPr>
        <w:t>% Senior Notes due 2033</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3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1599565</wp:posOffset>
            </wp:positionV>
            <wp:extent cx="147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476250</wp:posOffset>
            </wp:positionV>
            <wp:extent cx="1225550" cy="737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12255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PROSPECTUS SUPPLEMENT</w:t>
      </w:r>
    </w:p>
    <w:p>
      <w:pPr>
        <w:spacing w:after="0" w:line="200" w:lineRule="exact"/>
        <w:rPr>
          <w:sz w:val="20"/>
          <w:szCs w:val="20"/>
          <w:color w:val="auto"/>
        </w:rPr>
      </w:pPr>
    </w:p>
    <w:p>
      <w:pPr>
        <w:spacing w:after="0" w:line="232" w:lineRule="exact"/>
        <w:rPr>
          <w:sz w:val="20"/>
          <w:szCs w:val="20"/>
          <w:color w:val="auto"/>
        </w:rPr>
      </w:pPr>
    </w:p>
    <w:p>
      <w:pPr>
        <w:ind w:left="4980"/>
        <w:spacing w:after="0"/>
        <w:tabs>
          <w:tab w:leader="none" w:pos="5760" w:val="left"/>
        </w:tabs>
        <w:rPr>
          <w:sz w:val="20"/>
          <w:szCs w:val="20"/>
          <w:color w:val="auto"/>
        </w:rPr>
      </w:pPr>
      <w:r>
        <w:rPr>
          <w:rFonts w:ascii="Arial" w:cs="Arial" w:eastAsia="Arial" w:hAnsi="Arial"/>
          <w:sz w:val="18"/>
          <w:szCs w:val="18"/>
          <w:b w:val="1"/>
          <w:bCs w:val="1"/>
          <w:color w:val="auto"/>
        </w:rPr>
        <w:t>May</w:t>
      </w:r>
      <w:r>
        <w:rPr>
          <w:sz w:val="20"/>
          <w:szCs w:val="20"/>
          <w:color w:val="auto"/>
        </w:rPr>
        <w:tab/>
      </w: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394970</wp:posOffset>
            </wp:positionV>
            <wp:extent cx="1474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6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459"/>
        <w:spacing w:after="0"/>
        <w:tabs>
          <w:tab w:leader="none" w:pos="5300" w:val="left"/>
          <w:tab w:leader="none" w:pos="600" w:val="left"/>
        </w:tabs>
        <w:rPr>
          <w:sz w:val="20"/>
          <w:szCs w:val="20"/>
          <w:color w:val="auto"/>
        </w:rPr>
      </w:pPr>
      <w:r>
        <w:rPr>
          <w:rFonts w:ascii="Arial" w:cs="Arial" w:eastAsia="Arial" w:hAnsi="Arial"/>
          <w:sz w:val="22"/>
          <w:szCs w:val="22"/>
          <w:b w:val="1"/>
          <w:bCs w:val="1"/>
          <w:color w:val="auto"/>
        </w:rPr>
        <w:t>BofA Securities</w:t>
      </w:r>
      <w:r>
        <w:rPr>
          <w:sz w:val="20"/>
          <w:szCs w:val="20"/>
          <w:color w:val="auto"/>
        </w:rPr>
        <w:tab/>
      </w: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1"/>
          <w:szCs w:val="21"/>
          <w:b w:val="1"/>
          <w:bCs w:val="1"/>
          <w:color w:val="auto"/>
        </w:rPr>
        <w:t>MUFG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500380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560705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4"/>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2"/>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lowerRoman"/>
      <w:start w:val="10"/>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lowerRoman"/>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lowerRoman"/>
      <w:start w:val="1"/>
    </w:lvl>
  </w:abstractNum>
  <w:abstractNum w:abstractNumId="26">
    <w:nsid w:val="7A6D8D3C"/>
    <w:multiLevelType w:val="hybridMultilevel"/>
    <w:lvl w:ilvl="0">
      <w:lvlJc w:val="left"/>
      <w:lvlText w:val="(%1)"/>
      <w:numFmt w:val="lowerRoman"/>
      <w:start w:val="1"/>
    </w:lvl>
  </w:abstractNum>
  <w:abstractNum w:abstractNumId="27">
    <w:nsid w:val="4B588F54"/>
    <w:multiLevelType w:val="hybridMultilevel"/>
    <w:lvl w:ilvl="0">
      <w:lvlJc w:val="left"/>
      <w:lvlText w:val="(%1)"/>
      <w:numFmt w:val="lowerRoman"/>
      <w:start w:val="2"/>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Letter"/>
      <w:start w:val="3"/>
    </w:lvl>
  </w:abstractNum>
  <w:abstractNum w:abstractNumId="30">
    <w:nsid w:val="38437FDB"/>
    <w:multiLevelType w:val="hybridMultilevel"/>
    <w:lvl w:ilvl="0">
      <w:lvlJc w:val="left"/>
      <w:lvlText w:val="(%1)"/>
      <w:numFmt w:val="lowerRoman"/>
      <w:start w:val="2"/>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decimal"/>
      <w:start w:val="713"/>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713"/>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9"/>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jpe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jpe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62" Type="http://schemas.openxmlformats.org/officeDocument/2006/relationships/hyperlink" Target="http://www.sec.gov/ix?doc=/Archives/edgar/data/0000087347/000156459023000762/slb-10k_20221231.htm" TargetMode="External"/><Relationship Id="rId63" Type="http://schemas.openxmlformats.org/officeDocument/2006/relationships/hyperlink" Target="http://www.sec.gov/ix?doc=/Archives/edgar/data/0000087347/000130817923000057/slb-20221231.htm" TargetMode="External"/><Relationship Id="rId65" Type="http://schemas.openxmlformats.org/officeDocument/2006/relationships/hyperlink" Target="http://www.sec.gov/ix?doc=/Archives/edgar/data/87347/000095017023014656/slb-20230331.htm" TargetMode="External"/><Relationship Id="rId66" Type="http://schemas.openxmlformats.org/officeDocument/2006/relationships/hyperlink" Target="http://www.sec.gov/ix?doc=/Archives/edgar/data/0000087347/000119312523092724/d452417d8k.htm" TargetMode="External"/><Relationship Id="rId67" Type="http://schemas.openxmlformats.org/officeDocument/2006/relationships/hyperlink" Target="http://www.sec.gov/ix?doc=/Archives/edgar/data/0000087347/000119312523103678/d489792d8k.htm" TargetMode="External"/><Relationship Id="rId68" Type="http://schemas.openxmlformats.org/officeDocument/2006/relationships/hyperlink" Target="http://www.sec.gov/ix?doc=/Archives/edgar/data/87347/000119312523110532/d47076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2023-05-08T08:55:21Z</dcterms:created>
  <dcterms:modified xsi:type="dcterms:W3CDTF">2023-05-08T08:55:21Z</dcterms:modified>
</cp:coreProperties>
</file>