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11946d424b5.htm"/>
        <w:bookmarkStart w:id="1" w:name="ksd411946d424b5"/>
        <w:bookmarkEnd w:id="0"/>
        <w:bookmarkEnd w:id="1"/>
        <w:r>
          <w:rPr>
            <w:rStyle w:val="InternetLink"/>
          </w:rPr>
          <w:t>Table of Contents</w:t>
        </w:r>
      </w:hyperlink>
    </w:p>
    <w:p>
      <w:pPr>
        <w:pStyle w:val="TextBody"/>
        <w:spacing w:before="0" w:after="0"/>
        <w:jc w:val="right"/>
        <w:rPr>
          <w:rFonts w:ascii="ARIAL" w:hAnsi="ARIAL"/>
          <w:b/>
          <w:sz w:val="20"/>
        </w:rPr>
      </w:pPr>
      <w:r>
        <w:rPr>
          <w:rFonts w:ascii="ARIAL" w:hAnsi="ARIAL"/>
          <w:b/>
          <w:sz w:val="20"/>
        </w:rPr>
        <w:t>Filed Pursuant to Rule 424(b)(5)</w:t>
        <w:br/>
        <w:t xml:space="preserve">Registration No. 333-271711 </w:t>
      </w:r>
    </w:p>
    <w:p>
      <w:pPr>
        <w:pStyle w:val="TextBody"/>
        <w:spacing w:before="0" w:after="0"/>
        <w:jc w:val="left"/>
        <w:rPr>
          <w:rFonts w:ascii="ARIAL" w:hAnsi="ARIAL"/>
          <w:b/>
          <w:sz w:val="20"/>
        </w:rPr>
      </w:pPr>
      <w:r>
        <w:rPr>
          <w:rFonts w:ascii="ARIAL" w:hAnsi="ARIAL"/>
          <w:b/>
          <w:sz w:val="20"/>
        </w:rPr>
        <w:t xml:space="preserve">PROSPECTUS SUPPLEMENT </w:t>
      </w:r>
    </w:p>
    <w:p>
      <w:pPr>
        <w:pStyle w:val="TextBody"/>
        <w:spacing w:before="0" w:after="0"/>
        <w:jc w:val="left"/>
        <w:rPr>
          <w:rFonts w:ascii="ARIAL" w:hAnsi="ARIAL"/>
          <w:b/>
          <w:sz w:val="20"/>
        </w:rPr>
      </w:pPr>
      <w:r>
        <w:rPr>
          <w:rFonts w:ascii="ARIAL" w:hAnsi="ARIAL"/>
          <w:b/>
          <w:sz w:val="20"/>
        </w:rPr>
        <w:t xml:space="preserve">(To Prospectus dated May 8, 2023) </w:t>
      </w:r>
    </w:p>
    <w:p>
      <w:pPr>
        <w:pStyle w:val="TextBody"/>
        <w:spacing w:before="0" w:after="0"/>
        <w:jc w:val="left"/>
        <w:rPr/>
      </w:pPr>
      <w:r>
        <w:rPr/>
        <w:t> </w:t>
      </w:r>
    </w:p>
    <w:p>
      <w:pPr>
        <w:pStyle w:val="TextBody"/>
        <w:spacing w:before="0" w:after="0"/>
        <w:jc w:val="center"/>
        <w:rPr/>
      </w:pPr>
      <w:r>
        <w:rPr/>
        <w:drawing>
          <wp:inline distT="0" distB="0" distL="0" distR="0">
            <wp:extent cx="136525" cy="819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6525" cy="81915"/>
                    </a:xfrm>
                    <a:prstGeom prst="rect">
                      <a:avLst/>
                    </a:prstGeom>
                  </pic:spPr>
                </pic:pic>
              </a:graphicData>
            </a:graphic>
          </wp:inline>
        </w:drawing>
      </w:r>
      <w:r>
        <w:rPr/>
        <w:t xml:space="preserve"> </w:t>
      </w:r>
    </w:p>
    <w:p>
      <w:pPr>
        <w:pStyle w:val="TextBody"/>
        <w:spacing w:before="160" w:after="0"/>
        <w:jc w:val="center"/>
        <w:rPr>
          <w:rFonts w:ascii="ARIAL" w:hAnsi="ARIAL"/>
          <w:b/>
          <w:sz w:val="48"/>
        </w:rPr>
      </w:pPr>
      <w:r>
        <w:rPr>
          <w:rFonts w:ascii="ARIAL" w:hAnsi="ARIAL"/>
          <w:b/>
          <w:sz w:val="48"/>
        </w:rPr>
        <w:t xml:space="preserve">Schlumberger Investment S.A. </w:t>
      </w:r>
    </w:p>
    <w:p>
      <w:pPr>
        <w:pStyle w:val="TextBody"/>
        <w:spacing w:before="160" w:after="0"/>
        <w:jc w:val="center"/>
        <w:rPr>
          <w:rFonts w:ascii="ARIAL" w:hAnsi="ARIAL"/>
          <w:b/>
          <w:sz w:val="28"/>
        </w:rPr>
      </w:pPr>
      <w:r>
        <w:rPr>
          <w:rFonts w:ascii="ARIAL" w:hAnsi="ARIAL"/>
          <w:b/>
          <w:sz w:val="28"/>
        </w:rPr>
        <w:t xml:space="preserve">$500,000,000 4.500% Senior Notes due 2028 </w:t>
      </w:r>
    </w:p>
    <w:p>
      <w:pPr>
        <w:pStyle w:val="TextBody"/>
        <w:spacing w:before="0" w:after="0"/>
        <w:jc w:val="center"/>
        <w:rPr>
          <w:rFonts w:ascii="ARIAL" w:hAnsi="ARIAL"/>
          <w:b/>
          <w:sz w:val="28"/>
        </w:rPr>
      </w:pPr>
      <w:r>
        <w:rPr>
          <w:rFonts w:ascii="ARIAL" w:hAnsi="ARIAL"/>
          <w:b/>
          <w:sz w:val="28"/>
        </w:rPr>
        <w:t xml:space="preserve">$500,000,000 4.850% Senior Notes due 2033 </w:t>
      </w:r>
    </w:p>
    <w:p>
      <w:pPr>
        <w:pStyle w:val="TextBody"/>
        <w:spacing w:before="160" w:after="0"/>
        <w:jc w:val="center"/>
        <w:rPr>
          <w:rFonts w:ascii="ARIAL" w:hAnsi="ARIAL"/>
          <w:b/>
          <w:sz w:val="28"/>
        </w:rPr>
      </w:pPr>
      <w:r>
        <w:rPr>
          <w:rFonts w:ascii="ARIAL" w:hAnsi="ARIAL"/>
          <w:b/>
          <w:sz w:val="28"/>
        </w:rPr>
        <w:t xml:space="preserve">Fully and unconditionally guaranteed by </w:t>
      </w:r>
    </w:p>
    <w:p>
      <w:pPr>
        <w:pStyle w:val="TextBody"/>
        <w:spacing w:before="0" w:after="0"/>
        <w:jc w:val="center"/>
        <w:rPr>
          <w:rFonts w:ascii="ARIAL" w:hAnsi="ARIAL"/>
          <w:b/>
          <w:sz w:val="28"/>
        </w:rPr>
      </w:pPr>
      <w:r>
        <w:rPr>
          <w:rFonts w:ascii="ARIAL" w:hAnsi="ARIAL"/>
          <w:b/>
          <w:sz w:val="28"/>
        </w:rPr>
        <w:t xml:space="preserve">Schlumberger Limited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ARIAL" w:hAnsi="ARIAL"/>
          <w:sz w:val="16"/>
        </w:rPr>
      </w:pPr>
      <w:r>
        <w:rPr>
          <w:rFonts w:ascii="ARIAL" w:hAnsi="ARIAL"/>
          <w:sz w:val="16"/>
        </w:rPr>
        <w:t xml:space="preserve">Schlumberger Investment S.A., a public limited liability company (société anonyme) incorporated and existing under the laws of the Grand Duchy of Luxembourg, having its registered office located at 5, Place de la Gare, L-1616 Luxembourg, Grand Duchy of Luxembourg, and registered with the Luxembourg Trade and Companies Register (Registre de Commerce et des Sociétés) under number B 163.122 (the Company) is offering U.S.$500,000,000 principal amount of its 4.500% Senior Notes due 2028 (the 2028 Notes) and U.S.$500,000,000 principal amount of its 4.850% Senior Notes due 2033 (the 2033 Notes and, together with the 2028 Notes, the Notes). </w:t>
      </w:r>
    </w:p>
    <w:p>
      <w:pPr>
        <w:pStyle w:val="TextBody"/>
        <w:spacing w:before="200" w:after="0"/>
        <w:jc w:val="left"/>
        <w:rPr>
          <w:rFonts w:ascii="ARIAL" w:hAnsi="ARIAL"/>
          <w:sz w:val="16"/>
        </w:rPr>
      </w:pPr>
      <w:r>
        <w:rPr>
          <w:rFonts w:ascii="ARIAL" w:hAnsi="ARIAL"/>
          <w:sz w:val="16"/>
        </w:rPr>
        <w:t xml:space="preserve">The 2028 Notes will bear interest at a rate of 4.500% per year. The 2033 Notes will bear interest at a rate of 4.850% per year. We will pay interest on the Notes semi-annually on May 15 and November 15 of each year, beginning on November 15, 2023. </w:t>
      </w:r>
    </w:p>
    <w:p>
      <w:pPr>
        <w:pStyle w:val="TextBody"/>
        <w:spacing w:before="200" w:after="0"/>
        <w:jc w:val="left"/>
        <w:rPr>
          <w:rFonts w:ascii="ARIAL" w:hAnsi="ARIAL"/>
          <w:sz w:val="16"/>
        </w:rPr>
      </w:pPr>
      <w:r>
        <w:rPr>
          <w:rFonts w:ascii="ARIAL" w:hAnsi="ARIAL"/>
          <w:sz w:val="16"/>
        </w:rPr>
        <w:t xml:space="preserve">The Notes will be fully and unconditionally guaranteed (the guarantees) on a senior unsecured basis by Schlumberger Limited (the Guarantor), the ultimate parent company of the Company. The guarantees will be the unsecured and unsubordinated obligations of the Guarantor and will rank equally with the Guarantors other unsecured and unsubordinated indebtedness from time to time outstanding. </w:t>
      </w:r>
    </w:p>
    <w:p>
      <w:pPr>
        <w:pStyle w:val="TextBody"/>
        <w:spacing w:before="200" w:after="0"/>
        <w:jc w:val="left"/>
        <w:rPr>
          <w:rFonts w:ascii="ARIAL" w:hAnsi="ARIAL"/>
          <w:sz w:val="16"/>
        </w:rPr>
      </w:pPr>
      <w:r>
        <w:rPr>
          <w:rFonts w:ascii="ARIAL" w:hAnsi="ARIAL"/>
          <w:sz w:val="16"/>
        </w:rPr>
        <w:t xml:space="preserve">The Company may redeem some or all of the Notes at any time and from time to time at the redemption prices described in this prospectus supplement, plus accrued and unpaid interest to the redemption date. </w:t>
      </w:r>
    </w:p>
    <w:p>
      <w:pPr>
        <w:pStyle w:val="TextBody"/>
        <w:spacing w:before="200" w:after="0"/>
        <w:jc w:val="left"/>
        <w:rPr>
          <w:rFonts w:ascii="ARIAL" w:hAnsi="ARIAL"/>
          <w:sz w:val="16"/>
        </w:rPr>
      </w:pPr>
      <w:r>
        <w:rPr>
          <w:rFonts w:ascii="ARIAL" w:hAnsi="ARIAL"/>
          <w:sz w:val="16"/>
        </w:rPr>
        <w:t xml:space="preserve">The Notes will be the unsecured and unsubordinated obligations of the Company and will rank equally with its other unsecured and unsubordinated indebtedness from time to time outstanding. </w:t>
      </w:r>
    </w:p>
    <w:p>
      <w:pPr>
        <w:pStyle w:val="TextBody"/>
        <w:spacing w:before="200" w:after="0"/>
        <w:jc w:val="left"/>
        <w:rPr>
          <w:rFonts w:ascii="ARIAL" w:hAnsi="ARIAL"/>
          <w:sz w:val="16"/>
        </w:rPr>
      </w:pPr>
      <w:r>
        <w:rPr>
          <w:rFonts w:ascii="ARIAL" w:hAnsi="ARIAL"/>
          <w:sz w:val="16"/>
        </w:rPr>
        <w:t xml:space="preserve">The Notes will not be listed on any securities exchange. Currently, there is no public market for the Notes.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pPr>
      <w:r>
        <w:rPr>
          <w:rFonts w:ascii="ARIAL" w:hAnsi="ARIAL"/>
          <w:b/>
          <w:sz w:val="24"/>
        </w:rPr>
        <w:t>Investing in the Notes involves risks. See </w:t>
      </w:r>
      <w:hyperlink w:anchor="s411946_4">
        <w:r>
          <w:rPr>
            <w:rStyle w:val="InternetLink"/>
            <w:rFonts w:ascii="ARIAL" w:hAnsi="ARIAL"/>
            <w:b/>
            <w:sz w:val="24"/>
          </w:rPr>
          <w:t>Risk Factors</w:t>
        </w:r>
      </w:hyperlink>
      <w:r>
        <w:rPr>
          <w:rFonts w:ascii="ARIAL" w:hAnsi="ARIAL"/>
          <w:b/>
          <w:sz w:val="24"/>
        </w:rPr>
        <w:t xml:space="preserve"> beginning on page S-6. </w:t>
      </w:r>
    </w:p>
    <w:p>
      <w:pPr>
        <w:pStyle w:val="TextBody"/>
        <w:spacing w:before="200" w:after="0"/>
        <w:jc w:val="left"/>
        <w:rPr>
          <w:rFonts w:ascii="ARIAL" w:hAnsi="ARIAL"/>
          <w:b/>
          <w:sz w:val="16"/>
        </w:rPr>
      </w:pPr>
      <w:r>
        <w:rPr>
          <w:rFonts w:ascii="ARIAL" w:hAnsi="ARIAL"/>
          <w:b/>
          <w:sz w:val="16"/>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667"/>
        <w:gridCol w:w="329"/>
        <w:gridCol w:w="74"/>
        <w:gridCol w:w="935"/>
        <w:gridCol w:w="275"/>
        <w:gridCol w:w="233"/>
        <w:gridCol w:w="74"/>
        <w:gridCol w:w="935"/>
        <w:gridCol w:w="275"/>
        <w:gridCol w:w="233"/>
        <w:gridCol w:w="140"/>
        <w:gridCol w:w="1338"/>
        <w:gridCol w:w="64"/>
      </w:tblGrid>
      <w:tr>
        <w:trPr/>
        <w:tc>
          <w:tcPr>
            <w:tcW w:w="3667"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667"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0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 2028</w:t>
              <w:br/>
              <w:t>Note</w:t>
            </w:r>
          </w:p>
        </w:tc>
        <w:tc>
          <w:tcPr>
            <w:tcW w:w="27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0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 2033</w:t>
              <w:br/>
              <w:t>Note</w:t>
            </w:r>
          </w:p>
        </w:tc>
        <w:tc>
          <w:tcPr>
            <w:tcW w:w="27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4" w:type="dxa"/>
            <w:tcBorders/>
            <w:shd w:fill="auto" w:val="clear"/>
            <w:vAlign w:val="bottom"/>
          </w:tcPr>
          <w:p>
            <w:pPr>
              <w:pStyle w:val="TableContents"/>
              <w:spacing w:before="0" w:after="283"/>
              <w:rPr/>
            </w:pPr>
            <w:r>
              <w:rPr/>
              <w:t> </w:t>
            </w:r>
          </w:p>
        </w:tc>
      </w:tr>
      <w:tr>
        <w:trPr/>
        <w:tc>
          <w:tcPr>
            <w:tcW w:w="3667" w:type="dxa"/>
            <w:tcBorders/>
            <w:shd w:fill="CCEEFF" w:val="clear"/>
          </w:tcPr>
          <w:p>
            <w:pPr>
              <w:pStyle w:val="TableContents"/>
              <w:spacing w:before="0" w:after="0"/>
              <w:rPr>
                <w:rFonts w:ascii="ARIAL" w:hAnsi="ARIAL"/>
                <w:sz w:val="16"/>
              </w:rPr>
            </w:pPr>
            <w:r>
              <w:rPr>
                <w:rFonts w:ascii="ARIAL" w:hAnsi="ARIAL"/>
                <w:sz w:val="16"/>
              </w:rPr>
              <w:t>Public Offering Price(1)</w:t>
            </w:r>
          </w:p>
        </w:tc>
        <w:tc>
          <w:tcPr>
            <w:tcW w:w="329"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99.810</w:t>
            </w:r>
          </w:p>
        </w:tc>
        <w:tc>
          <w:tcPr>
            <w:tcW w:w="27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99.914</w:t>
            </w:r>
          </w:p>
        </w:tc>
        <w:tc>
          <w:tcPr>
            <w:tcW w:w="27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38" w:type="dxa"/>
            <w:tcBorders/>
            <w:shd w:fill="CCEEFF" w:val="clear"/>
            <w:vAlign w:val="bottom"/>
          </w:tcPr>
          <w:p>
            <w:pPr>
              <w:pStyle w:val="TableContents"/>
              <w:spacing w:before="0" w:after="283"/>
              <w:jc w:val="right"/>
              <w:rPr/>
            </w:pPr>
            <w:r>
              <w:rPr/>
              <w:t>998,620,000</w:t>
            </w:r>
          </w:p>
        </w:tc>
        <w:tc>
          <w:tcPr>
            <w:tcW w:w="64" w:type="dxa"/>
            <w:tcBorders/>
            <w:shd w:fill="CCEEFF" w:val="clear"/>
            <w:vAlign w:val="bottom"/>
          </w:tcPr>
          <w:p>
            <w:pPr>
              <w:pStyle w:val="TableContents"/>
              <w:spacing w:before="0" w:after="283"/>
              <w:rPr/>
            </w:pPr>
            <w:r>
              <w:rPr/>
              <w:t> </w:t>
            </w:r>
          </w:p>
        </w:tc>
      </w:tr>
      <w:tr>
        <w:trPr/>
        <w:tc>
          <w:tcPr>
            <w:tcW w:w="3667" w:type="dxa"/>
            <w:tcBorders/>
            <w:shd w:fill="auto" w:val="clear"/>
          </w:tcPr>
          <w:p>
            <w:pPr>
              <w:pStyle w:val="TableContents"/>
              <w:spacing w:before="0" w:after="0"/>
              <w:rPr>
                <w:rFonts w:ascii="ARIAL" w:hAnsi="ARIAL"/>
                <w:sz w:val="16"/>
              </w:rPr>
            </w:pPr>
            <w:r>
              <w:rPr>
                <w:rFonts w:ascii="ARIAL" w:hAnsi="ARIAL"/>
                <w:sz w:val="16"/>
              </w:rPr>
              <w:t>Underwriting Discount</w:t>
            </w:r>
          </w:p>
        </w:tc>
        <w:tc>
          <w:tcPr>
            <w:tcW w:w="329"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0.350</w:t>
            </w:r>
          </w:p>
        </w:tc>
        <w:tc>
          <w:tcPr>
            <w:tcW w:w="27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0.450</w:t>
            </w:r>
          </w:p>
        </w:tc>
        <w:tc>
          <w:tcPr>
            <w:tcW w:w="27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38" w:type="dxa"/>
            <w:tcBorders/>
            <w:shd w:fill="auto" w:val="clear"/>
            <w:vAlign w:val="bottom"/>
          </w:tcPr>
          <w:p>
            <w:pPr>
              <w:pStyle w:val="TableContents"/>
              <w:spacing w:before="0" w:after="283"/>
              <w:jc w:val="right"/>
              <w:rPr/>
            </w:pPr>
            <w:r>
              <w:rPr/>
              <w:t>4,000,000</w:t>
            </w:r>
          </w:p>
        </w:tc>
        <w:tc>
          <w:tcPr>
            <w:tcW w:w="64" w:type="dxa"/>
            <w:tcBorders/>
            <w:shd w:fill="auto" w:val="clear"/>
            <w:vAlign w:val="bottom"/>
          </w:tcPr>
          <w:p>
            <w:pPr>
              <w:pStyle w:val="TableContents"/>
              <w:spacing w:before="0" w:after="283"/>
              <w:rPr/>
            </w:pPr>
            <w:r>
              <w:rPr/>
              <w:t> </w:t>
            </w:r>
          </w:p>
        </w:tc>
      </w:tr>
      <w:tr>
        <w:trPr/>
        <w:tc>
          <w:tcPr>
            <w:tcW w:w="3667" w:type="dxa"/>
            <w:tcBorders/>
            <w:shd w:fill="CCEEFF" w:val="clear"/>
          </w:tcPr>
          <w:p>
            <w:pPr>
              <w:pStyle w:val="TableContents"/>
              <w:spacing w:before="0" w:after="0"/>
              <w:rPr>
                <w:rFonts w:ascii="ARIAL" w:hAnsi="ARIAL"/>
                <w:sz w:val="16"/>
              </w:rPr>
            </w:pPr>
            <w:r>
              <w:rPr>
                <w:rFonts w:ascii="ARIAL" w:hAnsi="ARIAL"/>
                <w:sz w:val="16"/>
              </w:rPr>
              <w:t>Proceeds to the Company (before expenses)</w:t>
            </w:r>
          </w:p>
        </w:tc>
        <w:tc>
          <w:tcPr>
            <w:tcW w:w="329"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99.460</w:t>
            </w:r>
          </w:p>
        </w:tc>
        <w:tc>
          <w:tcPr>
            <w:tcW w:w="27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99.464</w:t>
            </w:r>
          </w:p>
        </w:tc>
        <w:tc>
          <w:tcPr>
            <w:tcW w:w="27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38" w:type="dxa"/>
            <w:tcBorders/>
            <w:shd w:fill="CCEEFF" w:val="clear"/>
            <w:vAlign w:val="bottom"/>
          </w:tcPr>
          <w:p>
            <w:pPr>
              <w:pStyle w:val="TableContents"/>
              <w:spacing w:before="0" w:after="283"/>
              <w:jc w:val="right"/>
              <w:rPr/>
            </w:pPr>
            <w:r>
              <w:rPr/>
              <w:t>994,620,000</w:t>
            </w:r>
          </w:p>
        </w:tc>
        <w:tc>
          <w:tcPr>
            <w:tcW w:w="64"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Plus accrued interest on the Notes, if any, from May 15, 2023 to the date of delivery. </w:t>
            </w:r>
          </w:p>
        </w:tc>
      </w:tr>
    </w:tbl>
    <w:p>
      <w:pPr>
        <w:pStyle w:val="TextBody"/>
        <w:spacing w:before="200" w:after="0"/>
        <w:jc w:val="left"/>
        <w:rPr>
          <w:rFonts w:ascii="ARIAL" w:hAnsi="ARIAL"/>
          <w:sz w:val="16"/>
        </w:rPr>
      </w:pPr>
      <w:r>
        <w:rPr>
          <w:rFonts w:ascii="ARIAL" w:hAnsi="ARIAL"/>
          <w:sz w:val="16"/>
        </w:rPr>
        <w:t xml:space="preserve">The underwriters expect to deliver the Notes to purchasers against payment on or about May 15, 2023, solely in book-entry form through the facilities of The Depository Trust Company and its participants, including Euroclear Bank SA/ NV, as operator of the Euroclear System, and Clearstream Banking S.A.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ARIAL" w:hAnsi="ARIAL"/>
          <w:i/>
          <w:sz w:val="16"/>
        </w:rPr>
      </w:pPr>
      <w:r>
        <w:rPr>
          <w:rFonts w:ascii="ARIAL" w:hAnsi="ARIAL"/>
          <w:i/>
          <w:sz w:val="16"/>
        </w:rPr>
        <w:t xml:space="preserve">Joint Book-Running Managers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367"/>
        <w:gridCol w:w="102"/>
        <w:gridCol w:w="3368"/>
        <w:gridCol w:w="102"/>
        <w:gridCol w:w="3266"/>
      </w:tblGrid>
      <w:tr>
        <w:trPr/>
        <w:tc>
          <w:tcPr>
            <w:tcW w:w="33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jc w:val="center"/>
              <w:rPr>
                <w:b/>
              </w:rPr>
            </w:pPr>
            <w:r>
              <w:rPr>
                <w:b/>
              </w:rPr>
              <w:t>BofA Securities</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jc w:val="center"/>
              <w:rPr>
                <w:b/>
              </w:rPr>
            </w:pPr>
            <w:r>
              <w:rPr>
                <w:b/>
              </w:rPr>
              <w:t>Deutsche Bank Securities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MUFG</w:t>
            </w:r>
          </w:p>
        </w:tc>
      </w:tr>
    </w:tbl>
    <w:tbl>
      <w:tblPr>
        <w:tblW w:w="5000" w:type="pct"/>
        <w:jc w:val="left"/>
        <w:tblInd w:w="0" w:type="dxa"/>
        <w:tblCellMar>
          <w:top w:w="0" w:type="dxa"/>
          <w:left w:w="0" w:type="dxa"/>
          <w:bottom w:w="0" w:type="dxa"/>
          <w:right w:w="0" w:type="dxa"/>
        </w:tblCellMar>
      </w:tblPr>
      <w:tblGrid>
        <w:gridCol w:w="2245"/>
        <w:gridCol w:w="101"/>
        <w:gridCol w:w="2246"/>
        <w:gridCol w:w="101"/>
        <w:gridCol w:w="2756"/>
        <w:gridCol w:w="102"/>
        <w:gridCol w:w="2654"/>
      </w:tblGrid>
      <w:tr>
        <w:trPr/>
        <w:tc>
          <w:tcPr>
            <w:tcW w:w="224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75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654" w:type="dxa"/>
            <w:tcBorders/>
            <w:shd w:fill="auto" w:val="clear"/>
            <w:vAlign w:val="center"/>
          </w:tcPr>
          <w:p>
            <w:pPr>
              <w:pStyle w:val="TableContents"/>
              <w:spacing w:before="0" w:after="283"/>
              <w:rPr>
                <w:sz w:val="4"/>
                <w:szCs w:val="4"/>
              </w:rPr>
            </w:pPr>
            <w:r>
              <w:rPr>
                <w:sz w:val="4"/>
                <w:szCs w:val="4"/>
              </w:rPr>
            </w:r>
          </w:p>
        </w:tc>
      </w:tr>
      <w:tr>
        <w:trPr/>
        <w:tc>
          <w:tcPr>
            <w:tcW w:w="2245" w:type="dxa"/>
            <w:tcBorders/>
            <w:shd w:fill="auto" w:val="clear"/>
          </w:tcPr>
          <w:p>
            <w:pPr>
              <w:pStyle w:val="TableContents"/>
              <w:spacing w:before="0" w:after="283"/>
              <w:jc w:val="center"/>
              <w:rPr>
                <w:b/>
              </w:rPr>
            </w:pPr>
            <w:r>
              <w:rPr>
                <w:b/>
              </w:rPr>
              <w:t>BBVA</w:t>
            </w:r>
          </w:p>
        </w:tc>
        <w:tc>
          <w:tcPr>
            <w:tcW w:w="101"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center"/>
              <w:rPr>
                <w:b/>
              </w:rPr>
            </w:pPr>
            <w:r>
              <w:rPr>
                <w:b/>
              </w:rPr>
              <w:t>BNP PARIBAS</w:t>
            </w:r>
          </w:p>
        </w:tc>
        <w:tc>
          <w:tcPr>
            <w:tcW w:w="101" w:type="dxa"/>
            <w:tcBorders/>
            <w:shd w:fill="auto" w:val="clear"/>
            <w:vAlign w:val="bottom"/>
          </w:tcPr>
          <w:p>
            <w:pPr>
              <w:pStyle w:val="TableContents"/>
              <w:spacing w:before="0" w:after="283"/>
              <w:rPr/>
            </w:pPr>
            <w:r>
              <w:rPr/>
              <w:t> </w:t>
            </w:r>
          </w:p>
        </w:tc>
        <w:tc>
          <w:tcPr>
            <w:tcW w:w="2756" w:type="dxa"/>
            <w:tcBorders/>
            <w:shd w:fill="auto" w:val="clear"/>
          </w:tcPr>
          <w:p>
            <w:pPr>
              <w:pStyle w:val="TableContents"/>
              <w:spacing w:before="0" w:after="283"/>
              <w:jc w:val="center"/>
              <w:rPr>
                <w:b/>
              </w:rPr>
            </w:pPr>
            <w:r>
              <w:rPr>
                <w:b/>
              </w:rPr>
              <w:t>J.P. Morgan</w:t>
            </w:r>
          </w:p>
        </w:tc>
        <w:tc>
          <w:tcPr>
            <w:tcW w:w="102" w:type="dxa"/>
            <w:tcBorders/>
            <w:shd w:fill="auto" w:val="clear"/>
            <w:vAlign w:val="bottom"/>
          </w:tcPr>
          <w:p>
            <w:pPr>
              <w:pStyle w:val="TableContents"/>
              <w:spacing w:before="0" w:after="283"/>
              <w:rPr/>
            </w:pPr>
            <w:r>
              <w:rPr/>
              <w:t> </w:t>
            </w:r>
          </w:p>
        </w:tc>
        <w:tc>
          <w:tcPr>
            <w:tcW w:w="2654" w:type="dxa"/>
            <w:tcBorders/>
            <w:shd w:fill="auto" w:val="clear"/>
          </w:tcPr>
          <w:p>
            <w:pPr>
              <w:pStyle w:val="TableContents"/>
              <w:spacing w:before="0" w:after="283"/>
              <w:jc w:val="center"/>
              <w:rPr>
                <w:b/>
              </w:rPr>
            </w:pPr>
            <w:r>
              <w:rPr>
                <w:b/>
              </w:rPr>
              <w:t>SOCIETE GENERALE</w:t>
            </w:r>
          </w:p>
        </w:tc>
      </w:tr>
    </w:tbl>
    <w:tbl>
      <w:tblPr>
        <w:tblW w:w="5000" w:type="pct"/>
        <w:jc w:val="left"/>
        <w:tblInd w:w="0" w:type="dxa"/>
        <w:tblCellMar>
          <w:top w:w="0" w:type="dxa"/>
          <w:left w:w="0" w:type="dxa"/>
          <w:bottom w:w="0" w:type="dxa"/>
          <w:right w:w="0" w:type="dxa"/>
        </w:tblCellMar>
      </w:tblPr>
      <w:tblGrid>
        <w:gridCol w:w="1531"/>
        <w:gridCol w:w="101"/>
        <w:gridCol w:w="1531"/>
        <w:gridCol w:w="101"/>
        <w:gridCol w:w="3471"/>
        <w:gridCol w:w="102"/>
        <w:gridCol w:w="3368"/>
      </w:tblGrid>
      <w:tr>
        <w:trPr/>
        <w:tc>
          <w:tcPr>
            <w:tcW w:w="153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47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shd w:fill="auto" w:val="clear"/>
          </w:tcPr>
          <w:p>
            <w:pPr>
              <w:pStyle w:val="TableContents"/>
              <w:spacing w:before="0" w:after="0"/>
              <w:jc w:val="center"/>
              <w:rPr>
                <w:rFonts w:ascii="ARIAL" w:hAnsi="ARIAL"/>
                <w:i/>
                <w:sz w:val="16"/>
              </w:rPr>
            </w:pPr>
            <w:r>
              <w:rPr>
                <w:rFonts w:ascii="ARIAL" w:hAnsi="ARIAL"/>
                <w:i/>
                <w:sz w:val="16"/>
              </w:rPr>
              <w:t>Co-Managers</w:t>
            </w:r>
          </w:p>
          <w:p>
            <w:pPr>
              <w:pStyle w:val="TableContents"/>
              <w:spacing w:before="0" w:after="20"/>
              <w:jc w:val="left"/>
              <w:rPr/>
            </w:pPr>
            <w:r>
              <w:rPr/>
              <w:t> </w:t>
            </w:r>
          </w:p>
        </w:tc>
      </w:tr>
      <w:tr>
        <w:trPr/>
        <w:tc>
          <w:tcPr>
            <w:tcW w:w="1531" w:type="dxa"/>
            <w:tcBorders/>
            <w:shd w:fill="auto" w:val="clear"/>
          </w:tcPr>
          <w:p>
            <w:pPr>
              <w:pStyle w:val="TableContents"/>
              <w:spacing w:before="0" w:after="283"/>
              <w:jc w:val="center"/>
              <w:rPr>
                <w:b/>
              </w:rPr>
            </w:pPr>
            <w:r>
              <w:rPr>
                <w:b/>
              </w:rPr>
              <w:t>HSBC</w:t>
            </w:r>
          </w:p>
        </w:tc>
        <w:tc>
          <w:tcPr>
            <w:tcW w:w="101" w:type="dxa"/>
            <w:tcBorders/>
            <w:shd w:fill="auto" w:val="clear"/>
            <w:vAlign w:val="bottom"/>
          </w:tcPr>
          <w:p>
            <w:pPr>
              <w:pStyle w:val="TableContents"/>
              <w:spacing w:before="0" w:after="283"/>
              <w:rPr/>
            </w:pPr>
            <w:r>
              <w:rPr/>
              <w:t> </w:t>
            </w:r>
          </w:p>
        </w:tc>
        <w:tc>
          <w:tcPr>
            <w:tcW w:w="1531" w:type="dxa"/>
            <w:tcBorders/>
            <w:shd w:fill="auto" w:val="clear"/>
          </w:tcPr>
          <w:p>
            <w:pPr>
              <w:pStyle w:val="TableContents"/>
              <w:spacing w:before="0" w:after="283"/>
              <w:jc w:val="center"/>
              <w:rPr>
                <w:b/>
              </w:rPr>
            </w:pPr>
            <w:r>
              <w:rPr>
                <w:b/>
              </w:rPr>
              <w:t>Natixis</w:t>
            </w:r>
          </w:p>
        </w:tc>
        <w:tc>
          <w:tcPr>
            <w:tcW w:w="101"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0"/>
              <w:jc w:val="center"/>
              <w:rPr>
                <w:rFonts w:ascii="ARIAL" w:hAnsi="ARIAL"/>
                <w:b/>
                <w:sz w:val="20"/>
              </w:rPr>
            </w:pPr>
            <w:r>
              <w:rPr>
                <w:rFonts w:ascii="ARIAL" w:hAnsi="ARIAL"/>
                <w:b/>
                <w:sz w:val="20"/>
              </w:rPr>
              <w:t>Standard Chartered Bank</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0"/>
              <w:jc w:val="center"/>
              <w:rPr>
                <w:rFonts w:ascii="ARIAL" w:hAnsi="ARIAL"/>
                <w:b/>
                <w:sz w:val="20"/>
              </w:rPr>
            </w:pPr>
            <w:r>
              <w:rPr>
                <w:rFonts w:ascii="ARIAL" w:hAnsi="ARIAL"/>
                <w:b/>
                <w:sz w:val="20"/>
              </w:rPr>
              <w:t>UniCredit Capital Markets</w:t>
            </w:r>
          </w:p>
        </w:tc>
      </w:tr>
    </w:tbl>
    <w:p>
      <w:pPr>
        <w:pStyle w:val="TextBody"/>
        <w:spacing w:before="200" w:after="0"/>
        <w:jc w:val="center"/>
        <w:rPr>
          <w:rFonts w:ascii="ARIAL" w:hAnsi="ARIAL"/>
          <w:b/>
          <w:sz w:val="16"/>
        </w:rPr>
      </w:pPr>
      <w:r>
        <w:rPr>
          <w:rFonts w:ascii="ARIAL" w:hAnsi="ARIAL"/>
          <w:b/>
          <w:sz w:val="16"/>
        </w:rPr>
        <w:t xml:space="preserve">May 8,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spacing w:before="120" w:after="0"/>
        <w:jc w:val="center"/>
        <w:rPr>
          <w:rFonts w:ascii="ARIAL" w:hAnsi="ARIAL"/>
          <w:b/>
          <w:sz w:val="20"/>
        </w:rPr>
      </w:pPr>
      <w:r>
        <w:rPr>
          <w:rFonts w:ascii="ARIAL" w:hAnsi="ARIAL"/>
          <w:b/>
          <w:sz w:val="20"/>
        </w:rPr>
        <w:t xml:space="preserve">Prospectus Supplement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53"/>
        <w:gridCol w:w="145"/>
        <w:gridCol w:w="60"/>
        <w:gridCol w:w="485"/>
        <w:gridCol w:w="62"/>
      </w:tblGrid>
      <w:tr>
        <w:trPr/>
        <w:tc>
          <w:tcPr>
            <w:tcW w:w="945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5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1">
              <w:r>
                <w:rPr>
                  <w:rStyle w:val="InternetLink"/>
                  <w:rFonts w:ascii="ARIAL" w:hAnsi="ARIAL"/>
                  <w:sz w:val="20"/>
                </w:rPr>
                <w:t>Cautionary Statement Regarding Forward-Looking Statements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S-iii</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2">
              <w:r>
                <w:rPr>
                  <w:rStyle w:val="InternetLink"/>
                  <w:rFonts w:ascii="ARIAL" w:hAnsi="ARIAL"/>
                  <w:sz w:val="20"/>
                </w:rPr>
                <w:t>Summary</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S-1</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3">
              <w:r>
                <w:rPr>
                  <w:rStyle w:val="InternetLink"/>
                  <w:rFonts w:ascii="ARIAL" w:hAnsi="ARIAL"/>
                  <w:sz w:val="20"/>
                </w:rPr>
                <w:t>The Offering</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S-3</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4">
              <w:r>
                <w:rPr>
                  <w:rStyle w:val="InternetLink"/>
                  <w:rFonts w:ascii="ARIAL" w:hAnsi="ARIAL"/>
                  <w:sz w:val="20"/>
                </w:rPr>
                <w:t>Risk Factors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S-6</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5">
              <w:r>
                <w:rPr>
                  <w:rStyle w:val="InternetLink"/>
                  <w:rFonts w:ascii="ARIAL" w:hAnsi="ARIAL"/>
                  <w:sz w:val="20"/>
                </w:rPr>
                <w:t>Use of Proceeds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S-8</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6">
              <w:r>
                <w:rPr>
                  <w:rStyle w:val="InternetLink"/>
                  <w:rFonts w:ascii="ARIAL" w:hAnsi="ARIAL"/>
                  <w:sz w:val="20"/>
                </w:rPr>
                <w:t>Description of the Notes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S-9</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7">
              <w:r>
                <w:rPr>
                  <w:rStyle w:val="InternetLink"/>
                  <w:rFonts w:ascii="ARIAL" w:hAnsi="ARIAL"/>
                  <w:sz w:val="20"/>
                </w:rPr>
                <w:t>Non-U.S. Federal Income Tax Considerations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S-30</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8">
              <w:r>
                <w:rPr>
                  <w:rStyle w:val="InternetLink"/>
                  <w:rFonts w:ascii="ARIAL" w:hAnsi="ARIAL"/>
                  <w:sz w:val="20"/>
                </w:rPr>
                <w:t>U.S. Federal Income Tax Considerations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S-34</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9">
              <w:r>
                <w:rPr>
                  <w:rStyle w:val="InternetLink"/>
                  <w:rFonts w:ascii="ARIAL" w:hAnsi="ARIAL"/>
                  <w:sz w:val="20"/>
                </w:rPr>
                <w:t>Underwriting (Conflicts of Interest)</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S-37</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10">
              <w:r>
                <w:rPr>
                  <w:rStyle w:val="InternetLink"/>
                  <w:rFonts w:ascii="ARIAL" w:hAnsi="ARIAL"/>
                  <w:sz w:val="20"/>
                </w:rPr>
                <w:t>Legal Matters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S-43</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11">
              <w:r>
                <w:rPr>
                  <w:rStyle w:val="InternetLink"/>
                  <w:rFonts w:ascii="ARIAL" w:hAnsi="ARIAL"/>
                  <w:sz w:val="20"/>
                </w:rPr>
                <w:t>Experts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S-43</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12">
              <w:r>
                <w:rPr>
                  <w:rStyle w:val="InternetLink"/>
                  <w:rFonts w:ascii="ARIAL" w:hAnsi="ARIAL"/>
                  <w:sz w:val="20"/>
                </w:rPr>
                <w:t>Where you Can Find More Information</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S-43</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411946_13">
              <w:r>
                <w:rPr>
                  <w:rStyle w:val="InternetLink"/>
                  <w:rFonts w:ascii="ARIAL" w:hAnsi="ARIAL"/>
                  <w:sz w:val="20"/>
                </w:rPr>
                <w:t>Incorporation of Documents by Reference</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S-43</w:t>
            </w:r>
          </w:p>
        </w:tc>
        <w:tc>
          <w:tcPr>
            <w:tcW w:w="62" w:type="dxa"/>
            <w:tcBorders/>
            <w:shd w:fill="auto" w:val="clear"/>
            <w:vAlign w:val="bottom"/>
          </w:tcPr>
          <w:p>
            <w:pPr>
              <w:pStyle w:val="TableContents"/>
              <w:spacing w:before="0" w:after="283"/>
              <w:rPr/>
            </w:pPr>
            <w:r>
              <w:rPr/>
              <w:t> </w:t>
            </w:r>
          </w:p>
        </w:tc>
      </w:tr>
    </w:tbl>
    <w:p>
      <w:pPr>
        <w:pStyle w:val="TextBody"/>
        <w:spacing w:before="240" w:after="0"/>
        <w:jc w:val="center"/>
        <w:rPr>
          <w:rFonts w:ascii="ARIAL" w:hAnsi="ARIAL"/>
          <w:b/>
          <w:sz w:val="20"/>
        </w:rPr>
      </w:pPr>
      <w:r>
        <w:rPr>
          <w:rFonts w:ascii="ARIAL" w:hAnsi="ARIAL"/>
          <w:b/>
          <w:sz w:val="20"/>
        </w:rPr>
        <w:t xml:space="preserve">Prospectus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74"/>
        <w:gridCol w:w="352"/>
        <w:gridCol w:w="96"/>
        <w:gridCol w:w="420"/>
        <w:gridCol w:w="63"/>
      </w:tblGrid>
      <w:tr>
        <w:trPr/>
        <w:tc>
          <w:tcPr>
            <w:tcW w:w="9274"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5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1">
              <w:r>
                <w:rPr>
                  <w:rStyle w:val="InternetLink"/>
                  <w:rFonts w:ascii="ARIAL" w:hAnsi="ARIAL"/>
                  <w:sz w:val="20"/>
                </w:rPr>
                <w:t>About this Prospectus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2">
              <w:r>
                <w:rPr>
                  <w:rStyle w:val="InternetLink"/>
                  <w:rFonts w:ascii="ARIAL" w:hAnsi="ARIAL"/>
                  <w:sz w:val="20"/>
                </w:rPr>
                <w:t>About the Guarantor</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3">
              <w:r>
                <w:rPr>
                  <w:rStyle w:val="InternetLink"/>
                  <w:rFonts w:ascii="ARIAL" w:hAnsi="ARIAL"/>
                  <w:sz w:val="20"/>
                </w:rPr>
                <w:t>About the Company</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4">
              <w:r>
                <w:rPr>
                  <w:rStyle w:val="InternetLink"/>
                  <w:rFonts w:ascii="ARIAL" w:hAnsi="ARIAL"/>
                  <w:sz w:val="20"/>
                </w:rPr>
                <w:t>Cautionary Statement Regarding Forward-Looking Statements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5">
              <w:r>
                <w:rPr>
                  <w:rStyle w:val="InternetLink"/>
                  <w:rFonts w:ascii="ARIAL" w:hAnsi="ARIAL"/>
                  <w:sz w:val="20"/>
                </w:rPr>
                <w:t>Risk Factors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6">
              <w:r>
                <w:rPr>
                  <w:rStyle w:val="InternetLink"/>
                  <w:rFonts w:ascii="ARIAL" w:hAnsi="ARIAL"/>
                  <w:sz w:val="20"/>
                </w:rPr>
                <w:t>Where You Can Find More Information</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7">
              <w:r>
                <w:rPr>
                  <w:rStyle w:val="InternetLink"/>
                  <w:rFonts w:ascii="ARIAL" w:hAnsi="ARIAL"/>
                  <w:sz w:val="20"/>
                </w:rPr>
                <w:t>Incorporation of Documents by Reference</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8">
              <w:r>
                <w:rPr>
                  <w:rStyle w:val="InternetLink"/>
                  <w:rFonts w:ascii="ARIAL" w:hAnsi="ARIAL"/>
                  <w:sz w:val="20"/>
                </w:rPr>
                <w:t>Use of Proceeds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9">
              <w:r>
                <w:rPr>
                  <w:rStyle w:val="InternetLink"/>
                  <w:rFonts w:ascii="ARIAL" w:hAnsi="ARIAL"/>
                  <w:sz w:val="20"/>
                </w:rPr>
                <w:t>Description of Debt Securities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10">
              <w:r>
                <w:rPr>
                  <w:rStyle w:val="InternetLink"/>
                  <w:rFonts w:ascii="ARIAL" w:hAnsi="ARIAL"/>
                  <w:sz w:val="20"/>
                </w:rPr>
                <w:t>Plan of Distribution</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11">
              <w:r>
                <w:rPr>
                  <w:rStyle w:val="InternetLink"/>
                  <w:rFonts w:ascii="ARIAL" w:hAnsi="ARIAL"/>
                  <w:sz w:val="20"/>
                </w:rPr>
                <w:t>Validity of the Securities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tcPr>
          <w:p>
            <w:pPr>
              <w:pStyle w:val="TableContents"/>
              <w:spacing w:before="0" w:after="0"/>
              <w:rPr/>
            </w:pPr>
            <w:hyperlink w:anchor="toc410295_12">
              <w:r>
                <w:rPr>
                  <w:rStyle w:val="InternetLink"/>
                  <w:rFonts w:ascii="ARIAL" w:hAnsi="ARIAL"/>
                  <w:sz w:val="20"/>
                </w:rPr>
                <w:t>Experts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As used in this prospectus supplement, unless otherwise stated or the context otherwise requires: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the Company refers to Schlumberger Investment S.A., as defined on the first page of this prospectus supplement;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the Guarantor refers to Schlumberger Limited, the ultimate parent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the SLB Group or SLB refers to Schlumberger Limited and its consolidated subsidiaries, including the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we, us and our and similar expressions refer to the SLB Group, including the Company, except when used in connection with the Notes, in which case these terms refer solely to the Company. </w:t>
            </w:r>
          </w:p>
        </w:tc>
      </w:tr>
    </w:tbl>
    <w:p>
      <w:pPr>
        <w:pStyle w:val="TextBody"/>
        <w:spacing w:before="240" w:after="0"/>
        <w:jc w:val="left"/>
        <w:rPr>
          <w:rFonts w:ascii="ARIAL" w:hAnsi="ARIAL"/>
          <w:sz w:val="20"/>
        </w:rPr>
      </w:pPr>
      <w:r>
        <w:rPr>
          <w:rFonts w:ascii="ARIAL" w:hAnsi="ARIAL"/>
          <w:sz w:val="20"/>
        </w:rPr>
        <w:t xml:space="preserve">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 </w:t>
      </w:r>
    </w:p>
    <w:p>
      <w:pPr>
        <w:pStyle w:val="TextBody"/>
        <w:spacing w:before="240" w:after="0"/>
        <w:jc w:val="left"/>
        <w:rPr>
          <w:rFonts w:ascii="ARIAL" w:hAnsi="ARIAL"/>
          <w:sz w:val="20"/>
        </w:rPr>
      </w:pPr>
      <w:r>
        <w:rPr>
          <w:rFonts w:ascii="ARIAL" w:hAnsi="ARIAL"/>
          <w:sz w:val="20"/>
        </w:rPr>
        <w:t xml:space="preserve">You should rely only on the information contained or incorporated by reference in this prospectus supplement, the accompanying prospectus and any related free writing prospectus issued by us or on our behalf. We have not, and the underwriters have not, authorized any other person to provide you with information other than that contained or incorporated by reference in this prospectus supplement and the accompanying prospectus or in any related free writing prospectus. The information contained or incorporated by reference in this prospectus supplement and the accompanying prospectus is accurate as of the date on the front cover of such documents only. The business, properties, assets, results of operations, financial position or prospects of the Company and the Guarantor may have changed since that date. Neither the delivery of this prospectus supplement nor of the accompanying prospectus, nor any sale made thereunder, will imply that the information herein is correct as of any date subsequent to the date on the cover of such documents. We are not, and the underwriters are not, making an offer to sell the Notes in any jurisdiction where the offer or sale is not permitted.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3" w:name="s411946_1"/>
      <w:bookmarkEnd w:id="3"/>
      <w:r>
        <w:rPr>
          <w:rFonts w:ascii="ARIAL" w:hAnsi="ARIAL"/>
          <w:b/>
          <w:sz w:val="20"/>
        </w:rPr>
        <w:t xml:space="preserve">CAUTIONARY STATEMENT REGARDING FORWARD-LOOKING STATEMENTS </w:t>
      </w:r>
    </w:p>
    <w:p>
      <w:pPr>
        <w:pStyle w:val="TextBody"/>
        <w:spacing w:before="240" w:after="0"/>
        <w:jc w:val="left"/>
        <w:rPr>
          <w:rFonts w:ascii="ARIAL" w:hAnsi="ARIAL"/>
          <w:sz w:val="20"/>
        </w:rPr>
      </w:pPr>
      <w:r>
        <w:rPr>
          <w:rFonts w:ascii="ARIAL" w:hAnsi="ARIAL"/>
          <w:sz w:val="20"/>
        </w:rPr>
        <w:t xml:space="preserve">This prospectus supplement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 </w:t>
      </w:r>
    </w:p>
    <w:p>
      <w:pPr>
        <w:pStyle w:val="TextBody"/>
        <w:spacing w:before="240" w:after="0"/>
        <w:jc w:val="left"/>
        <w:rPr>
          <w:rFonts w:ascii="ARIAL" w:hAnsi="ARIAL"/>
          <w:sz w:val="20"/>
        </w:rPr>
      </w:pPr>
      <w:r>
        <w:rPr>
          <w:rFonts w:ascii="ARIAL" w:hAnsi="ARIAL"/>
          <w:sz w:val="20"/>
        </w:rPr>
        <w:t xml:space="preserve">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the SLB Groups financial and performance targets and other forecasts or expectations regarding, or dependent on, its business outlook; growth for the SLB Group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the SLB Group and the oil and gas industry; the business strategies of the SLB Group, including digital and fit for basin, as well as the strategies of its customers; the SLB Groups effective tax rate; the SLB Groups Asset Performance Solutions projects, joint ventures, and other alliances; the SLB Groups response to the COVID-19 pandemic and its preparedness for other widespread health emergencies;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the SLB Groups customers, and changes in the level of oil and natural gas exploration and development; the results of operations and financial condition of the SLB Groups customers and suppliers; the SLB Groups inability to achieve its financial and performance targets and other forecasts and expectations; the SLB Groups inability to achieve its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the SLB Groups supply chain; production declines; the extent of future charges; the SLB Groups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prospectus supplement and in the Guarantors filings with the SEC. All subsequent written and oral forward-looking statements attributable to the Company or the Guarantor or to persons acting on their behalf are expressly qualified in their entirety by reference to these risks and uncertainties. Each forward-looking statement speaks only as of the date of the particular statement, and we undertake no obligation to publicly update or revise any forward-looking statements except as required by law.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20"/>
          <w:bdr w:val="single" w:sz="8" w:space="1" w:color="000000"/>
        </w:rPr>
      </w:pPr>
      <w:bookmarkStart w:id="4" w:name="s411946_2"/>
      <w:bookmarkEnd w:id="4"/>
      <w:r>
        <w:rPr>
          <w:rFonts w:ascii="ARIAL" w:hAnsi="ARIAL"/>
          <w:b/>
          <w:sz w:val="20"/>
          <w:bdr w:val="single" w:sz="8" w:space="1" w:color="000000"/>
        </w:rPr>
        <w:t xml:space="preserve">SUMMARY </w:t>
      </w:r>
    </w:p>
    <w:p>
      <w:pPr>
        <w:pStyle w:val="TextBody"/>
        <w:spacing w:before="240" w:after="0"/>
        <w:jc w:val="left"/>
        <w:rPr>
          <w:rFonts w:ascii="ARIAL" w:hAnsi="ARIAL"/>
          <w:sz w:val="20"/>
          <w:bdr w:val="single" w:sz="8" w:space="1" w:color="000000"/>
        </w:rPr>
      </w:pPr>
      <w:r>
        <w:rPr>
          <w:rFonts w:ascii="ARIAL" w:hAnsi="ARIAL"/>
          <w:sz w:val="20"/>
          <w:bdr w:val="single" w:sz="8" w:space="1" w:color="000000"/>
        </w:rPr>
        <w:t xml:space="preserve">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the Guarantors Annual Report on Form 10-K for the year ended December 31, 2022 and the Guarantors Quarterly Report on Form 10-Q for the fiscal quarter ended March 31, 2023. </w:t>
      </w:r>
    </w:p>
    <w:p>
      <w:pPr>
        <w:pStyle w:val="TextBody"/>
        <w:spacing w:before="360" w:after="0"/>
        <w:jc w:val="left"/>
        <w:rPr>
          <w:rFonts w:ascii="ARIAL" w:hAnsi="ARIAL"/>
          <w:b/>
          <w:sz w:val="20"/>
          <w:bdr w:val="single" w:sz="8" w:space="1" w:color="000000"/>
        </w:rPr>
      </w:pPr>
      <w:r>
        <w:rPr>
          <w:rFonts w:ascii="ARIAL" w:hAnsi="ARIAL"/>
          <w:b/>
          <w:sz w:val="20"/>
          <w:bdr w:val="single" w:sz="8" w:space="1" w:color="000000"/>
        </w:rPr>
        <w:t xml:space="preserve">Business </w:t>
      </w:r>
    </w:p>
    <w:p>
      <w:pPr>
        <w:pStyle w:val="TextBody"/>
        <w:spacing w:before="120" w:after="0"/>
        <w:jc w:val="left"/>
        <w:rPr>
          <w:rFonts w:ascii="ARIAL" w:hAnsi="ARIAL"/>
          <w:sz w:val="20"/>
          <w:bdr w:val="single" w:sz="8" w:space="1" w:color="000000"/>
        </w:rPr>
      </w:pPr>
      <w:r>
        <w:rPr>
          <w:rFonts w:ascii="ARIAL" w:hAnsi="ARIAL"/>
          <w:sz w:val="20"/>
          <w:bdr w:val="single" w:sz="8" w:space="1" w:color="000000"/>
        </w:rPr>
        <w:t xml:space="preserve">We are SLB. In October 2022, we announced our brand which is built around a new nameSLBand a logo that underscores our vision for a decarbonized energy future. This move affirmed our transformation from the worlds largest oilfield services company to a global technology company focused on driving energy innovation. The SLB brand builds on nearly a century of technology innovation and industrialization expertise in the energy services industrycontinuing to drive innovation, decarbonization and performance for the oil and gas industry while increasing our focus on low- and zero-carbon energy technology solutions. Our new identity symbolizes SLBs commitment to moving farther and faster in facilitating the worlds energy needs today and forging the road ahead for a sustainable future. </w:t>
      </w:r>
    </w:p>
    <w:p>
      <w:pPr>
        <w:pStyle w:val="TextBody"/>
        <w:spacing w:before="240" w:after="0"/>
        <w:jc w:val="left"/>
        <w:rPr>
          <w:rFonts w:ascii="ARIAL" w:hAnsi="ARIAL"/>
          <w:sz w:val="20"/>
          <w:bdr w:val="single" w:sz="8" w:space="1" w:color="000000"/>
        </w:rPr>
      </w:pPr>
      <w:r>
        <w:rPr>
          <w:rFonts w:ascii="ARIAL" w:hAnsi="ARIAL"/>
          <w:sz w:val="20"/>
          <w:bdr w:val="single" w:sz="8" w:space="1" w:color="000000"/>
        </w:rPr>
        <w:t xml:space="preserve">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w:t>
      </w:r>
    </w:p>
    <w:p>
      <w:pPr>
        <w:pStyle w:val="TextBody"/>
        <w:spacing w:before="240" w:after="0"/>
        <w:jc w:val="left"/>
        <w:rPr>
          <w:rFonts w:ascii="ARIAL" w:hAnsi="ARIAL"/>
          <w:sz w:val="20"/>
          <w:bdr w:val="single" w:sz="8" w:space="1" w:color="000000"/>
        </w:rPr>
      </w:pPr>
      <w:r>
        <w:rPr>
          <w:rFonts w:ascii="ARIAL" w:hAnsi="ARIAL"/>
          <w:sz w:val="20"/>
          <w:bdr w:val="single" w:sz="8" w:space="1" w:color="000000"/>
        </w:rPr>
        <w:t xml:space="preserve">SLB is organized under four Divisions that combine and integrate SLBs technologies, enhancing our ability to support the emerging long-term growth opportunities in each of these market segments. The four Divisions are Digital &amp; Integration, Reservoir Performance, Well Construction, and Production Systems. </w:t>
      </w:r>
    </w:p>
    <w:p>
      <w:pPr>
        <w:pStyle w:val="TextBody"/>
        <w:spacing w:before="240" w:after="0"/>
        <w:jc w:val="left"/>
        <w:rPr>
          <w:rFonts w:ascii="ARIAL" w:hAnsi="ARIAL"/>
          <w:sz w:val="20"/>
          <w:bdr w:val="single" w:sz="8" w:space="1" w:color="000000"/>
        </w:rPr>
      </w:pPr>
      <w:r>
        <w:rPr>
          <w:rFonts w:ascii="ARIAL" w:hAnsi="ARIAL"/>
          <w:sz w:val="20"/>
          <w:bdr w:val="single" w:sz="8" w:space="1" w:color="000000"/>
        </w:rPr>
        <w:t xml:space="preserve">The Divisions operate through the geographical structure of four Basins that are aligned with critical concentrations of activity: Americas Land, Offshore Atlantic, Middle East &amp; North Africa, and Asia. The Basins are configured around common regional characteristics that enable us to deploy fit-for-purpose technologies, operating models and skills to meet the specific customer needs in each Basin and are focused on agility, responsiveness, and competitiveness. The Basins are organized into GeoUnits, which can be a single country or made up of several countries. With a strong focus on customers, the Basins identify opportunities for growth. </w:t>
      </w:r>
    </w:p>
    <w:p>
      <w:pPr>
        <w:pStyle w:val="TextBody"/>
        <w:spacing w:before="240" w:after="0"/>
        <w:jc w:val="left"/>
        <w:rPr>
          <w:rFonts w:ascii="ARIAL" w:hAnsi="ARIAL"/>
          <w:sz w:val="20"/>
          <w:bdr w:val="single" w:sz="8" w:space="1" w:color="000000"/>
        </w:rPr>
      </w:pPr>
      <w:r>
        <w:rPr>
          <w:rFonts w:ascii="ARIAL" w:hAnsi="ARIAL"/>
          <w:sz w:val="20"/>
          <w:bdr w:val="single" w:sz="8" w:space="1" w:color="000000"/>
        </w:rPr>
        <w:t xml:space="preserve">Supporting the Divisions is a global network of research and development centers. Through these centers we advance SLBs technology programs to enhance industry efficiency, lower finding and producing costs, improve productivity, maximize reserve recovery, and increase asset value safely, securely, and sustainably. </w:t>
      </w:r>
    </w:p>
    <w:p>
      <w:pPr>
        <w:pStyle w:val="TextBody"/>
        <w:spacing w:before="360" w:after="0"/>
        <w:jc w:val="left"/>
        <w:rPr>
          <w:rFonts w:ascii="ARIAL" w:hAnsi="ARIAL"/>
          <w:b/>
          <w:sz w:val="20"/>
          <w:bdr w:val="single" w:sz="8" w:space="1" w:color="000000"/>
        </w:rPr>
      </w:pPr>
      <w:r>
        <w:rPr>
          <w:rFonts w:ascii="ARIAL" w:hAnsi="ARIAL"/>
          <w:b/>
          <w:sz w:val="20"/>
          <w:bdr w:val="single" w:sz="8" w:space="1" w:color="000000"/>
        </w:rPr>
        <w:t xml:space="preserve">About the Guarantor </w:t>
      </w:r>
    </w:p>
    <w:p>
      <w:pPr>
        <w:pStyle w:val="TextBody"/>
        <w:spacing w:before="120" w:after="0"/>
        <w:jc w:val="left"/>
        <w:rPr>
          <w:rFonts w:ascii="ARIAL" w:hAnsi="ARIAL"/>
          <w:sz w:val="20"/>
          <w:bdr w:val="single" w:sz="8" w:space="1" w:color="000000"/>
        </w:rPr>
      </w:pPr>
      <w:r>
        <w:rPr>
          <w:rFonts w:ascii="ARIAL" w:hAnsi="ARIAL"/>
          <w:sz w:val="20"/>
          <w:bdr w:val="single" w:sz="8" w:space="1" w:color="000000"/>
        </w:rPr>
        <w:t xml:space="preserve">The Guarantor was founded in 1926 and is incorporated under the laws of Curaçao. The Guarantor is the ultimate parent of the Company. </w:t>
      </w:r>
    </w:p>
    <w:p>
      <w:pPr>
        <w:pStyle w:val="TextBody"/>
        <w:spacing w:before="240" w:after="0"/>
        <w:jc w:val="left"/>
        <w:rPr>
          <w:rFonts w:ascii="ARIAL" w:hAnsi="ARIAL"/>
          <w:sz w:val="20"/>
          <w:bdr w:val="single" w:sz="8" w:space="1" w:color="000000"/>
        </w:rPr>
      </w:pPr>
      <w:r>
        <w:rPr>
          <w:rFonts w:ascii="ARIAL" w:hAnsi="ARIAL"/>
          <w:sz w:val="20"/>
          <w:bdr w:val="single" w:sz="8" w:space="1" w:color="000000"/>
        </w:rPr>
        <w:t xml:space="preserve">The Guarantor has executive offices in Paris, Houston, London and The Hague. The principal U.S. market for the Guarantors common stock is the New York Stock Exchange, where it is traded under the symbol SLB.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ARIAL" w:hAnsi="ARIAL"/>
          <w:b/>
          <w:sz w:val="20"/>
          <w:bdr w:val="single" w:sz="8" w:space="1" w:color="000000"/>
        </w:rPr>
      </w:pPr>
      <w:r>
        <w:rPr>
          <w:rFonts w:ascii="ARIAL" w:hAnsi="ARIAL"/>
          <w:b/>
          <w:sz w:val="20"/>
          <w:bdr w:val="single" w:sz="8" w:space="1" w:color="000000"/>
        </w:rPr>
        <w:t xml:space="preserve">About the Company </w:t>
      </w:r>
    </w:p>
    <w:p>
      <w:pPr>
        <w:pStyle w:val="TextBody"/>
        <w:spacing w:before="120" w:after="0"/>
        <w:jc w:val="left"/>
        <w:rPr>
          <w:rFonts w:ascii="ARIAL" w:hAnsi="ARIAL"/>
          <w:b/>
          <w:i/>
          <w:sz w:val="20"/>
          <w:bdr w:val="single" w:sz="8" w:space="1" w:color="000000"/>
        </w:rPr>
      </w:pPr>
      <w:r>
        <w:rPr>
          <w:rFonts w:ascii="ARIAL" w:hAnsi="ARIAL"/>
          <w:b/>
          <w:i/>
          <w:sz w:val="20"/>
          <w:bdr w:val="single" w:sz="8" w:space="1" w:color="000000"/>
        </w:rPr>
        <w:t xml:space="preserve">Legal and organizational status </w:t>
      </w:r>
    </w:p>
    <w:p>
      <w:pPr>
        <w:pStyle w:val="TextBody"/>
        <w:spacing w:before="120" w:after="0"/>
        <w:jc w:val="left"/>
        <w:rPr>
          <w:rFonts w:ascii="ARIAL" w:hAnsi="ARIAL"/>
          <w:sz w:val="20"/>
          <w:bdr w:val="single" w:sz="8" w:space="1" w:color="000000"/>
        </w:rPr>
      </w:pPr>
      <w:r>
        <w:rPr>
          <w:rFonts w:ascii="ARIAL" w:hAnsi="ARIAL"/>
          <w:sz w:val="20"/>
          <w:bdr w:val="single" w:sz="8" w:space="1" w:color="000000"/>
        </w:rPr>
        <w:t xml:space="preserve">Schlumberger Investment S.A. is a public limited liability company (société anonyme) incorporated in 2011 under the laws of the Grand Duchy of Luxembourg and registered with the Luxembourg Trade and Companies Register (Registre de Commerce et des Sociétés) under number B 163.122. The Companys registered office is at 5, Place de la Gare, L-1616 Luxembourg and its telephone number is +352 284 878 1045. </w:t>
      </w:r>
    </w:p>
    <w:p>
      <w:pPr>
        <w:pStyle w:val="TextBody"/>
        <w:spacing w:before="240" w:after="0"/>
        <w:jc w:val="left"/>
        <w:rPr>
          <w:rFonts w:ascii="ARIAL" w:hAnsi="ARIAL"/>
          <w:sz w:val="20"/>
          <w:bdr w:val="single" w:sz="8" w:space="1" w:color="000000"/>
        </w:rPr>
      </w:pPr>
      <w:r>
        <w:rPr>
          <w:rFonts w:ascii="ARIAL" w:hAnsi="ARIAL"/>
          <w:sz w:val="20"/>
          <w:bdr w:val="single" w:sz="8" w:space="1" w:color="000000"/>
        </w:rPr>
        <w:t xml:space="preserve">The Company is part of the SLB Group and all shares of the Company are owned indirectly by the Guarantor. </w:t>
      </w:r>
    </w:p>
    <w:p>
      <w:pPr>
        <w:pStyle w:val="TextBody"/>
        <w:spacing w:before="360" w:after="0"/>
        <w:jc w:val="left"/>
        <w:rPr>
          <w:rFonts w:ascii="ARIAL" w:hAnsi="ARIAL"/>
          <w:b/>
          <w:i/>
          <w:sz w:val="20"/>
          <w:bdr w:val="single" w:sz="8" w:space="1" w:color="000000"/>
        </w:rPr>
      </w:pPr>
      <w:r>
        <w:rPr>
          <w:rFonts w:ascii="ARIAL" w:hAnsi="ARIAL"/>
          <w:b/>
          <w:i/>
          <w:sz w:val="20"/>
          <w:bdr w:val="single" w:sz="8" w:space="1" w:color="000000"/>
        </w:rPr>
        <w:t xml:space="preserve">Activities </w:t>
      </w:r>
    </w:p>
    <w:p>
      <w:pPr>
        <w:pStyle w:val="TextBody"/>
        <w:spacing w:before="120" w:after="0"/>
        <w:jc w:val="left"/>
        <w:rPr>
          <w:rFonts w:ascii="ARIAL" w:hAnsi="ARIAL"/>
          <w:sz w:val="20"/>
          <w:bdr w:val="single" w:sz="8" w:space="1" w:color="000000"/>
        </w:rPr>
      </w:pPr>
      <w:r>
        <w:rPr>
          <w:rFonts w:ascii="ARIAL" w:hAnsi="ARIAL"/>
          <w:sz w:val="20"/>
          <w:bdr w:val="single" w:sz="8" w:space="1" w:color="000000"/>
        </w:rPr>
        <w:t xml:space="preserve">The Company has no subsidiaries, and its principal activities are debt issuance and intercompany group financing.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20"/>
          <w:bdr w:val="single" w:sz="8" w:space="1" w:color="000000"/>
        </w:rPr>
      </w:pPr>
      <w:bookmarkStart w:id="5" w:name="s411946_3"/>
      <w:bookmarkEnd w:id="5"/>
      <w:r>
        <w:rPr>
          <w:rFonts w:ascii="ARIAL" w:hAnsi="ARIAL"/>
          <w:b/>
          <w:sz w:val="20"/>
          <w:bdr w:val="single" w:sz="8" w:space="1" w:color="000000"/>
        </w:rPr>
        <w:t xml:space="preserve">THE OFFERING </w:t>
      </w:r>
    </w:p>
    <w:p>
      <w:pPr>
        <w:pStyle w:val="TextBody"/>
        <w:spacing w:before="240" w:after="0"/>
        <w:jc w:val="left"/>
        <w:rPr>
          <w:rFonts w:ascii="ARIAL" w:hAnsi="ARIAL"/>
          <w:i/>
          <w:sz w:val="20"/>
          <w:bdr w:val="single" w:sz="8" w:space="1" w:color="000000"/>
        </w:rPr>
      </w:pPr>
      <w:r>
        <w:rPr>
          <w:rFonts w:ascii="ARIAL" w:hAnsi="ARIAL"/>
          <w:i/>
          <w:sz w:val="20"/>
          <w:bdr w:val="single" w:sz="8" w:space="1" w:color="000000"/>
        </w:rPr>
        <w:t xml:space="preserve">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3367"/>
        <w:gridCol w:w="203"/>
        <w:gridCol w:w="6635"/>
      </w:tblGrid>
      <w:tr>
        <w:trPr/>
        <w:tc>
          <w:tcPr>
            <w:tcW w:w="336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635"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Issuer</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Schlumberger Investment S.A., as defined on the first page of this prospectus supplement.</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Guarantor</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Schlumberger Limited.</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Notes Offered</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U.S.$500,000,000 principal amount of 4.500% Senior Notes due 2028.</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U.S.$500,000,000 principal amount of 4.850% Senior Notes due 2033.</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Maturity Date</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2028 Notes will mature on May 15, 2028.</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2033 Notes will mature on May 15, 2033.</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Interest</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2028 Notes will bear interest at 4.500% per annum.</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2033 Notes will bear interest at 4.850% per annum.</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Interest Payment Dates</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Interest on the Notes will be payable semi-annually on May 15 and November 15 of each year, commencing November 15, 2023.</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Guarantees</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Guarantor will fully and unconditionally guarantee the principal of, and any premium and interest on, the Notes and the Companys obligations under the indenture, as described under Description of the NotesGuarantees.</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Notes will not be guaranteed by any of the Guarantors subsidiaries.</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Minimum Denomination</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U.S.$2,000 and integral multiples of U.S.$1,000 in excess thereof.</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Optional Redemption</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At any time prior to April 15, 2028, (one month prior to the maturity date of the 2028 Notes), in the case of the 2028 Notes, and February 15, 2033, (three months prior to the maturity date of the 2033 Notes), in the case of the 2033 Notes, we may redeem some or all of the Notes of the applicable series at the applicable make whole redemption price described in Description of the NotesOptional Redemption, plus accrued and unpaid interest, if any, to, but not including, the applicable redemption date.</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At any time on or after April 15, 2028, in the case of the 2028 Notes, and February 15, 2033, in the case of the 2033 Notes, we may redeem some or all of the Notes of the applicable series at a redemption price equal to 100% of the principal amount of such Notes to be redeemed, plus accrued and unpaid interest, if any, to, but not including, the redemption date. See Description of the NotesOptional Redemption.</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Optional Tax Redemption</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In the event that, as a result of certain tax law changes, the Company (or the Guarantor) becomes obligated to pay additional amounts as described under Description of the NotesAdditional Amounts, the Company (or the Guarantor) may redeem all of the Notes of a series prior to maturity at a redemption price equal to</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367"/>
        <w:gridCol w:w="203"/>
        <w:gridCol w:w="6635"/>
      </w:tblGrid>
      <w:tr>
        <w:trPr/>
        <w:tc>
          <w:tcPr>
            <w:tcW w:w="336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635"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100% of their principal amount plus accrued interest to the date of redemption as described under Description of the NotesRedemption upon Changes in Tax Law.</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Payment of Additional Amounts</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Any payments made by the Company, or the Guarantor under the Guarantees, will be made without withholding or deduction for taxes imposed by any jurisdiction in which the Company or the Guarantor is incorporated, organized or resident for tax purposes or through which a payment is made on the Notes on their behalf, except as required by law. If any such withholding or deduction is required with respect to Notes of a series, the Company (or the Guarantor, if applicable) will pay, subject to certain exceptions, additional amounts necessary so that the net amount received by the beneficial owners after the withholding is not less than the amount that they would have received in the absence of the withholding.</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For more information on additional amounts and the situations in which the Company may be required to pay additional amounts, see Description of the NotesAdditional Amounts.</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Ranking</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Notes will rank equally and ratably with all other unsecured and unsubordinated indebtedness of the Company.</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Guarantees will rank equally and ratably with all other unsecured and unsubordinated indebtedness of the Guarantor.</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See Description of the NotesRanking of the Notes and Guarantees.</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Certain Covenants</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Company will issue the Notes under an indenture with The Bank of New York Mellon, as trustee, as supplemented by one or more supplemental indentures (as supplemented, the Indenture). The Indenture will, among other things, restrict the ability of the Guarantor, the Company and the Guarantors other subsidiaries to:</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0"/>
              <w:rPr>
                <w:rFonts w:ascii="ARIAL" w:hAnsi="ARIAL"/>
                <w:sz w:val="20"/>
              </w:rPr>
            </w:pPr>
            <w:r>
              <w:rPr>
                <w:rFonts w:ascii="ARIAL" w:hAnsi="ARIAL"/>
                <w:sz w:val="20"/>
              </w:rPr>
              <w:t>  incur indebtedness secured by liens on specified restricted properties; and</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0"/>
              <w:rPr>
                <w:rFonts w:ascii="ARIAL" w:hAnsi="ARIAL"/>
                <w:sz w:val="20"/>
              </w:rPr>
            </w:pPr>
            <w:r>
              <w:rPr>
                <w:rFonts w:ascii="ARIAL" w:hAnsi="ARIAL"/>
                <w:sz w:val="20"/>
              </w:rPr>
              <w:t>  consolidate or merge under specific circumstances.</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For more details, see Description of the NotesCertain Covenants.</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Use of Proceeds</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We intend to use the net proceeds from the offering to repay certain commercial paper borrowings and a portion of our outstanding 3.65% senior notes due 2023 (the 2023 notes). Following the repayment of the commercial paper borrowings, we intend to invest any remaining net proceeds prior to repaying the 2023 notes in the second half of 2023.</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Absence of a Public Market for the Notes</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Notes are new securities and there is currently no existing market for the Notes. Accordingly, there can be no assurances as to the development or liquidity of any market for the Notes.</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367"/>
        <w:gridCol w:w="203"/>
        <w:gridCol w:w="6635"/>
      </w:tblGrid>
      <w:tr>
        <w:trPr/>
        <w:tc>
          <w:tcPr>
            <w:tcW w:w="336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635"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Further Issuances</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Company may, from time to time, without notice to or the consent of the registered holders of the Notes of a series, create and issue additional Notes of such series having the same terms as, and ranking equally and ratably with, any of the outstanding Notes of such series in all respects. Such additional Notes will also be fully and unconditionally guaranteed by the Guarantor (on the same terms and with the same ranking as the Guarantee for such series of Notes). See Description of the NotesFurther Issuances.</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Assumption by a Subsidiary</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Any subsidiary of the Guarantor may, at its option, assume the obligations of the Company as the issuer of the Notes and the Company will be released from its liability as obligor under the Notes. See Description of the NotesAssumption by a Subsidiary.    For a description of U.S. federal income tax considerations related to these provisions, see U.S. Federal Income Tax Considerations.</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Governing Law</w:t>
            </w:r>
          </w:p>
        </w:tc>
        <w:tc>
          <w:tcPr>
            <w:tcW w:w="203" w:type="dxa"/>
            <w:tcBorders/>
            <w:shd w:fill="auto" w:val="clear"/>
            <w:vAlign w:val="bottom"/>
          </w:tcPr>
          <w:p>
            <w:pPr>
              <w:pStyle w:val="TableContents"/>
              <w:spacing w:before="0" w:after="283"/>
              <w:rPr/>
            </w:pPr>
            <w:r>
              <w:rPr/>
              <w:t>  </w:t>
            </w:r>
          </w:p>
        </w:tc>
        <w:tc>
          <w:tcPr>
            <w:tcW w:w="6635" w:type="dxa"/>
            <w:tcBorders/>
            <w:shd w:fill="auto" w:val="clear"/>
          </w:tcPr>
          <w:p>
            <w:pPr>
              <w:pStyle w:val="TableContents"/>
              <w:spacing w:before="0" w:after="283"/>
              <w:rPr/>
            </w:pPr>
            <w:r>
              <w:rPr/>
              <w:t>The Indenture, including the Guarantees contained therein, and the Notes will be governed by, and construed in accordance with, the laws of the State of New York. The application of the provisions of articles 470-1 to 470-19 (inclusive) of the Luxembourg law of 10 August 1915 on commercial companies, as amended, is hereby expressly excluded.</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t>Trustee, Registrar, Paying Agent and Transfer Agent</w:t>
            </w:r>
          </w:p>
        </w:tc>
        <w:tc>
          <w:tcPr>
            <w:tcW w:w="203" w:type="dxa"/>
            <w:tcBorders/>
            <w:shd w:fill="auto" w:val="clear"/>
            <w:vAlign w:val="bottom"/>
          </w:tcPr>
          <w:p>
            <w:pPr>
              <w:pStyle w:val="TableContents"/>
              <w:spacing w:before="0" w:after="283"/>
              <w:rPr/>
            </w:pPr>
            <w:r>
              <w:rPr/>
              <w:t>  </w:t>
            </w:r>
          </w:p>
        </w:tc>
        <w:tc>
          <w:tcPr>
            <w:tcW w:w="6635" w:type="dxa"/>
            <w:tcBorders/>
            <w:shd w:fill="auto" w:val="clear"/>
            <w:vAlign w:val="bottom"/>
          </w:tcPr>
          <w:p>
            <w:pPr>
              <w:pStyle w:val="TableContents"/>
              <w:spacing w:before="0" w:after="283"/>
              <w:rPr/>
            </w:pPr>
            <w:r>
              <w:rPr/>
              <w:t>The Bank of New York Mellon.</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6" w:name="s411946_4"/>
      <w:bookmarkEnd w:id="6"/>
      <w:r>
        <w:rPr>
          <w:rFonts w:ascii="ARIAL" w:hAnsi="ARIAL"/>
          <w:b/>
          <w:sz w:val="20"/>
        </w:rPr>
        <w:t xml:space="preserve">RISK FACTORS </w:t>
      </w:r>
    </w:p>
    <w:p>
      <w:pPr>
        <w:pStyle w:val="TextBody"/>
        <w:spacing w:before="240" w:after="0"/>
        <w:jc w:val="left"/>
        <w:rPr>
          <w:rFonts w:ascii="ARIAL" w:hAnsi="ARIAL"/>
          <w:i/>
          <w:sz w:val="20"/>
        </w:rPr>
      </w:pPr>
      <w:r>
        <w:rPr>
          <w:rFonts w:ascii="ARIAL" w:hAnsi="ARIAL"/>
          <w:i/>
          <w:sz w:val="20"/>
        </w:rPr>
        <w:t xml:space="preserve">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2022 and the Guarantors Quarterly Report on Form 10-Q for the fiscal quarter ended March 31, 2023, before making a decision to invest in the Notes. If any of the matters included in the Risk Factors sections were to occur, the SLB Groups business, properties, assets, financial condition, results of operations, cash flows or prospects could be materially adversely affected. Additional risks and uncertainties not currently known to the SLB Group or that the SLB Group currently deems immaterial may also adversely affect the SLB Groups business, reputation, financial condition, results of operations, cash flows and prospects. </w:t>
      </w:r>
    </w:p>
    <w:p>
      <w:pPr>
        <w:pStyle w:val="TextBody"/>
        <w:spacing w:before="360" w:after="0"/>
        <w:jc w:val="left"/>
        <w:rPr>
          <w:rFonts w:ascii="ARIAL" w:hAnsi="ARIAL"/>
          <w:b/>
          <w:sz w:val="20"/>
        </w:rPr>
      </w:pPr>
      <w:r>
        <w:rPr>
          <w:rFonts w:ascii="ARIAL" w:hAnsi="ARIAL"/>
          <w:b/>
          <w:sz w:val="20"/>
        </w:rPr>
        <w:t xml:space="preserve">The Companys and the Guarantors ability to service their debt depends on the SLB Groups future performance, which may not generate cash required to service their debt. </w:t>
      </w:r>
    </w:p>
    <w:p>
      <w:pPr>
        <w:pStyle w:val="TextBody"/>
        <w:spacing w:before="120" w:after="0"/>
        <w:jc w:val="left"/>
        <w:rPr>
          <w:rFonts w:ascii="ARIAL" w:hAnsi="ARIAL"/>
          <w:sz w:val="20"/>
        </w:rPr>
      </w:pPr>
      <w:r>
        <w:rPr>
          <w:rFonts w:ascii="ARIAL" w:hAnsi="ARIAL"/>
          <w:sz w:val="20"/>
        </w:rPr>
        <w:t xml:space="preserve">The Companys ability to make scheduled payments on the Notes depends on the SLB Groups future operating and financial performance and ability to generate cash. This will be affected by the SLB Groups ability to successfully implement its business strategy, as well as by general economic, financial, competitive, regulatory, technical and other factors beyond its control. If the SLB Group cannot generate sufficient cash to meet its debt service obligations or fund its other business needs, the Company or the Guarantor may, among other things, need to refinance all or a portion of its obligations, including the Notes or the Guarantees,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Guarantees. </w:t>
      </w:r>
    </w:p>
    <w:p>
      <w:pPr>
        <w:pStyle w:val="TextBody"/>
        <w:spacing w:before="360" w:after="0"/>
        <w:jc w:val="left"/>
        <w:rPr>
          <w:rFonts w:ascii="ARIAL" w:hAnsi="ARIAL"/>
          <w:b/>
          <w:sz w:val="20"/>
        </w:rPr>
      </w:pPr>
      <w:r>
        <w:rPr>
          <w:rFonts w:ascii="ARIAL" w:hAnsi="ARIAL"/>
          <w:b/>
          <w:sz w:val="20"/>
        </w:rPr>
        <w:t xml:space="preserve">The Notes and the Guarantees will be subordinated to any secured indebtedness of the Company and the Guarantor. </w:t>
      </w:r>
    </w:p>
    <w:p>
      <w:pPr>
        <w:pStyle w:val="TextBody"/>
        <w:spacing w:before="120" w:after="0"/>
        <w:jc w:val="left"/>
        <w:rPr>
          <w:rFonts w:ascii="ARIAL" w:hAnsi="ARIAL"/>
          <w:sz w:val="20"/>
        </w:rPr>
      </w:pPr>
      <w:r>
        <w:rPr>
          <w:rFonts w:ascii="ARIAL" w:hAnsi="ARIAL"/>
          <w:sz w:val="20"/>
        </w:rPr>
        <w:t xml:space="preserve">The Notes will be unsecured and unsubordinated obligations of the Company and will rank </w:t>
      </w:r>
      <w:r>
        <w:rPr>
          <w:rFonts w:ascii="ARIAL" w:hAnsi="ARIAL"/>
          <w:i/>
          <w:sz w:val="20"/>
        </w:rPr>
        <w:t>pari passu</w:t>
      </w:r>
      <w:r>
        <w:rPr>
          <w:rFonts w:ascii="ARIAL" w:hAnsi="ARIAL"/>
          <w:sz w:val="20"/>
        </w:rPr>
        <w:t xml:space="preserve"> in right of payment with all other existing and future unsecured and unsubordinated indebtedness of the Company and senior in right of payment to all subordinated indebtedness of the Company, if any. The Guarantees will be the unsecured and unsubordinated obligation of the Guarantor and will rank </w:t>
      </w:r>
      <w:r>
        <w:rPr>
          <w:rFonts w:ascii="ARIAL" w:hAnsi="ARIAL"/>
          <w:i/>
          <w:sz w:val="20"/>
        </w:rPr>
        <w:t>pari passu</w:t>
      </w:r>
      <w:r>
        <w:rPr>
          <w:rFonts w:ascii="ARIAL" w:hAnsi="ARIAL"/>
          <w:sz w:val="20"/>
        </w:rPr>
        <w:t xml:space="preserve"> in right of payment to all other existing and future unsecured and unsubordinated indebtedness of the Guarantor, and senior in right of payment to all subordinated indebtedness of the Guarantor, if any. However, the Notes and the Guarantees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The Guarantees and the Notes will be structurally subordinated to the obligations of the Guarantors subsidiaries other than the Company. </w:t>
      </w:r>
    </w:p>
    <w:p>
      <w:pPr>
        <w:pStyle w:val="TextBody"/>
        <w:spacing w:before="120" w:after="0"/>
        <w:jc w:val="left"/>
        <w:rPr>
          <w:rFonts w:ascii="ARIAL" w:hAnsi="ARIAL"/>
          <w:sz w:val="20"/>
        </w:rPr>
      </w:pPr>
      <w:r>
        <w:rPr>
          <w:rFonts w:ascii="ARIAL" w:hAnsi="ARIAL"/>
          <w:sz w:val="20"/>
        </w:rPr>
        <w:t xml:space="preserve">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 (including any additional amounts), on the Guarantees,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 </w:t>
      </w:r>
    </w:p>
    <w:p>
      <w:pPr>
        <w:pStyle w:val="TextBody"/>
        <w:spacing w:before="240" w:after="0"/>
        <w:jc w:val="left"/>
        <w:rPr>
          <w:rFonts w:ascii="ARIAL" w:hAnsi="ARIAL"/>
          <w:sz w:val="20"/>
        </w:rPr>
      </w:pPr>
      <w:r>
        <w:rPr>
          <w:rFonts w:ascii="ARIAL" w:hAnsi="ARIAL"/>
          <w:sz w:val="20"/>
        </w:rPr>
        <w:t xml:space="preserve">As a result, the Guarantees will be structurally subordinated to the obligations and liabilities of all of the Guarantors subsidiaries (other than the Companys obligations and liabilities with respect to the Notes). As of March 31, 2023, the Guarantor had accounts payable and accrued liabilities of approximately U.S.$8.7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 </w:t>
      </w:r>
    </w:p>
    <w:p>
      <w:pPr>
        <w:pStyle w:val="TextBody"/>
        <w:spacing w:before="360" w:after="0"/>
        <w:jc w:val="left"/>
        <w:rPr>
          <w:rFonts w:ascii="ARIAL" w:hAnsi="ARIAL"/>
          <w:b/>
          <w:sz w:val="20"/>
        </w:rPr>
      </w:pPr>
      <w:r>
        <w:rPr>
          <w:rFonts w:ascii="ARIAL" w:hAnsi="ARIAL"/>
          <w:b/>
          <w:sz w:val="20"/>
        </w:rPr>
        <w:t xml:space="preserve">There is currently no trading market for the Notes and an active trading market for the Notes may not develop, in which case you may not be able to resell the Notes. </w:t>
      </w:r>
    </w:p>
    <w:p>
      <w:pPr>
        <w:pStyle w:val="TextBody"/>
        <w:spacing w:before="120" w:after="0"/>
        <w:jc w:val="left"/>
        <w:rPr>
          <w:rFonts w:ascii="ARIAL" w:hAnsi="ARIAL"/>
          <w:sz w:val="20"/>
        </w:rPr>
      </w:pPr>
      <w:r>
        <w:rPr>
          <w:rFonts w:ascii="ARIAL" w:hAnsi="ARIAL"/>
          <w:sz w:val="20"/>
        </w:rPr>
        <w:t xml:space="preserve">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the Companys and the Guarantors financial performance, the market for similar securities and the interest of securities dealers in making a market in the Notes. In addition, changes in the overall market for investment grade securities and changes in the Companys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 </w:t>
      </w:r>
    </w:p>
    <w:p>
      <w:pPr>
        <w:pStyle w:val="TextBody"/>
        <w:spacing w:before="360" w:after="0"/>
        <w:jc w:val="left"/>
        <w:rPr>
          <w:rFonts w:ascii="ARIAL" w:hAnsi="ARIAL"/>
          <w:b/>
          <w:sz w:val="20"/>
        </w:rPr>
      </w:pPr>
      <w:r>
        <w:rPr>
          <w:rFonts w:ascii="ARIAL" w:hAnsi="ARIAL"/>
          <w:b/>
          <w:sz w:val="20"/>
        </w:rPr>
        <w:t xml:space="preserve">You may be unable to recover in civil proceedings for U.S. securities laws violations. </w:t>
      </w:r>
    </w:p>
    <w:p>
      <w:pPr>
        <w:pStyle w:val="TextBody"/>
        <w:spacing w:before="120" w:after="0"/>
        <w:jc w:val="left"/>
        <w:rPr>
          <w:rFonts w:ascii="ARIAL" w:hAnsi="ARIAL"/>
          <w:sz w:val="20"/>
        </w:rPr>
      </w:pPr>
      <w:r>
        <w:rPr>
          <w:rFonts w:ascii="ARIAL" w:hAnsi="ARIAL"/>
          <w:sz w:val="20"/>
        </w:rPr>
        <w:t xml:space="preserve">The Company is organized under the laws of Luxembourg and does not have any assets in the United States. It is anticipated that some or all of the directors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7" w:name="s411946_5"/>
      <w:bookmarkEnd w:id="7"/>
      <w:r>
        <w:rPr>
          <w:rFonts w:ascii="ARIAL" w:hAnsi="ARIAL"/>
          <w:b/>
          <w:sz w:val="20"/>
        </w:rPr>
        <w:t xml:space="preserve">USE OF PROCEEDS </w:t>
      </w:r>
    </w:p>
    <w:p>
      <w:pPr>
        <w:pStyle w:val="TextBody"/>
        <w:spacing w:before="240" w:after="0"/>
        <w:jc w:val="left"/>
        <w:rPr>
          <w:rFonts w:ascii="ARIAL" w:hAnsi="ARIAL"/>
          <w:sz w:val="20"/>
        </w:rPr>
      </w:pPr>
      <w:r>
        <w:rPr>
          <w:rFonts w:ascii="ARIAL" w:hAnsi="ARIAL"/>
          <w:sz w:val="20"/>
        </w:rPr>
        <w:t xml:space="preserve">We estimate that the net proceeds (after deducting the underwriting discount and the estimated expenses of the offering payable by us) from the sale of the Notes will be approximately U.S.$992,820,000. We intend to use the net proceeds from the offering to repay certain commercial paper borrowings and a portion of our outstanding 2023 notes. Following the repayment of the commercial paper borrowings, we intend to invest any remaining net proceeds prior to repaying the 2023 notes in the second half of 2023. </w:t>
      </w:r>
    </w:p>
    <w:p>
      <w:pPr>
        <w:pStyle w:val="TextBody"/>
        <w:spacing w:before="240" w:after="0"/>
        <w:jc w:val="left"/>
        <w:rPr>
          <w:rFonts w:ascii="ARIAL" w:hAnsi="ARIAL"/>
          <w:sz w:val="20"/>
        </w:rPr>
      </w:pPr>
      <w:r>
        <w:rPr>
          <w:rFonts w:ascii="ARIAL" w:hAnsi="ARIAL"/>
          <w:sz w:val="20"/>
        </w:rPr>
        <w:t xml:space="preserve">At March 31, 2023, we had U.S.$1,500,000,000 aggregate principal amount of 2023 notes outstanding, which will mature on December 1, 2023. At March 31, 2023, we had committed credit facility agreements with commercial banks aggregating U.S.$5.75 billion, of which U.S.$5.19 billion was available and unused. These committed facilities support commercial paper programs in the United States and Europe, of which U.S.$0.75 billion matures in February 2024, U.S.$2.0 billion matures in February 2025, U.S.$1.0 billion matures in July 2026 and U.S.$2.0 billion matures in February 2027. Borrowings under the commercial paper programs at March 31, 2023 were U.S.$559 million. We also have a </w:t>
      </w:r>
      <w:r>
        <w:rPr>
          <w:rFonts w:ascii="Times New Roman" w:hAnsi="Times New Roman"/>
          <w:sz w:val="20"/>
        </w:rPr>
        <w:t></w:t>
      </w:r>
      <w:r>
        <w:rPr>
          <w:rFonts w:ascii="ARIAL" w:hAnsi="ARIAL"/>
          <w:sz w:val="20"/>
        </w:rPr>
        <w:t xml:space="preserve">750 million three-year committed revolving credit facility maturing in June 2024. At March 31, 2023, no amounts had been drawn under this facility. Interest rates and other terms of borrowing under these lines of credit vary by facility. </w:t>
      </w:r>
    </w:p>
    <w:p>
      <w:pPr>
        <w:pStyle w:val="TextBody"/>
        <w:spacing w:before="240" w:after="0"/>
        <w:jc w:val="left"/>
        <w:rPr>
          <w:rFonts w:ascii="ARIAL" w:hAnsi="ARIAL"/>
          <w:sz w:val="20"/>
        </w:rPr>
      </w:pPr>
      <w:r>
        <w:rPr>
          <w:rFonts w:ascii="ARIAL" w:hAnsi="ARIAL"/>
          <w:sz w:val="20"/>
        </w:rPr>
        <w:t xml:space="preserve">Certain affiliates of the underwriters may be holders of our 2023 notes or commercial paper. As a result of the anticipated use of proceeds here, one or more affiliates of the underwriters may receive a portion of the net proceeds from the offering of the Notes offered hereby in the form of the repayment of indebtedness. Accordingly, the offering of the Notes is being made pursuant to Rule 5121 of the Financial Industry Regulatory Authority, Inc. Pursuant to this rule, the appointment of a qualified independent underwriter is not necessary in connection with this offering, because the conditions of Rule 5121(a)(1)(C) are satisfied. See Underwriting (Conflicts of Interest).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8" w:name="s411946_6"/>
      <w:bookmarkEnd w:id="8"/>
      <w:r>
        <w:rPr>
          <w:rFonts w:ascii="ARIAL" w:hAnsi="ARIAL"/>
          <w:b/>
          <w:sz w:val="20"/>
        </w:rPr>
        <w:t xml:space="preserve">DESCRIPTION OF THE NOTES </w:t>
      </w:r>
    </w:p>
    <w:p>
      <w:pPr>
        <w:pStyle w:val="TextBody"/>
        <w:spacing w:before="240" w:after="0"/>
        <w:jc w:val="left"/>
        <w:rPr>
          <w:rFonts w:ascii="ARIAL" w:hAnsi="ARIAL"/>
          <w:sz w:val="20"/>
        </w:rPr>
      </w:pPr>
      <w:r>
        <w:rPr>
          <w:rFonts w:ascii="ARIAL" w:hAnsi="ARIAL"/>
          <w:sz w:val="20"/>
        </w:rPr>
        <w:t xml:space="preserve">Schlumberger Investment S.A. (the Company) is offering U.S.$500,000,000 principal amount of its 4.500% Senior Notes due 2028 (the 2028 Notes) and U.S.$500,000,000 principal amount of its 4.850% Senior Notes due 2033 (the 2033 Notes and, together with the 2028 Notes, the Notes). The Notes are to be issued under an indenture, dated December 3, 2013, as supplemented by the second supplemental indenture, dated June 26, 2020, and a supplemental indenture to be dated as of the closing date of this offering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Guarantees). The terms of the Notes include those stated in the Indenture. Copies of the Indenture are available as set forth under Where You Can Find More Information. </w:t>
      </w:r>
    </w:p>
    <w:p>
      <w:pPr>
        <w:pStyle w:val="TextBody"/>
        <w:spacing w:before="240" w:after="0"/>
        <w:jc w:val="left"/>
        <w:rPr>
          <w:rFonts w:ascii="ARIAL" w:hAnsi="ARIAL"/>
          <w:sz w:val="20"/>
        </w:rPr>
      </w:pPr>
      <w:r>
        <w:rPr>
          <w:rFonts w:ascii="ARIAL" w:hAnsi="ARIAL"/>
          <w:sz w:val="20"/>
        </w:rPr>
        <w:t xml:space="preserve">The Indenture does not limit the amount of debt that may be issued thereunder. The Company may issue debt securities from time to time under the Indenture in separate series (each, a series), each up to the aggregate principal amount authorized by the Company for such series. The Notes will constitute two series of debt securities under the Indenture. </w:t>
      </w:r>
    </w:p>
    <w:p>
      <w:pPr>
        <w:pStyle w:val="TextBody"/>
        <w:spacing w:before="240" w:after="0"/>
        <w:jc w:val="left"/>
        <w:rPr>
          <w:rFonts w:ascii="ARIAL" w:hAnsi="ARIAL"/>
          <w:sz w:val="20"/>
        </w:rPr>
      </w:pPr>
      <w:r>
        <w:rPr>
          <w:rFonts w:ascii="ARIAL" w:hAnsi="ARIAL"/>
          <w:sz w:val="20"/>
        </w:rPr>
        <w:t xml:space="preserve">As used in this Description of the Notes, the terms we, us and our and similar expressions refer to the Company; and the term Guarantor refers to our parent company, the Guarantor, and not to any of its subsidiaries, in each case unless otherwise stated or the context otherwise requires. </w:t>
      </w:r>
    </w:p>
    <w:p>
      <w:pPr>
        <w:pStyle w:val="TextBody"/>
        <w:spacing w:before="240" w:after="0"/>
        <w:jc w:val="left"/>
        <w:rPr>
          <w:rFonts w:ascii="ARIAL" w:hAnsi="ARIAL"/>
          <w:sz w:val="20"/>
        </w:rPr>
      </w:pPr>
      <w:r>
        <w:rPr>
          <w:rFonts w:ascii="ARIAL" w:hAnsi="ARIAL"/>
          <w:sz w:val="20"/>
        </w:rPr>
        <w:t xml:space="preserve">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 </w:t>
      </w:r>
    </w:p>
    <w:p>
      <w:pPr>
        <w:pStyle w:val="TextBody"/>
        <w:spacing w:before="240" w:after="0"/>
        <w:jc w:val="left"/>
        <w:rPr>
          <w:rFonts w:ascii="ARIAL" w:hAnsi="ARIAL"/>
          <w:sz w:val="20"/>
        </w:rPr>
      </w:pPr>
      <w:r>
        <w:rPr>
          <w:rFonts w:ascii="ARIAL" w:hAnsi="ARIAL"/>
          <w:sz w:val="20"/>
        </w:rPr>
        <w:t xml:space="preserve">The registered holder of a Note will be treated as the owner of it for all purposes. Only registered holders will have rights under the Indenture. </w:t>
      </w:r>
    </w:p>
    <w:p>
      <w:pPr>
        <w:pStyle w:val="TextBody"/>
        <w:spacing w:before="360" w:after="0"/>
        <w:jc w:val="left"/>
        <w:rPr>
          <w:rFonts w:ascii="ARIAL" w:hAnsi="ARIAL"/>
          <w:b/>
          <w:sz w:val="20"/>
        </w:rPr>
      </w:pPr>
      <w:r>
        <w:rPr>
          <w:rFonts w:ascii="ARIAL" w:hAnsi="ARIAL"/>
          <w:b/>
          <w:sz w:val="20"/>
        </w:rPr>
        <w:t xml:space="preserve">General Terms of the 2028 Notes </w:t>
      </w:r>
    </w:p>
    <w:p>
      <w:pPr>
        <w:pStyle w:val="TextBody"/>
        <w:spacing w:before="120" w:after="0"/>
        <w:jc w:val="left"/>
        <w:rPr>
          <w:rFonts w:ascii="ARIAL" w:hAnsi="ARIAL"/>
          <w:sz w:val="20"/>
        </w:rPr>
      </w:pPr>
      <w:r>
        <w:rPr>
          <w:rFonts w:ascii="ARIAL" w:hAnsi="ARIAL"/>
          <w:sz w:val="20"/>
        </w:rPr>
        <w:t xml:space="preserve">The 2028 Notes are initially issuable in an aggregate principal amount of U.S.$500,000,000 and will mature on May 15, 2028. Interest on the 2028 Notes will be payable in U.S. dollars at the office of the Paying Agent in the Borough of Manhattan, the City of New York, New York, or, at the Companys option, by check mailed to the address of the registered holder or, with respect to any global 2028 Note or upon application by the holder of a definitive, non-global 2028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2028 Notes then maturing will be due and payable, plus accrued and unpaid interest to the applicable maturity date. </w:t>
      </w:r>
    </w:p>
    <w:p>
      <w:pPr>
        <w:pStyle w:val="TextBody"/>
        <w:spacing w:before="240" w:after="0"/>
        <w:jc w:val="left"/>
        <w:rPr>
          <w:rFonts w:ascii="ARIAL" w:hAnsi="ARIAL"/>
          <w:sz w:val="20"/>
        </w:rPr>
      </w:pPr>
      <w:r>
        <w:rPr>
          <w:rFonts w:ascii="ARIAL" w:hAnsi="ARIAL"/>
          <w:sz w:val="20"/>
        </w:rPr>
        <w:t xml:space="preserve">The Company may create and issue additional 2028 Notes under the Indenture with the same terms as the 2028 Notes offered hereby (other than the date of issuance and in certain circumstances the date from which interest thereon will begin to accrue). The 2028 Notes issued by the Company and any additional 2028 Notes subsequently issued by the Company under the Indenture will be treated as a single class for all purposes under the Indenture, including, without limitation, waivers, amendments and redemptions. See Further Issuances.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2028 Notes will be issued only in registered form without interest coupons, in minimum denominations of U.S.$2,000 and in integral multiples of U.S.$1,000 in excess thereof. </w:t>
      </w:r>
    </w:p>
    <w:p>
      <w:pPr>
        <w:pStyle w:val="TextBody"/>
        <w:spacing w:before="240" w:after="0"/>
        <w:jc w:val="left"/>
        <w:rPr>
          <w:rFonts w:ascii="ARIAL" w:hAnsi="ARIAL"/>
          <w:sz w:val="20"/>
        </w:rPr>
      </w:pPr>
      <w:r>
        <w:rPr>
          <w:rFonts w:ascii="ARIAL" w:hAnsi="ARIAL"/>
          <w:sz w:val="20"/>
        </w:rPr>
        <w:t xml:space="preserve">The 2028 Notes will bear interest at 4.500% per annum. Interest on the 2028 Notes will accrue from May 15, 2023 and will be payable by the Company on May 15 and November 15 of each year, beginning on November 15, 2023 to the person in whose name such 2028 Note is registered, subject to certain exceptions as provided in the Indenture, at the close of business on the April 30 and October 31 immediately preceding such interest payment date (whether or not a business day). </w:t>
      </w:r>
    </w:p>
    <w:p>
      <w:pPr>
        <w:pStyle w:val="TextBody"/>
        <w:spacing w:before="240" w:after="0"/>
        <w:jc w:val="left"/>
        <w:rPr>
          <w:rFonts w:ascii="ARIAL" w:hAnsi="ARIAL"/>
          <w:sz w:val="20"/>
        </w:rPr>
      </w:pPr>
      <w:r>
        <w:rPr>
          <w:rFonts w:ascii="ARIAL" w:hAnsi="ARIAL"/>
          <w:sz w:val="20"/>
        </w:rPr>
        <w:t xml:space="preserve">The 2028 Notes are not subject to any mandatory redemption or any sinking fund provision. </w:t>
      </w:r>
    </w:p>
    <w:p>
      <w:pPr>
        <w:pStyle w:val="TextBody"/>
        <w:spacing w:before="360" w:after="0"/>
        <w:jc w:val="left"/>
        <w:rPr>
          <w:rFonts w:ascii="ARIAL" w:hAnsi="ARIAL"/>
          <w:b/>
          <w:sz w:val="20"/>
        </w:rPr>
      </w:pPr>
      <w:r>
        <w:rPr>
          <w:rFonts w:ascii="ARIAL" w:hAnsi="ARIAL"/>
          <w:b/>
          <w:sz w:val="20"/>
        </w:rPr>
        <w:t xml:space="preserve">General Terms of the 2033 Notes </w:t>
      </w:r>
    </w:p>
    <w:p>
      <w:pPr>
        <w:pStyle w:val="TextBody"/>
        <w:spacing w:before="120" w:after="0"/>
        <w:jc w:val="left"/>
        <w:rPr>
          <w:rFonts w:ascii="ARIAL" w:hAnsi="ARIAL"/>
          <w:sz w:val="20"/>
        </w:rPr>
      </w:pPr>
      <w:r>
        <w:rPr>
          <w:rFonts w:ascii="ARIAL" w:hAnsi="ARIAL"/>
          <w:sz w:val="20"/>
        </w:rPr>
        <w:t xml:space="preserve">The 2033 Notes are initially issuable in an aggregate principal amount of U.S.$500,000,000 and will mature on May 15, 2033. Interest on the 2033 Notes will be payable in U.S. dollars at the office of the Paying Agent in the Borough of Manhattan, the City of New York, New York, or, at the Companys option, by check mailed to the address of the registered holder or, with respect to any global 2033 Note or upon application by the holder of a definitive, non-global 2033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2033 Notes then maturing will be due and payable, plus accrued and unpaid interest to the applicable maturity date. </w:t>
      </w:r>
    </w:p>
    <w:p>
      <w:pPr>
        <w:pStyle w:val="TextBody"/>
        <w:spacing w:before="240" w:after="0"/>
        <w:jc w:val="left"/>
        <w:rPr>
          <w:rFonts w:ascii="ARIAL" w:hAnsi="ARIAL"/>
          <w:sz w:val="20"/>
        </w:rPr>
      </w:pPr>
      <w:r>
        <w:rPr>
          <w:rFonts w:ascii="ARIAL" w:hAnsi="ARIAL"/>
          <w:sz w:val="20"/>
        </w:rPr>
        <w:t xml:space="preserve">The Company may create and issue additional 2033 Notes under the Indenture with the same terms as the 2033 Notes offered hereby (other than the date of issuance and in certain circumstances the date from which interest thereon will begin to accrue). The 2033 Notes issued by the Company and any additional 2033 Notes subsequently issued by the Company under the Indenture will be treated as a single class for all purposes under the Indenture, including, without limitation, waivers, amendments and redemptions. See Further Issuances. </w:t>
      </w:r>
    </w:p>
    <w:p>
      <w:pPr>
        <w:pStyle w:val="TextBody"/>
        <w:spacing w:before="240" w:after="0"/>
        <w:jc w:val="left"/>
        <w:rPr>
          <w:rFonts w:ascii="ARIAL" w:hAnsi="ARIAL"/>
          <w:sz w:val="20"/>
        </w:rPr>
      </w:pPr>
      <w:r>
        <w:rPr>
          <w:rFonts w:ascii="ARIAL" w:hAnsi="ARIAL"/>
          <w:sz w:val="20"/>
        </w:rPr>
        <w:t xml:space="preserve">The 2033 Notes will be issued only in registered form without interest coupons, in minimum denominations of U.S.$2,000 and in integral multiples of U.S.$1,000 in excess thereof. </w:t>
      </w:r>
    </w:p>
    <w:p>
      <w:pPr>
        <w:pStyle w:val="TextBody"/>
        <w:spacing w:before="240" w:after="0"/>
        <w:jc w:val="left"/>
        <w:rPr>
          <w:rFonts w:ascii="ARIAL" w:hAnsi="ARIAL"/>
          <w:sz w:val="20"/>
        </w:rPr>
      </w:pPr>
      <w:r>
        <w:rPr>
          <w:rFonts w:ascii="ARIAL" w:hAnsi="ARIAL"/>
          <w:sz w:val="20"/>
        </w:rPr>
        <w:t xml:space="preserve">The 2033 Notes will bear interest at 4.850% per annum. Interest on the 2033 Notes will accrue from May 15, 2023 and will be payable by the Company on May 15 and November 15 of each year, beginning on November 15, 2023 to the person in whose name such 2033 Note is registered, subject to certain exceptions as provided in the Indenture, at the close of business on the April 30 and October 31 immediately preceding such interest payment date (whether or not a business day). </w:t>
      </w:r>
    </w:p>
    <w:p>
      <w:pPr>
        <w:pStyle w:val="TextBody"/>
        <w:spacing w:before="240" w:after="0"/>
        <w:jc w:val="left"/>
        <w:rPr>
          <w:rFonts w:ascii="ARIAL" w:hAnsi="ARIAL"/>
          <w:sz w:val="20"/>
        </w:rPr>
      </w:pPr>
      <w:r>
        <w:rPr>
          <w:rFonts w:ascii="ARIAL" w:hAnsi="ARIAL"/>
          <w:sz w:val="20"/>
        </w:rPr>
        <w:t xml:space="preserve">The 2033 Notes are not subject to any mandatory redemption or any sinking fund provision. </w:t>
      </w:r>
    </w:p>
    <w:p>
      <w:pPr>
        <w:pStyle w:val="TextBody"/>
        <w:spacing w:before="360" w:after="0"/>
        <w:jc w:val="left"/>
        <w:rPr>
          <w:rFonts w:ascii="ARIAL" w:hAnsi="ARIAL"/>
          <w:b/>
          <w:sz w:val="20"/>
        </w:rPr>
      </w:pPr>
      <w:r>
        <w:rPr>
          <w:rFonts w:ascii="ARIAL" w:hAnsi="ARIAL"/>
          <w:b/>
          <w:sz w:val="20"/>
        </w:rPr>
        <w:t xml:space="preserve">Guarantees </w:t>
      </w:r>
    </w:p>
    <w:p>
      <w:pPr>
        <w:pStyle w:val="TextBody"/>
        <w:spacing w:before="120" w:after="0"/>
        <w:jc w:val="left"/>
        <w:rPr>
          <w:rFonts w:ascii="ARIAL" w:hAnsi="ARIAL"/>
          <w:sz w:val="20"/>
        </w:rPr>
      </w:pPr>
      <w:r>
        <w:rPr>
          <w:rFonts w:ascii="ARIAL" w:hAnsi="ARIAL"/>
          <w:sz w:val="20"/>
        </w:rPr>
        <w:t xml:space="preserve">The Guarantor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 </w:t>
      </w:r>
    </w:p>
    <w:p>
      <w:pPr>
        <w:pStyle w:val="TextBody"/>
        <w:spacing w:before="240" w:after="0"/>
        <w:jc w:val="left"/>
        <w:rPr>
          <w:rFonts w:ascii="ARIAL" w:hAnsi="ARIAL"/>
          <w:sz w:val="20"/>
        </w:rPr>
      </w:pPr>
      <w:r>
        <w:rPr>
          <w:rFonts w:ascii="ARIAL" w:hAnsi="ARIAL"/>
          <w:sz w:val="20"/>
        </w:rPr>
        <w:t xml:space="preserve">The Guarantor will: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agree that, if an Event of Default occurs under a series of Notes, its obligations under the applicable Guarantee will be absolute and unconditional and will be enforceable irrespective of any invalidity, irregularity or unenforceability of the Indenture or any supplement thereto; and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waive its right to require the Trustee or the holders of such series of Notes to pursue or exhaust their legal or equitable remedies against the Company before exercising their rights under the applicable Guarantee. </w:t>
            </w:r>
          </w:p>
        </w:tc>
      </w:tr>
    </w:tbl>
    <w:p>
      <w:pPr>
        <w:pStyle w:val="TextBody"/>
        <w:spacing w:before="360" w:after="0"/>
        <w:jc w:val="left"/>
        <w:rPr>
          <w:rFonts w:ascii="ARIAL" w:hAnsi="ARIAL"/>
          <w:b/>
          <w:sz w:val="20"/>
        </w:rPr>
      </w:pPr>
      <w:r>
        <w:rPr>
          <w:rFonts w:ascii="ARIAL" w:hAnsi="ARIAL"/>
          <w:b/>
          <w:sz w:val="20"/>
        </w:rPr>
        <w:t xml:space="preserve">Ranking of the Notes and Guarantees </w:t>
      </w:r>
    </w:p>
    <w:p>
      <w:pPr>
        <w:pStyle w:val="TextBody"/>
        <w:spacing w:before="120" w:after="0"/>
        <w:jc w:val="left"/>
        <w:rPr>
          <w:rFonts w:ascii="ARIAL" w:hAnsi="ARIAL"/>
          <w:sz w:val="20"/>
        </w:rPr>
      </w:pPr>
      <w:r>
        <w:rPr>
          <w:rFonts w:ascii="ARIAL" w:hAnsi="ARIAL"/>
          <w:sz w:val="20"/>
        </w:rPr>
        <w:t xml:space="preserve">The Notes will be: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senior unsecured obligations of the Company and will rank equally and ratably with all of the Companys other unsecured and unsubordinated indebtedness;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guaranteed on a senior unsecured basis by the Guarantor, which Guarantees will rank equally and ratably with all other unsecured and unsubordinated indebtedness of the Guarantor. </w:t>
            </w:r>
          </w:p>
        </w:tc>
      </w:tr>
    </w:tbl>
    <w:p>
      <w:pPr>
        <w:pStyle w:val="TextBody"/>
        <w:spacing w:before="360" w:after="0"/>
        <w:jc w:val="left"/>
        <w:rPr>
          <w:rFonts w:ascii="ARIAL" w:hAnsi="ARIAL"/>
          <w:b/>
          <w:sz w:val="20"/>
        </w:rPr>
      </w:pPr>
      <w:r>
        <w:rPr>
          <w:rFonts w:ascii="ARIAL" w:hAnsi="ARIAL"/>
          <w:b/>
          <w:sz w:val="20"/>
        </w:rPr>
        <w:t xml:space="preserve">Additional Amounts </w:t>
      </w:r>
    </w:p>
    <w:p>
      <w:pPr>
        <w:pStyle w:val="TextBody"/>
        <w:spacing w:before="120" w:after="0"/>
        <w:jc w:val="left"/>
        <w:rPr>
          <w:rFonts w:ascii="ARIAL" w:hAnsi="ARIAL"/>
          <w:sz w:val="20"/>
        </w:rPr>
      </w:pPr>
      <w:r>
        <w:rPr>
          <w:rFonts w:ascii="ARIAL" w:hAnsi="ARIAL"/>
          <w:sz w:val="20"/>
        </w:rPr>
        <w:t xml:space="preserve">All payments made by the Company under or with respect to the Notes, or by the Guarantor with respect to the Guarantees,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or (2) any jurisdiction from or through which payment is made or deemed made by or on behalf of the Company, or the Guarantor (including the jurisdiction of any Paying Agent for the Notes) or any political subdivision thereof or therein (each of clauses (1) and (2), a Relevant Tax Jurisdiction) will at any time be required to be made from any payments made or deemed made by or on behalf of the Company under or with respect to the Notes, as applicable, or the Guarantor under or with respect to the Guarantees,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Taxes, to the extent such Taxes would not have been imposed but for the existence of any actual or deemed present or former connection between the holder or the beneficial owner of such Notes or Guarantees, as applicable,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applicable Guarantee or the receipt of any payments in respect of such Note or Guarantee;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estate, inheritance, gift, sales, transfer, personal property or similar Taxes;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any Tax imposed on or with respect to any payment by the Company or the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Taxes withheld deducted or imposed pursuant to the Luxembourg law of 23 December 2005, as amended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Taxes imposed on or with respect to a payment made to a holder of such Note who would have been able to avoid such withholding or deduction by presenting such Note (where presentation is required) to another paying agent;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Taxes payable other than by deduction or withholding from payments under, or with respect to, such Notes or the applicable Guarantee;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(8)</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Relevant Tax Jurisdiction, as a precondition to exemption from, or reduction in the rate of deduction or withholding of, Taxes imposed by the Relevant Tax Jurisdiction (including, without limitation, a certification that the holder or beneficial owner is not resident in such Relevant Tax Jurisdiction), but in each case, only to the extent the holder or beneficial owner is legally entitled to provide such certification or documentation;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(9)</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Taxes imposed, deducted or withheld pursuant to section 1471(b) of the U.S. Internal Revenue Code of 1986, as amended (the Code) or otherwise imposed pursuant to sections 1471 through 1474 of the Code, in each case, as of the date of the original issuance of the Notes (the Issue Date) (and any amended or successor version that is substantively comparable), any current or future regulations or agreements thereunder, official interpretations thereof or any law implementing an intergovernmental agreement relating thereto;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(10)</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combination of items (1) through (9) above. </w:t>
            </w:r>
          </w:p>
        </w:tc>
      </w:tr>
    </w:tbl>
    <w:p>
      <w:pPr>
        <w:pStyle w:val="TextBody"/>
        <w:spacing w:before="240" w:after="0"/>
        <w:jc w:val="left"/>
        <w:rPr>
          <w:rFonts w:ascii="ARIAL" w:hAnsi="ARIAL"/>
          <w:sz w:val="20"/>
        </w:rPr>
      </w:pPr>
      <w:r>
        <w:rPr>
          <w:rFonts w:ascii="ARIAL" w:hAnsi="ARIAL"/>
          <w:sz w:val="20"/>
        </w:rPr>
        <w:t xml:space="preserve">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its Notes, or the Indenture, Guarantees or any other document or instrument referred to therein, except in the case of Luxembourg, any registration duties (droits denregistrement) that would become payable upon a voluntary registration made by any party in Luxembourg of the Notes, the Indenture, Guarantees or any other document or instrument referred to therein. </w:t>
      </w:r>
    </w:p>
    <w:p>
      <w:pPr>
        <w:pStyle w:val="TextBody"/>
        <w:spacing w:before="240" w:after="0"/>
        <w:jc w:val="left"/>
        <w:rPr>
          <w:rFonts w:ascii="ARIAL" w:hAnsi="ARIAL"/>
          <w:sz w:val="20"/>
        </w:rPr>
      </w:pPr>
      <w:r>
        <w:rPr>
          <w:rFonts w:ascii="ARIAL" w:hAnsi="ARIAL"/>
          <w:sz w:val="20"/>
        </w:rPr>
        <w:t xml:space="preserve">If the Company or the Guarantor, as the case may be, becomes aware that it will be obligated to pay Additional Amounts with respect to any payment under or with respect to its Notes, or the Guarantees, the Company or the Guarantor, as the case may be, will deliver to the Trustee on a date that is at least 30 days prior to the date of that payment (unless the obligation to pay Additional Amounts arises fewer than 45 days prior to that payment date, in which case the Company or the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Company or the Guarantor, as the case may be, will make all withholdings and deductions required by law in respect of its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the Guarantor, as the case may be, or if, notwithstanding such entitys efforts to obtain receipts, receipts are not obtained, other evidence of payments (reasonably satisfactory to the Trustee) by such entity. </w:t>
      </w:r>
    </w:p>
    <w:p>
      <w:pPr>
        <w:pStyle w:val="TextBody"/>
        <w:spacing w:before="240" w:after="0"/>
        <w:jc w:val="left"/>
        <w:rPr>
          <w:rFonts w:ascii="ARIAL" w:hAnsi="ARIAL"/>
          <w:sz w:val="20"/>
        </w:rPr>
      </w:pPr>
      <w:r>
        <w:rPr>
          <w:rFonts w:ascii="ARIAL" w:hAnsi="ARIAL"/>
          <w:sz w:val="20"/>
        </w:rPr>
        <w:t xml:space="preserve">Whenever in the Indenture or in this Description of the Notes there is mentioned, in any context, the payment of amounts based upon the principal amount of the Notes or of principal, interest or of any other amount payable under, or with respect to, any of the Notes of a series or the applicable Guarantee, such mention will be deemed to include mention of the payment of Additional Amounts to the extent that, in such context, Additional Amounts are, were or would be payable in respect thereof. </w:t>
      </w:r>
    </w:p>
    <w:p>
      <w:pPr>
        <w:pStyle w:val="TextBody"/>
        <w:spacing w:before="240" w:after="0"/>
        <w:jc w:val="left"/>
        <w:rPr>
          <w:rFonts w:ascii="ARIAL" w:hAnsi="ARIAL"/>
          <w:sz w:val="20"/>
        </w:rPr>
      </w:pPr>
      <w:r>
        <w:rPr>
          <w:rFonts w:ascii="ARIAL" w:hAnsi="ARIAL"/>
          <w:sz w:val="20"/>
        </w:rPr>
        <w:t xml:space="preserve">The above obligations will survive any termination, defeasance or discharge of the Indenture, any transfer by a holder or beneficial owner of its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Guarantees) and any political subdivision thereof or therein. </w:t>
      </w:r>
    </w:p>
    <w:p>
      <w:pPr>
        <w:pStyle w:val="TextBody"/>
        <w:spacing w:before="240" w:after="0"/>
        <w:jc w:val="left"/>
        <w:rPr>
          <w:rFonts w:ascii="ARIAL" w:hAnsi="ARIAL"/>
          <w:sz w:val="20"/>
        </w:rPr>
      </w:pPr>
      <w:r>
        <w:rPr>
          <w:rFonts w:ascii="ARIAL" w:hAnsi="ARIAL"/>
          <w:sz w:val="20"/>
        </w:rPr>
        <w:t xml:space="preserve">Notwithstanding any provision herein or in the Indenture, the Notes or the Guarantees to the contrary, none of the Trustee, the Registrar, any transfer agent or any Paying Agent will be required to determine the identity of a beneficial owner or be liable for any determination thereof by the Company or the Guarantor. </w:t>
      </w:r>
    </w:p>
    <w:p>
      <w:pPr>
        <w:pStyle w:val="TextBody"/>
        <w:spacing w:before="360" w:after="0"/>
        <w:jc w:val="left"/>
        <w:rPr>
          <w:rFonts w:ascii="ARIAL" w:hAnsi="ARIAL"/>
          <w:b/>
          <w:sz w:val="20"/>
        </w:rPr>
      </w:pPr>
      <w:r>
        <w:rPr>
          <w:rFonts w:ascii="ARIAL" w:hAnsi="ARIAL"/>
          <w:b/>
          <w:sz w:val="20"/>
        </w:rPr>
        <w:t xml:space="preserve">Optional Redemption </w:t>
      </w:r>
    </w:p>
    <w:p>
      <w:pPr>
        <w:pStyle w:val="TextBody"/>
        <w:spacing w:before="120" w:after="0"/>
        <w:jc w:val="left"/>
        <w:rPr>
          <w:rFonts w:ascii="ARIAL" w:hAnsi="ARIAL"/>
          <w:sz w:val="20"/>
        </w:rPr>
      </w:pPr>
      <w:r>
        <w:rPr>
          <w:rFonts w:ascii="ARIAL" w:hAnsi="ARIAL"/>
          <w:sz w:val="20"/>
        </w:rPr>
        <w:t xml:space="preserve">At any time prior to the 2028 Par Call Date, in the case of the 2028 Notes, and the 2033 Par Call Date, in the case of the 2033 Notes, we may, at our option, redeem the Notes of such series, in whole or in part, at any time and from time to time, at a redemption price (expressed as a percentage of principal amount and rounded to three decimal places) equal to the greater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 the sum of the present values of the remaining scheduled payments of principal and interest thereon discounted to the redemption date (assuming the Notes matured on the 2028 Par Call Date, in the case of the 2028 Notes, and the 2033 Par Call Date, in the case of the 2033 Notes) on a semi-annual basis (assuming a 360-day year consisting of twelve 30-day months) at the Treasury Rate plus 20 basis points, in the case of the 2028 Notes, and 25 basis points, in the case of the 2033 Notes, less (b) interest accrued to the date of redemption,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100% of the principal amount of the Notes to be redeemed, </w:t>
            </w:r>
          </w:p>
        </w:tc>
      </w:tr>
    </w:tbl>
    <w:p>
      <w:pPr>
        <w:pStyle w:val="TextBody"/>
        <w:spacing w:before="240" w:after="0"/>
        <w:jc w:val="left"/>
        <w:rPr>
          <w:rFonts w:ascii="ARIAL" w:hAnsi="ARIAL"/>
          <w:sz w:val="20"/>
        </w:rPr>
      </w:pPr>
      <w:r>
        <w:rPr>
          <w:rFonts w:ascii="ARIAL" w:hAnsi="ARIAL"/>
          <w:sz w:val="20"/>
        </w:rPr>
        <w:t xml:space="preserve">plus, in either case, accrued and unpaid interest thereon, if any, to, but not including, the applicable redemption date. </w:t>
      </w:r>
    </w:p>
    <w:p>
      <w:pPr>
        <w:pStyle w:val="TextBody"/>
        <w:spacing w:before="240" w:after="0"/>
        <w:jc w:val="left"/>
        <w:rPr>
          <w:rFonts w:ascii="ARIAL" w:hAnsi="ARIAL"/>
          <w:sz w:val="20"/>
        </w:rPr>
      </w:pPr>
      <w:r>
        <w:rPr>
          <w:rFonts w:ascii="ARIAL" w:hAnsi="ARIAL"/>
          <w:sz w:val="20"/>
        </w:rPr>
        <w:t xml:space="preserve">At any time on or after the 2028 Par Call Date, in the case of the 2028 Notes, and the 2033 Par Call Date, in the case of the 2033 Notes, we may, at our option, redeem such series of Notes, in whole or in part, at any time and from time to time, at a redemption price equal to 100% of the principal amount of such series of Notes to be redeemed plus accrued and unpaid interest thereon, if any, to, but not including, the applicable redemption date.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2028 Par Call Date means April 15, 2028. </w:t>
      </w:r>
    </w:p>
    <w:p>
      <w:pPr>
        <w:pStyle w:val="TextBody"/>
        <w:spacing w:before="240" w:after="0"/>
        <w:jc w:val="left"/>
        <w:rPr>
          <w:rFonts w:ascii="ARIAL" w:hAnsi="ARIAL"/>
          <w:sz w:val="20"/>
        </w:rPr>
      </w:pPr>
      <w:r>
        <w:rPr>
          <w:rFonts w:ascii="ARIAL" w:hAnsi="ARIAL"/>
          <w:sz w:val="20"/>
        </w:rPr>
        <w:t xml:space="preserve">2033 Par Call Date means February 15, 2033. </w:t>
      </w:r>
    </w:p>
    <w:p>
      <w:pPr>
        <w:pStyle w:val="TextBody"/>
        <w:spacing w:before="240" w:after="0"/>
        <w:jc w:val="left"/>
        <w:rPr>
          <w:rFonts w:ascii="ARIAL" w:hAnsi="ARIAL"/>
          <w:sz w:val="20"/>
        </w:rPr>
      </w:pPr>
      <w:r>
        <w:rPr>
          <w:rFonts w:ascii="ARIAL" w:hAnsi="ARIAL"/>
          <w:sz w:val="20"/>
        </w:rPr>
        <w:t xml:space="preserve">Treasury Rate means, with respect to any redemption date, the yield determined by the Company in accordance with the following two paragraphs. </w:t>
      </w:r>
    </w:p>
    <w:p>
      <w:pPr>
        <w:pStyle w:val="TextBody"/>
        <w:spacing w:before="240" w:after="0"/>
        <w:jc w:val="left"/>
        <w:rPr>
          <w:rFonts w:ascii="ARIAL" w:hAnsi="ARIAL"/>
          <w:sz w:val="20"/>
        </w:rPr>
      </w:pPr>
      <w:r>
        <w:rPr>
          <w:rFonts w:ascii="ARIAL" w:hAnsi="ARIAL"/>
          <w:sz w:val="20"/>
        </w:rPr>
        <w:t xml:space="preserve">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will select, as applicable: (1) the yield for the Treasury constant maturity on H.15 exactly equal to the period from the redemption date to the 2028 Par Call Date, in the case of the 2028 Notes, and the 2033 Par Call Date, in the case of the 2033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2028 Par Call Date, in the case of the 2028 Notes, and the 2033 Par Call Date, in the case of the 2033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 </w:t>
      </w:r>
    </w:p>
    <w:p>
      <w:pPr>
        <w:pStyle w:val="TextBody"/>
        <w:spacing w:before="240" w:after="0"/>
        <w:jc w:val="left"/>
        <w:rPr>
          <w:rFonts w:ascii="ARIAL" w:hAnsi="ARIAL"/>
          <w:sz w:val="20"/>
        </w:rPr>
      </w:pPr>
      <w:r>
        <w:rPr>
          <w:rFonts w:ascii="ARIAL" w:hAnsi="ARIAL"/>
          <w:sz w:val="20"/>
        </w:rPr>
        <w:t xml:space="preserve">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2028 Par Call Date, in the case of the 2028 Notes, and the 2033 Par Call Date, in the case of the 2033 Notes, as applicable. If there is no United States Treasury security maturing on the 2028 Par Call Date, in the case of the 2028 notes, and the 2033 Par Call Date, in the case of the 2033 Notes, but there are two or more United States Treasury securities with a maturity date equally distant from the 2028 Par Call Date, in the case of the 2028 Notes, and the 2033 Par Call Date, in the case of the 2033 Notes, one with a maturity date preceding the 2028 Notes, in the case of the 2028 Notes, and the 2033 Par Call Date, in the case of the 2033 Notes, and one with a maturity date following the 2028 Par Call Date, in the case of the 2028 Notes, and the 2033 Par Call Date, in the case of the 2033 Notes, the Company will select the United States Treasury security with a maturity date preceding the 2028 Par Call Date, in the case of the 2028 Notes, and the 2033 Par Call Date, in the case of the 2033 Notes. If there are two or more United States Treasury securities maturing on the 2028 Par Call Date, in the case of the 2028 Notes, and the 2033 Par Call Date, in the case of the 2033 Notes,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 </w:t>
      </w:r>
    </w:p>
    <w:p>
      <w:pPr>
        <w:pStyle w:val="TextBody"/>
        <w:spacing w:before="360" w:after="0"/>
        <w:jc w:val="left"/>
        <w:rPr>
          <w:rFonts w:ascii="ARIAL" w:hAnsi="ARIAL"/>
          <w:b/>
          <w:sz w:val="20"/>
        </w:rPr>
      </w:pPr>
      <w:r>
        <w:rPr>
          <w:rFonts w:ascii="ARIAL" w:hAnsi="ARIAL"/>
          <w:b/>
          <w:sz w:val="20"/>
        </w:rPr>
        <w:t xml:space="preserve">Redemption Upon Changes in Tax Law </w:t>
      </w:r>
    </w:p>
    <w:p>
      <w:pPr>
        <w:pStyle w:val="TextBody"/>
        <w:spacing w:before="120" w:after="0"/>
        <w:jc w:val="left"/>
        <w:rPr>
          <w:rFonts w:ascii="ARIAL" w:hAnsi="ARIAL"/>
          <w:sz w:val="20"/>
        </w:rPr>
      </w:pPr>
      <w:r>
        <w:rPr>
          <w:rFonts w:ascii="ARIAL" w:hAnsi="ARIAL"/>
          <w:sz w:val="20"/>
        </w:rPr>
        <w:t xml:space="preserve">The Company or the Guarantor may redeem either series of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the Guarantor cannot avoid any such payment obligation by taking reasonable measures available to it (but not including substitution of the obligor of the Notes and, for avoidance of doubt, in the case of the Guarantor, by causing the payment to be made by the Company), and the requirement arises as a result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amendment to, or change in, an official interpretation or application of such laws, regulations or rulings (including by virtue of a holding, judgment, order by a court of competent jurisdiction, action taken by any legislative body or taxing authority, or a change in published administrative practice) which amendment or change becomes effective on or after the Issue Date (or, if the applicable Relevant Tax Jurisdiction became a Relevant Tax Jurisdiction on a date after the Issue Date, such later date). </w:t>
            </w:r>
          </w:p>
        </w:tc>
      </w:tr>
    </w:tbl>
    <w:p>
      <w:pPr>
        <w:pStyle w:val="TextBody"/>
        <w:spacing w:before="240" w:after="0"/>
        <w:jc w:val="left"/>
        <w:rPr>
          <w:rFonts w:ascii="ARIAL" w:hAnsi="ARIAL"/>
          <w:sz w:val="20"/>
        </w:rPr>
      </w:pPr>
      <w:r>
        <w:rPr>
          <w:rFonts w:ascii="ARIAL" w:hAnsi="ARIAL"/>
          <w:sz w:val="20"/>
        </w:rPr>
        <w:t xml:space="preserve">Neither the Company nor the Guarantor, as applicable, will give any such notice of redemption earlier than 90 days prior to the earliest date on which the Company or the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the Company or the Guarantor, as applicable, cannot avoid its obligation to pay Additional Amounts by the Company or the Guarantor, as applicable, taking reasonable measures available to it. </w:t>
      </w:r>
    </w:p>
    <w:p>
      <w:pPr>
        <w:pStyle w:val="TextBody"/>
        <w:spacing w:before="240" w:after="0"/>
        <w:jc w:val="left"/>
        <w:rPr>
          <w:rFonts w:ascii="ARIAL" w:hAnsi="ARIAL"/>
          <w:sz w:val="20"/>
        </w:rPr>
      </w:pPr>
      <w:r>
        <w:rPr>
          <w:rFonts w:ascii="ARIAL" w:hAnsi="ARIAL"/>
          <w:sz w:val="20"/>
        </w:rPr>
        <w:t xml:space="preserve">The Trustee will accept and be entitled to rely on such Officers Certificate and opinion of counsel as sufficient evidence of the existence and satisfaction of the conditions precedent as described above, in which event it will be conclusive and binding on the holders of the Notes.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foregoing will also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 </w:t>
      </w:r>
    </w:p>
    <w:p>
      <w:pPr>
        <w:pStyle w:val="TextBody"/>
        <w:spacing w:before="360" w:after="0"/>
        <w:jc w:val="left"/>
        <w:rPr>
          <w:rFonts w:ascii="ARIAL" w:hAnsi="ARIAL"/>
          <w:b/>
          <w:sz w:val="20"/>
        </w:rPr>
      </w:pPr>
      <w:r>
        <w:rPr>
          <w:rFonts w:ascii="ARIAL" w:hAnsi="ARIAL"/>
          <w:b/>
          <w:sz w:val="20"/>
        </w:rPr>
        <w:t xml:space="preserve">Selection and Notice </w:t>
      </w:r>
    </w:p>
    <w:p>
      <w:pPr>
        <w:pStyle w:val="TextBody"/>
        <w:spacing w:before="120" w:after="0"/>
        <w:jc w:val="left"/>
        <w:rPr>
          <w:rFonts w:ascii="ARIAL" w:hAnsi="ARIAL"/>
          <w:sz w:val="20"/>
        </w:rPr>
      </w:pPr>
      <w:r>
        <w:rPr>
          <w:rFonts w:ascii="ARIAL" w:hAnsi="ARIAL"/>
          <w:sz w:val="20"/>
        </w:rPr>
        <w:t xml:space="preserve">If fewer than all of the Notes of a series are to be redeemed at any time, the Trustee will select Notes of such series in definitive, non-global form for redemption on a pro rata basis (or, in the case of Notes issued in global form as discussed under Book-Entry, Delivery and Form, such Notes to be redeemed will be selected in accordance with the procedures of the depository therefor) unless otherwise required by law or applicable stock exchange. </w:t>
      </w:r>
    </w:p>
    <w:p>
      <w:pPr>
        <w:pStyle w:val="TextBody"/>
        <w:spacing w:before="240" w:after="0"/>
        <w:jc w:val="left"/>
        <w:rPr>
          <w:rFonts w:ascii="ARIAL" w:hAnsi="ARIAL"/>
          <w:sz w:val="20"/>
        </w:rPr>
      </w:pPr>
      <w:r>
        <w:rPr>
          <w:rFonts w:ascii="ARIAL" w:hAnsi="ARIAL"/>
          <w:sz w:val="20"/>
        </w:rPr>
        <w:t xml:space="preserve">No Notes in principal amount of U.S.$2,000 or less can be redeemed in part. Notices of redemption will be given at least 10 but not more than 60 days before the redemption date to each holder of Notes of such series to be redeemed, except that redemption notices may be given more than 60 days prior to a redemption date if the notice is issued in connection with a defeasance of the Notes or a satisfaction and discharge of the Indenture. </w:t>
      </w:r>
    </w:p>
    <w:p>
      <w:pPr>
        <w:pStyle w:val="TextBody"/>
        <w:spacing w:before="240" w:after="0"/>
        <w:jc w:val="left"/>
        <w:rPr>
          <w:rFonts w:ascii="ARIAL" w:hAnsi="ARIAL"/>
          <w:sz w:val="20"/>
        </w:rPr>
      </w:pPr>
      <w:r>
        <w:rPr>
          <w:rFonts w:ascii="ARIAL" w:hAnsi="ARIAL"/>
          <w:sz w:val="20"/>
        </w:rPr>
        <w:t xml:space="preserve">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 </w:t>
      </w:r>
    </w:p>
    <w:p>
      <w:pPr>
        <w:pStyle w:val="TextBody"/>
        <w:spacing w:before="240" w:after="0"/>
        <w:jc w:val="left"/>
        <w:rPr>
          <w:rFonts w:ascii="ARIAL" w:hAnsi="ARIAL"/>
          <w:sz w:val="20"/>
        </w:rPr>
      </w:pPr>
      <w:r>
        <w:rPr>
          <w:rFonts w:ascii="ARIAL" w:hAnsi="ARIAL"/>
          <w:sz w:val="20"/>
        </w:rPr>
        <w:t xml:space="preserve">The Trustee will not be liable for selections made as contemplated in this section. Notices to holders of definitive, non-global Notes will be mailed to them at their registered addresses. For Notes which are represented by global Notes held on behalf of The Depository Trust Company (DTC), Euroclear Bank SA/ NV, as operator of the Euroclear System (Euroclear) and Clearstream Banking S.A. (Clearstream), notices may be given by delivery of the relevant notices to DTC, Euroclear or Clearstream for communication to entitled account holders in substitution for the aforesaid mailing. </w:t>
      </w:r>
    </w:p>
    <w:p>
      <w:pPr>
        <w:pStyle w:val="TextBody"/>
        <w:spacing w:before="360" w:after="0"/>
        <w:jc w:val="left"/>
        <w:rPr>
          <w:rFonts w:ascii="ARIAL" w:hAnsi="ARIAL"/>
          <w:b/>
          <w:sz w:val="20"/>
        </w:rPr>
      </w:pPr>
      <w:r>
        <w:rPr>
          <w:rFonts w:ascii="ARIAL" w:hAnsi="ARIAL"/>
          <w:b/>
          <w:sz w:val="20"/>
        </w:rPr>
        <w:t xml:space="preserve">Certain Covenants </w:t>
      </w:r>
    </w:p>
    <w:p>
      <w:pPr>
        <w:pStyle w:val="TextBody"/>
        <w:spacing w:before="120" w:after="0"/>
        <w:jc w:val="left"/>
        <w:rPr>
          <w:rFonts w:ascii="ARIAL" w:hAnsi="ARIAL"/>
          <w:sz w:val="20"/>
        </w:rPr>
      </w:pPr>
      <w:r>
        <w:rPr>
          <w:rFonts w:ascii="ARIAL" w:hAnsi="ARIAL"/>
          <w:sz w:val="20"/>
        </w:rPr>
        <w:t xml:space="preserve">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 </w:t>
      </w:r>
    </w:p>
    <w:p>
      <w:pPr>
        <w:pStyle w:val="TextBody"/>
        <w:spacing w:before="360" w:after="0"/>
        <w:jc w:val="left"/>
        <w:rPr>
          <w:rFonts w:ascii="ARIAL" w:hAnsi="ARIAL"/>
          <w:b/>
          <w:sz w:val="20"/>
        </w:rPr>
      </w:pPr>
      <w:r>
        <w:rPr>
          <w:rFonts w:ascii="ARIAL" w:hAnsi="ARIAL"/>
          <w:b/>
          <w:sz w:val="20"/>
        </w:rPr>
        <w:t xml:space="preserve">Limitation on Liens </w:t>
      </w:r>
    </w:p>
    <w:p>
      <w:pPr>
        <w:pStyle w:val="TextBody"/>
        <w:spacing w:before="120" w:after="0"/>
        <w:jc w:val="left"/>
        <w:rPr>
          <w:rFonts w:ascii="ARIAL" w:hAnsi="ARIAL"/>
          <w:sz w:val="20"/>
        </w:rPr>
      </w:pPr>
      <w:r>
        <w:rPr>
          <w:rFonts w:ascii="ARIAL" w:hAnsi="ARIAL"/>
          <w:sz w:val="20"/>
        </w:rPr>
        <w:t xml:space="preserve">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so determine, any of its other indebtedness or the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indebtedness of any such restricted subsidiary then existing or thereafter created ranking on a parity with the Notes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mortgages existing on the date of original issuance of the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mortgages on property or assets of, or on any shares of stock, ownership interests in or indebtedness of, any person existing at the time such person becomes a subsidiary (including a restricted subsidiary) of the Company or the Guarantor;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mortgages in favor of the Company, the Guarantor or any other subsidiary of the Guarantor;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the mortgage of any property or assets to secure indebtedness of the pollution control, industrial revenue or other revenue bond type;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(7)</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(8)</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mortgages arising by operation of law, including but not limited to mortgages for taxes, assessments or similar charges that are not yet due or the validity of which is being contested in good faith by appropriate proceedings;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(9)</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mortgages created in connection with the acquisition of property or assets, or a project financed with, non-recourse debt;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(10)</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 </w:t>
            </w:r>
          </w:p>
        </w:tc>
      </w:tr>
    </w:tbl>
    <w:p>
      <w:pPr>
        <w:pStyle w:val="TextBody"/>
        <w:spacing w:before="240" w:after="0"/>
        <w:jc w:val="left"/>
        <w:rPr>
          <w:rFonts w:ascii="ARIAL" w:hAnsi="ARIAL"/>
          <w:sz w:val="20"/>
        </w:rPr>
      </w:pPr>
      <w:r>
        <w:rPr>
          <w:rFonts w:ascii="ARIAL" w:hAnsi="ARIAL"/>
          <w:sz w:val="20"/>
        </w:rPr>
        <w:t xml:space="preserve">The foregoing covenant and certain other provisions of the Indenture use the following defined terms.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p>
    <w:p>
      <w:pPr>
        <w:pStyle w:val="TextBody"/>
        <w:spacing w:before="240" w:after="0"/>
        <w:jc w:val="left"/>
        <w:rPr>
          <w:rFonts w:ascii="ARIAL" w:hAnsi="ARIAL"/>
          <w:sz w:val="20"/>
        </w:rPr>
      </w:pPr>
      <w:r>
        <w:rPr>
          <w:rFonts w:ascii="ARIAL" w:hAnsi="ARIAL"/>
          <w:sz w:val="20"/>
        </w:rPr>
        <w:t xml:space="preserve">consolidated net worth means the amount of total stockholders equity shown in the Guarantors most recent quarterly consolidated statement of financial position. </w:t>
      </w:r>
    </w:p>
    <w:p>
      <w:pPr>
        <w:pStyle w:val="TextBody"/>
        <w:spacing w:before="240" w:after="0"/>
        <w:jc w:val="left"/>
        <w:rPr>
          <w:rFonts w:ascii="ARIAL" w:hAnsi="ARIAL"/>
          <w:sz w:val="20"/>
        </w:rPr>
      </w:pPr>
      <w:r>
        <w:rPr>
          <w:rFonts w:ascii="ARIAL" w:hAnsi="ARIAL"/>
          <w:sz w:val="20"/>
        </w:rPr>
        <w:t xml:space="preserve">mortgage means and includes any mortgage, pledge, lien, security interest, conditional sale or other title retention agreement or other similar encumbrance. </w:t>
      </w:r>
    </w:p>
    <w:p>
      <w:pPr>
        <w:pStyle w:val="TextBody"/>
        <w:spacing w:before="240" w:after="0"/>
        <w:jc w:val="left"/>
        <w:rPr>
          <w:rFonts w:ascii="ARIAL" w:hAnsi="ARIAL"/>
          <w:sz w:val="20"/>
        </w:rPr>
      </w:pPr>
      <w:r>
        <w:rPr>
          <w:rFonts w:ascii="ARIAL" w:hAnsi="ARIAL"/>
          <w:sz w:val="20"/>
        </w:rPr>
        <w:t xml:space="preserve">non-recourse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 </w:t>
      </w:r>
    </w:p>
    <w:p>
      <w:pPr>
        <w:pStyle w:val="TextBody"/>
        <w:spacing w:before="240" w:after="0"/>
        <w:jc w:val="left"/>
        <w:rPr>
          <w:rFonts w:ascii="ARIAL" w:hAnsi="ARIAL"/>
          <w:sz w:val="20"/>
        </w:rPr>
      </w:pPr>
      <w:r>
        <w:rPr>
          <w:rFonts w:ascii="ARIAL" w:hAnsi="ARIAL"/>
          <w:sz w:val="20"/>
        </w:rPr>
        <w:t xml:space="preserve">person means any individual, corporation, partnership, limited liability company, association, joint venture, trust, joint stock company or any other entity or organization, including a government or political subdivision or an agency or instrumentality thereof. </w:t>
      </w:r>
    </w:p>
    <w:p>
      <w:pPr>
        <w:pStyle w:val="TextBody"/>
        <w:spacing w:before="240" w:after="0"/>
        <w:jc w:val="left"/>
        <w:rPr>
          <w:rFonts w:ascii="ARIAL" w:hAnsi="ARIAL"/>
          <w:sz w:val="20"/>
        </w:rPr>
      </w:pPr>
      <w:r>
        <w:rPr>
          <w:rFonts w:ascii="ARIAL" w:hAnsi="ARIAL"/>
          <w:sz w:val="20"/>
        </w:rPr>
        <w:t xml:space="preserve">restricted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 </w:t>
      </w:r>
    </w:p>
    <w:p>
      <w:pPr>
        <w:pStyle w:val="TextBody"/>
        <w:spacing w:before="240" w:after="0"/>
        <w:jc w:val="left"/>
        <w:rPr>
          <w:rFonts w:ascii="ARIAL" w:hAnsi="ARIAL"/>
          <w:sz w:val="20"/>
        </w:rPr>
      </w:pPr>
      <w:r>
        <w:rPr>
          <w:rFonts w:ascii="ARIAL" w:hAnsi="ARIAL"/>
          <w:sz w:val="20"/>
        </w:rPr>
        <w:t xml:space="preserve">restricted subsidiary means any subsidiary of the Guarantor which owns a restricted property. </w:t>
      </w:r>
    </w:p>
    <w:p>
      <w:pPr>
        <w:pStyle w:val="TextBody"/>
        <w:spacing w:before="240" w:after="0"/>
        <w:jc w:val="left"/>
        <w:rPr>
          <w:rFonts w:ascii="ARIAL" w:hAnsi="ARIAL"/>
          <w:sz w:val="20"/>
        </w:rPr>
      </w:pPr>
      <w:r>
        <w:rPr>
          <w:rFonts w:ascii="ARIAL" w:hAnsi="ARIAL"/>
          <w:sz w:val="20"/>
        </w:rPr>
        <w:t xml:space="preserve">subsidiary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w:t>
      </w:r>
    </w:p>
    <w:p>
      <w:pPr>
        <w:pStyle w:val="TextBody"/>
        <w:spacing w:before="360" w:after="0"/>
        <w:jc w:val="left"/>
        <w:rPr>
          <w:rFonts w:ascii="ARIAL" w:hAnsi="ARIAL"/>
          <w:b/>
          <w:sz w:val="20"/>
        </w:rPr>
      </w:pPr>
      <w:r>
        <w:rPr>
          <w:rFonts w:ascii="ARIAL" w:hAnsi="ARIAL"/>
          <w:b/>
          <w:sz w:val="20"/>
        </w:rPr>
        <w:t xml:space="preserve">Consolidation, Merger and Sale of Assets </w:t>
      </w:r>
    </w:p>
    <w:p>
      <w:pPr>
        <w:pStyle w:val="TextBody"/>
        <w:spacing w:before="120" w:after="0"/>
        <w:jc w:val="left"/>
        <w:rPr>
          <w:rFonts w:ascii="ARIAL" w:hAnsi="ARIAL"/>
          <w:sz w:val="20"/>
        </w:rPr>
      </w:pPr>
      <w:r>
        <w:rPr>
          <w:rFonts w:ascii="ARIAL" w:hAnsi="ARIAL"/>
          <w:sz w:val="20"/>
        </w:rPr>
        <w:t xml:space="preserve">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Guarantees, as applicable, by an indenture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 </w:t>
      </w:r>
    </w:p>
    <w:p>
      <w:pPr>
        <w:pStyle w:val="TextBody"/>
        <w:spacing w:before="240" w:after="0"/>
        <w:jc w:val="left"/>
        <w:rPr>
          <w:rFonts w:ascii="ARIAL" w:hAnsi="ARIAL"/>
          <w:sz w:val="20"/>
        </w:rPr>
      </w:pPr>
      <w:r>
        <w:rPr>
          <w:rFonts w:ascii="ARIAL" w:hAnsi="ARIAL"/>
          <w:sz w:val="20"/>
        </w:rPr>
        <w:t xml:space="preserve">It is possible that a merger, transfer, or other transaction could be treated for U.S. federal income tax purposes as a taxable exchange by the beneficial owners of the Notes for new securities, which could result in beneficial owners of the Notes being required to recognize taxable gain or loss for U.S. federal income tax purposes. A merger, transfer, lease or other transaction could also have adverse tax consequences to beneficial owners of the Notes under other tax laws to which the beneficial owners are subject. </w:t>
      </w:r>
    </w:p>
    <w:p>
      <w:pPr>
        <w:pStyle w:val="TextBody"/>
        <w:spacing w:before="360" w:after="0"/>
        <w:jc w:val="left"/>
        <w:rPr>
          <w:rFonts w:ascii="ARIAL" w:hAnsi="ARIAL"/>
          <w:b/>
          <w:sz w:val="20"/>
        </w:rPr>
      </w:pPr>
      <w:r>
        <w:rPr>
          <w:rFonts w:ascii="ARIAL" w:hAnsi="ARIAL"/>
          <w:b/>
          <w:sz w:val="20"/>
        </w:rPr>
        <w:t xml:space="preserve">Assumption by a Subsidiary </w:t>
      </w:r>
    </w:p>
    <w:p>
      <w:pPr>
        <w:pStyle w:val="TextBody"/>
        <w:spacing w:before="120" w:after="0"/>
        <w:jc w:val="left"/>
        <w:rPr>
          <w:rFonts w:ascii="ARIAL" w:hAnsi="ARIAL"/>
          <w:sz w:val="20"/>
        </w:rPr>
      </w:pPr>
      <w:r>
        <w:rPr>
          <w:rFonts w:ascii="ARIAL" w:hAnsi="ARIAL"/>
          <w:sz w:val="20"/>
        </w:rPr>
        <w:t xml:space="preserve">Any subsidiary of the Guarantor may, at its option, assume the obligations of the Company under the Indenture and the Notes, provided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such subsidiary expressly assumes such obligations in an assumption agreement or supplemental indenture duly executed and delivered to the Trustee,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immediately after giving effect to such assumption, no Event of Default and no event which, after notice or lapse of time or both, would become an Event of Default, shall have occurred and be continuing. </w:t>
            </w:r>
          </w:p>
        </w:tc>
      </w:tr>
    </w:tbl>
    <w:p>
      <w:pPr>
        <w:pStyle w:val="TextBody"/>
        <w:spacing w:before="240" w:after="0"/>
        <w:jc w:val="left"/>
        <w:rPr>
          <w:rFonts w:ascii="ARIAL" w:hAnsi="ARIAL"/>
          <w:sz w:val="20"/>
        </w:rPr>
      </w:pPr>
      <w:r>
        <w:rPr>
          <w:rFonts w:ascii="ARIAL" w:hAnsi="ARIAL"/>
          <w:sz w:val="20"/>
        </w:rPr>
        <w:t xml:space="preserve">Upon any such assumption, the person so assuming the Companys obligations under the Indenture and the Notes will succeed to, and be substituted for, and may exercise any right and power of, the Company under the Notes and the Indenture with the same effect as if such person had been the issuer thereof, and the Company will be released from its liability as obligor under the Notes. An Officers Certificate and an opinion of counsel will be delivered to the Trustee, which will serve as conclusive evidence of compliance with these provisions. </w:t>
      </w:r>
    </w:p>
    <w:p>
      <w:pPr>
        <w:pStyle w:val="TextBody"/>
        <w:spacing w:before="240" w:after="0"/>
        <w:jc w:val="left"/>
        <w:rPr>
          <w:rFonts w:ascii="ARIAL" w:hAnsi="ARIAL"/>
          <w:i/>
          <w:sz w:val="20"/>
        </w:rPr>
      </w:pPr>
      <w:r>
        <w:rPr>
          <w:rFonts w:ascii="ARIAL" w:hAnsi="ARIAL"/>
          <w:i/>
          <w:sz w:val="20"/>
        </w:rPr>
        <w:t xml:space="preserve">An assumption of the Companys obligations as the issuer of the Notes by a subsidiary of the Guarantor may be treated for U.S. federal income tax purposes as a taxable exchange of the Notes for new Notes issued by such subsidiary of the Guarantor. In that event, U.S. Holders (as defined in U.S. Federal Income Tax Considerations) of such Notes may recognize taxable gain for U.S. federal income tax purposes, generally in an amount equal to the excess (if any) of the issue price of the new Notes over their basis in the old Notes, even though such U.S. Holders continue to hold the Notes and receive no distribution in connection with the deemed disposition. Beneficial owners of Notes who are U.S. Holders should consult their tax advisors regarding the non-U.S., U.S. federal, state and local income tax consequences of an assumption of the Companys obligations as issuer of Notes by a subsidiary of the Guarantor. See U.S. Federal Income Tax Considerations. </w:t>
      </w:r>
    </w:p>
    <w:p>
      <w:pPr>
        <w:pStyle w:val="TextBody"/>
        <w:spacing w:before="240" w:after="0"/>
        <w:jc w:val="left"/>
        <w:rPr>
          <w:rFonts w:ascii="ARIAL" w:hAnsi="ARIAL"/>
          <w:sz w:val="20"/>
        </w:rPr>
      </w:pPr>
      <w:r>
        <w:rPr>
          <w:rFonts w:ascii="ARIAL" w:hAnsi="ARIAL"/>
          <w:sz w:val="20"/>
        </w:rPr>
        <w:t xml:space="preserve">Pursuant to the Indenture, the Trustee will notify holders of an assumption of the Companys obligations as the issuer of the Notes by a subsidiary of the Guarantor. Upon an assumption,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 The information on or accessible through the Guarantors website is not incorporated herein by reference.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Events of Default </w:t>
      </w:r>
    </w:p>
    <w:p>
      <w:pPr>
        <w:pStyle w:val="TextBody"/>
        <w:spacing w:before="120" w:after="0"/>
        <w:jc w:val="left"/>
        <w:rPr>
          <w:rFonts w:ascii="ARIAL" w:hAnsi="ARIAL"/>
          <w:sz w:val="20"/>
        </w:rPr>
      </w:pPr>
      <w:r>
        <w:rPr>
          <w:rFonts w:ascii="ARIAL" w:hAnsi="ARIAL"/>
          <w:sz w:val="20"/>
        </w:rPr>
        <w:t xml:space="preserve">The following are Events of Default with respect to a series of Notes: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Companys failure to pay any interest on such series of Notes within 30 days after such interest becomes due and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Companys failure to pay principal of such series of Notes at maturity, or if applicable, the redemption price, when the same become due and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the Companys failure to comply with any of its covenants or agreements in such series of Notes or the Indenture (other than an agreement or covenant that the Company has included in the Indenture solely for the benefit of another series of debt securities that does not constitute part of such series of Notes) for 90 days after written notice by the Trustee or by the holders of at least 25% in principal amount of all outstanding debt securities affected by that failure;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except as permitted by the Indenture, the Guarantee of such series of Notes is held in any judicial proceeding to be unenforceable or invalid or ceases for any reason to be in full force and effect, or the Guarantor, or any authorized person acting on behalf of the Guarantor, denies or disaffirms the Guarantors obligations under its Guarantee;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certain events involving bankruptcy, insolvency or reorganization of the Company or the Guarantor. </w:t>
            </w:r>
          </w:p>
        </w:tc>
      </w:tr>
    </w:tbl>
    <w:p>
      <w:pPr>
        <w:pStyle w:val="TextBody"/>
        <w:spacing w:before="240" w:after="0"/>
        <w:jc w:val="left"/>
        <w:rPr>
          <w:rFonts w:ascii="ARIAL" w:hAnsi="ARIAL"/>
          <w:sz w:val="20"/>
        </w:rPr>
      </w:pPr>
      <w:r>
        <w:rPr>
          <w:rFonts w:ascii="ARIAL" w:hAnsi="ARIAL"/>
          <w:sz w:val="20"/>
        </w:rPr>
        <w:t xml:space="preserve">A default under one series of Notes or another series of debt securities issued under the Indenture will not necessarily be a default under another series of debt securities under the Indenture. The Trustee may withhold notice to the holders of a series of Notes issued under such Indenture of any default or Event of Default (except in any payment on such series of Notes) if the Trustee considers it in the interest of the holders of such Notes to do so. </w:t>
      </w:r>
    </w:p>
    <w:p>
      <w:pPr>
        <w:pStyle w:val="TextBody"/>
        <w:spacing w:before="240" w:after="0"/>
        <w:jc w:val="left"/>
        <w:rPr>
          <w:rFonts w:ascii="ARIAL" w:hAnsi="ARIAL"/>
          <w:sz w:val="20"/>
        </w:rPr>
      </w:pPr>
      <w:r>
        <w:rPr>
          <w:rFonts w:ascii="ARIAL" w:hAnsi="ARIAL"/>
          <w:sz w:val="20"/>
        </w:rPr>
        <w:t xml:space="preserve">If an Event of Default for a series of Notes occurs and is continuing, the Trustee or the holders of at least 25% in principal amount of such outstanding Notes (or, in some cases, 25% in principal amount of all outstanding debt securities under the Indenture affected, voting as one class) may require the Company to pay immediately the principal amount plus accrued and unpaid interest on such series of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 </w:t>
      </w:r>
    </w:p>
    <w:p>
      <w:pPr>
        <w:pStyle w:val="TextBody"/>
        <w:spacing w:before="240" w:after="0"/>
        <w:jc w:val="left"/>
        <w:rPr>
          <w:rFonts w:ascii="ARIAL" w:hAnsi="ARIAL"/>
          <w:sz w:val="20"/>
        </w:rPr>
      </w:pPr>
      <w:r>
        <w:rPr>
          <w:rFonts w:ascii="ARIAL" w:hAnsi="ARIAL"/>
          <w:sz w:val="20"/>
        </w:rPr>
        <w:t xml:space="preserve">A holder of a series of Notes may pursue any remedy under the Indenture applicable to such Notes only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holder gives the Trustee written notice of a continuing Event of Default for such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holders of at least 25% in principal amount of such outstanding Notes make a written request to the Trustee to pursue the remedy;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the holder furnishes to the Trustee indemnity reasonably satisfactory to the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the Trustee fails to act for a period of 60 days after receipt of notice and furnishing of indemnity;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during that 60-day period, the holders of a majority in principal amount of such outstanding Notes do not give the Trustee a direction inconsistent with the request.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This provision does not, however, affect the right of a holder of a series of Notes to sue for enforcement of any overdue payment with respect to such Notes. </w:t>
      </w:r>
    </w:p>
    <w:p>
      <w:pPr>
        <w:pStyle w:val="TextBody"/>
        <w:spacing w:before="240" w:after="0"/>
        <w:jc w:val="left"/>
        <w:rPr>
          <w:rFonts w:ascii="ARIAL" w:hAnsi="ARIAL"/>
          <w:sz w:val="20"/>
        </w:rPr>
      </w:pPr>
      <w:r>
        <w:rPr>
          <w:rFonts w:ascii="ARIAL" w:hAnsi="ARIAL"/>
          <w:sz w:val="20"/>
        </w:rPr>
        <w:t xml:space="preserve">In most cases, holders of a majority in principal amount of the outstanding Notes of a particular series issued by the Company may direct the time, method and place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conducting any proceeding for any remedy available to the Trustee with respect to such Notes;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exercising any trust or power conferred on the Trustee not relating to or arising under an Event of Default with respect to such Notes. </w:t>
            </w:r>
          </w:p>
        </w:tc>
      </w:tr>
    </w:tbl>
    <w:p>
      <w:pPr>
        <w:pStyle w:val="TextBody"/>
        <w:spacing w:before="240" w:after="0"/>
        <w:jc w:val="left"/>
        <w:rPr>
          <w:rFonts w:ascii="ARIAL" w:hAnsi="ARIAL"/>
          <w:sz w:val="20"/>
        </w:rPr>
      </w:pPr>
      <w:r>
        <w:rPr>
          <w:rFonts w:ascii="ARIAL" w:hAnsi="ARIAL"/>
          <w:sz w:val="20"/>
        </w:rPr>
        <w:t xml:space="preserve">The Indenture requires the Company to file with the Trustee each year a written statement as to its compliance with the covenants contained in the Indenture. </w:t>
      </w:r>
    </w:p>
    <w:p>
      <w:pPr>
        <w:pStyle w:val="TextBody"/>
        <w:spacing w:before="360" w:after="0"/>
        <w:jc w:val="left"/>
        <w:rPr>
          <w:rFonts w:ascii="ARIAL" w:hAnsi="ARIAL"/>
          <w:b/>
          <w:sz w:val="20"/>
        </w:rPr>
      </w:pPr>
      <w:r>
        <w:rPr>
          <w:rFonts w:ascii="ARIAL" w:hAnsi="ARIAL"/>
          <w:b/>
          <w:sz w:val="20"/>
        </w:rPr>
        <w:t xml:space="preserve">Modification and Waiver </w:t>
      </w:r>
    </w:p>
    <w:p>
      <w:pPr>
        <w:pStyle w:val="TextBody"/>
        <w:spacing w:before="120" w:after="0"/>
        <w:jc w:val="left"/>
        <w:rPr>
          <w:rFonts w:ascii="ARIAL" w:hAnsi="ARIAL"/>
          <w:sz w:val="20"/>
        </w:rPr>
      </w:pPr>
      <w:r>
        <w:rPr>
          <w:rFonts w:ascii="ARIAL" w:hAnsi="ARIAL"/>
          <w:sz w:val="20"/>
        </w:rPr>
        <w:t xml:space="preserve">Except as provided in the next two succeeding paragraphs, the Indenture or the Notes or Guarantee of a series may be amended or supplemented, and waivers may be obtained, with the consent of the holders of at least a majority in aggregate principal amount of the outstanding Notes of such series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of a series may be waived with the consent of the holders of a majority in aggregate principal amount of the outstanding Notes of such series (including, without limitation, additional Notes, if any) voting as a single class (including, without limitation, consents obtained in connection with a tender offer or exchange offer for, or purchase of, such Notes). </w:t>
      </w:r>
    </w:p>
    <w:p>
      <w:pPr>
        <w:pStyle w:val="TextBody"/>
        <w:spacing w:before="240" w:after="0"/>
        <w:jc w:val="left"/>
        <w:rPr>
          <w:rFonts w:ascii="ARIAL" w:hAnsi="ARIAL"/>
          <w:sz w:val="20"/>
        </w:rPr>
      </w:pPr>
      <w:r>
        <w:rPr>
          <w:rFonts w:ascii="ARIAL" w:hAnsi="ARIAL"/>
          <w:sz w:val="20"/>
        </w:rPr>
        <w:t xml:space="preserve">Without the consent of each holder of Notes affected thereby, an amendment, supplement or waiver may not (with respect to any Notes held by a non-consenting holder):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reduce the amount of Notes whose holders must consent to an amendment, supplement or waiver;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reduce the rate of or change the time for payment of interest on its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reduce the principal or change the stated maturity of its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reduce any premium payable on the redemption of its Notes or change the time at which its Notes may or must be redeemed;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change any obligation to pay Additional Amounts on its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make payments on its Notes payable in currency other than as originally stated in its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impair the holders right to institute suit for the enforcement of any payment on its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make any change in the percentage of principal amount of its Notes necessary to waive compliance with certain provisions of the Indenture such Notes were issued under or to make any change in this provision for modification;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waive a continuing default or Event of Default regarding any payment on its Notes.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Notwithstanding the preceding, without the consent of any holder of Notes, the Company, the Guarantor and the Trustee may amend or supplement the Indenture or the Notes or Guarantee of a series in certain circumstances,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to cure any ambiguity, omission, defect or inconsistency;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to provide for the assumption of the Companys or the Guarantors obligations under the Indenture, and such Notes or such Guarantee, as applicable, by a successor upon any merger, consolidation or asset transfer in accordance with the requirements under Consolidation, Merger and Sale of Assets or to provide for the assumption of the Companys obligations under the Indenture and such Notes by a subsidiary of the Guarantor in accordance with the requirements under Assumption by a Subsidiary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to provide for uncertificated Notes in addition to or in place of certificated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to provide any security for or guarantees of the Notes or for the addition of an additional obligor on such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to comply with any requirement to effect or maintain the qualification of the Indenture under the Trust Indenture Act of 1939, as amended (the Trust Indenture Act), if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to add covenants that would benefit the holders of such outstanding Notes or to surrender any rights the Company has under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to change or eliminate any of the provisions of the Indenture, provided that any such change or elimination will not become effective with respect to any such outstanding Notes created prior to the execution of such supplemental indenture which is entitled to the benefit of such provision;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to provide for the issuance of and establish forms and terms and conditions of a new series of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to issue additional Notes; provided that such additional Notes have the same terms as, and will be deemed part of the same series as, such Notes to the extent required under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to evidence and provide for the acceptance of appointment by a successor trustee with respect to such Notes and to add to or change any of the provisions of the Indenture as are necessary to provide for or facilitate the administration of the trust by more than one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to add additional Events of Default with respect to such Notes;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to make any change that does not adversely affect any of such outstanding Notes in any material respect. </w:t>
            </w:r>
          </w:p>
        </w:tc>
      </w:tr>
    </w:tbl>
    <w:p>
      <w:pPr>
        <w:pStyle w:val="TextBody"/>
        <w:spacing w:before="240" w:after="0"/>
        <w:jc w:val="left"/>
        <w:rPr>
          <w:rFonts w:ascii="ARIAL" w:hAnsi="ARIAL"/>
          <w:sz w:val="20"/>
        </w:rPr>
      </w:pPr>
      <w:r>
        <w:rPr>
          <w:rFonts w:ascii="ARIAL" w:hAnsi="ARIAL"/>
          <w:sz w:val="20"/>
        </w:rPr>
        <w:t xml:space="preserve">The holders of a majority in principal amount of such outstanding Notes issued by the Company may waive any existing or past default or Event of Default with respect to those Notes. Notwithstanding the foregoing, those holders may not, however, waive any default or Event of Default in any payment on any such Note. </w:t>
      </w:r>
    </w:p>
    <w:p>
      <w:pPr>
        <w:pStyle w:val="TextBody"/>
        <w:spacing w:before="360" w:after="0"/>
        <w:jc w:val="left"/>
        <w:rPr>
          <w:rFonts w:ascii="ARIAL" w:hAnsi="ARIAL"/>
          <w:b/>
          <w:sz w:val="20"/>
        </w:rPr>
      </w:pPr>
      <w:r>
        <w:rPr>
          <w:rFonts w:ascii="ARIAL" w:hAnsi="ARIAL"/>
          <w:b/>
          <w:sz w:val="20"/>
        </w:rPr>
        <w:t xml:space="preserve">Personal Liability of Directors, Officers, Employees, Stockholders and Certain Others </w:t>
      </w:r>
    </w:p>
    <w:p>
      <w:pPr>
        <w:pStyle w:val="TextBody"/>
        <w:spacing w:before="120" w:after="0"/>
        <w:jc w:val="left"/>
        <w:rPr>
          <w:rFonts w:ascii="ARIAL" w:hAnsi="ARIAL"/>
          <w:sz w:val="20"/>
        </w:rPr>
      </w:pPr>
      <w:r>
        <w:rPr>
          <w:rFonts w:ascii="ARIAL" w:hAnsi="ARIAL"/>
          <w:sz w:val="20"/>
        </w:rPr>
        <w:t xml:space="preserve">No director, officer, employee, incorporator or similar founder, stockholder or member of the Company or the Guarantor, as such, will have any liability for any obligations of the Company or the Guarantor under the Notes, Indenture or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Defeasance </w:t>
      </w:r>
    </w:p>
    <w:p>
      <w:pPr>
        <w:pStyle w:val="TextBody"/>
        <w:spacing w:before="120" w:after="0"/>
        <w:jc w:val="left"/>
        <w:rPr>
          <w:rFonts w:ascii="ARIAL" w:hAnsi="ARIAL"/>
          <w:sz w:val="20"/>
        </w:rPr>
      </w:pPr>
      <w:r>
        <w:rPr>
          <w:rFonts w:ascii="ARIAL" w:hAnsi="ARIAL"/>
          <w:sz w:val="20"/>
        </w:rPr>
        <w:t xml:space="preserve">The term defeasance means the discharge of the Company from some or all of its obligations under the Indenture. If the Company deposits with the Trustee funds or government obligations (as defined in the Indenture) sufficient to make payments on a series of Notes on the dates those payments are due and payable, then, at the Companys option, either of the following will occur: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it will be discharged from its obligations with respect to such Notes, except as described in the paragraph immediately below (legal defeasance);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it will no longer have any obligation to comply with the restrictive covenants under the Indenture with respect to such Notes, and the related Events of Default will no longer apply to the Company (covenant defeasance). </w:t>
            </w:r>
          </w:p>
        </w:tc>
      </w:tr>
    </w:tbl>
    <w:p>
      <w:pPr>
        <w:pStyle w:val="TextBody"/>
        <w:spacing w:before="240" w:after="0"/>
        <w:jc w:val="left"/>
        <w:rPr>
          <w:rFonts w:ascii="ARIAL" w:hAnsi="ARIAL"/>
          <w:sz w:val="20"/>
        </w:rPr>
      </w:pPr>
      <w:r>
        <w:rPr>
          <w:rFonts w:ascii="ARIAL" w:hAnsi="ARIAL"/>
          <w:sz w:val="20"/>
        </w:rPr>
        <w:t xml:space="preserve">We may exercise our legal defeasance option notwithstanding our prior exercise of our covenant defeasance option. </w:t>
      </w:r>
    </w:p>
    <w:p>
      <w:pPr>
        <w:pStyle w:val="TextBody"/>
        <w:spacing w:before="240" w:after="0"/>
        <w:jc w:val="left"/>
        <w:rPr>
          <w:rFonts w:ascii="ARIAL" w:hAnsi="ARIAL"/>
          <w:sz w:val="20"/>
        </w:rPr>
      </w:pPr>
      <w:r>
        <w:rPr>
          <w:rFonts w:ascii="ARIAL" w:hAnsi="ARIAL"/>
          <w:sz w:val="20"/>
        </w:rPr>
        <w:t xml:space="preserve">If we exercise our legal defeasance option with respect to a series of Notes, the Company and the Guarantor will be deemed to have paid and discharged the entire indebtedness represented by such outstanding Notes and the applicable Guarantee, and to have satisfied all other obligations under such Notes, the applicable Guarantee and the Indenture with respect to such series of Notes, except as to (i) the Companys obligations to register the transfer or exchange of such Notes, replace stolen, lost or mutilated Notes, pay Additional Amounts, maintain paying agencies, and hold moneys for payment in trust, and (ii) the obligation of the Company and the Guarantor to compensate and indemnify the Trustee. </w:t>
      </w:r>
    </w:p>
    <w:p>
      <w:pPr>
        <w:pStyle w:val="TextBody"/>
        <w:spacing w:before="240" w:after="0"/>
        <w:jc w:val="left"/>
        <w:rPr>
          <w:rFonts w:ascii="ARIAL" w:hAnsi="ARIAL"/>
          <w:sz w:val="20"/>
        </w:rPr>
      </w:pPr>
      <w:r>
        <w:rPr>
          <w:rFonts w:ascii="ARIAL" w:hAnsi="ARIAL"/>
          <w:sz w:val="20"/>
        </w:rPr>
        <w:t xml:space="preserve">If we exercise our covenant defeasance option with respect to a series of Notes, the Company will no longer have any obligation to comply with the restrictive covenants under the Indenture with respect to such Notes, and the related Events of Default will no longer apply to the Company. Except as specified in the Indenture, however, the remainder of the Indenture and the Notes and the Guarantees will be unaffected by the occurrence of covenant defeasance, and the Notes will continue to be deemed outstanding for all other purposes under the Indenture other than for the purposes of any direction, waiver, consent or declaration or act of holders (and the consequences of any thereof) in connection with any of the defeased covenants. </w:t>
      </w:r>
    </w:p>
    <w:p>
      <w:pPr>
        <w:pStyle w:val="TextBody"/>
        <w:spacing w:before="240" w:after="0"/>
        <w:jc w:val="left"/>
        <w:rPr>
          <w:rFonts w:ascii="ARIAL" w:hAnsi="ARIAL"/>
          <w:sz w:val="20"/>
        </w:rPr>
      </w:pPr>
      <w:r>
        <w:rPr>
          <w:rFonts w:ascii="ARIAL" w:hAnsi="ARIAL"/>
          <w:sz w:val="20"/>
        </w:rPr>
        <w:t xml:space="preserve">In addition to the other requirements, we will be required to deliver to the Trustee an opinion of counsel or a tax ruling to the effect that the deposit and related defeasance would not cause the beneficial owners of the Notes to recognize income, gain or loss for U.S. federal income tax purposes. If the Company elects legal defeasance, that opinion of counsel must be based upon a ruling from the U.S. Internal Revenue Service (or successor agency) or changes in law to that effect. </w:t>
      </w:r>
    </w:p>
    <w:p>
      <w:pPr>
        <w:pStyle w:val="TextBody"/>
        <w:spacing w:before="360" w:after="0"/>
        <w:jc w:val="left"/>
        <w:rPr>
          <w:rFonts w:ascii="ARIAL" w:hAnsi="ARIAL"/>
          <w:b/>
          <w:sz w:val="20"/>
        </w:rPr>
      </w:pPr>
      <w:r>
        <w:rPr>
          <w:rFonts w:ascii="ARIAL" w:hAnsi="ARIAL"/>
          <w:b/>
          <w:sz w:val="20"/>
        </w:rPr>
        <w:t xml:space="preserve">Concerning the Trustee </w:t>
      </w:r>
    </w:p>
    <w:p>
      <w:pPr>
        <w:pStyle w:val="TextBody"/>
        <w:spacing w:before="120" w:after="0"/>
        <w:jc w:val="left"/>
        <w:rPr>
          <w:rFonts w:ascii="ARIAL" w:hAnsi="ARIAL"/>
          <w:sz w:val="20"/>
        </w:rPr>
      </w:pPr>
      <w:r>
        <w:rPr>
          <w:rFonts w:ascii="ARIAL" w:hAnsi="ARIAL"/>
          <w:sz w:val="20"/>
        </w:rPr>
        <w:t xml:space="preserve">The Bank of New York Mellon is trustee under the Indenture. The Trustee performs services for the Guarantor and its subsidiaries in the ordinary course of business. </w:t>
      </w:r>
    </w:p>
    <w:p>
      <w:pPr>
        <w:pStyle w:val="TextBody"/>
        <w:spacing w:before="240" w:after="0"/>
        <w:jc w:val="left"/>
        <w:rPr>
          <w:rFonts w:ascii="ARIAL" w:hAnsi="ARIAL"/>
          <w:sz w:val="20"/>
        </w:rPr>
      </w:pPr>
      <w:r>
        <w:rPr>
          <w:rFonts w:ascii="ARIAL" w:hAnsi="ARIAL"/>
          <w:sz w:val="20"/>
        </w:rPr>
        <w:t xml:space="preserve">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or security reasonably satisfactory to it.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If the Trustee becomes a creditor of the Company,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Securities and Exchange Commission permitting it to remain as Trustee. </w:t>
      </w:r>
    </w:p>
    <w:p>
      <w:pPr>
        <w:pStyle w:val="TextBody"/>
        <w:spacing w:before="360" w:after="0"/>
        <w:jc w:val="left"/>
        <w:rPr>
          <w:rFonts w:ascii="ARIAL" w:hAnsi="ARIAL"/>
          <w:b/>
          <w:sz w:val="20"/>
        </w:rPr>
      </w:pPr>
      <w:r>
        <w:rPr>
          <w:rFonts w:ascii="ARIAL" w:hAnsi="ARIAL"/>
          <w:b/>
          <w:sz w:val="20"/>
        </w:rPr>
        <w:t xml:space="preserve">Paying Agent and Registrar for the Notes </w:t>
      </w:r>
    </w:p>
    <w:p>
      <w:pPr>
        <w:pStyle w:val="TextBody"/>
        <w:spacing w:before="120" w:after="0"/>
        <w:jc w:val="left"/>
        <w:rPr>
          <w:rFonts w:ascii="ARIAL" w:hAnsi="ARIAL"/>
          <w:sz w:val="20"/>
        </w:rPr>
      </w:pPr>
      <w:r>
        <w:rPr>
          <w:rFonts w:ascii="ARIAL" w:hAnsi="ARIAL"/>
          <w:sz w:val="20"/>
        </w:rPr>
        <w:t xml:space="preserve">We will maintain one or more paying agents (each a Paying Agent) for the Notes in the Borough of Manhattan, City of New York. We will also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the Notes. If we fail to appoint or maintain another entity as Paying Agent, the Trustee will act as such. The Company, the Guarantor or any of the Guarantors subsidiaries, upon notice to the Trustee, may act as Paying Agent. The initial Paying Agent will be The Bank of New York Mellon in New York. </w:t>
      </w:r>
    </w:p>
    <w:p>
      <w:pPr>
        <w:pStyle w:val="TextBody"/>
        <w:spacing w:before="240" w:after="0"/>
        <w:jc w:val="left"/>
        <w:rPr>
          <w:rFonts w:ascii="ARIAL" w:hAnsi="ARIAL"/>
          <w:sz w:val="20"/>
        </w:rPr>
      </w:pPr>
      <w:r>
        <w:rPr>
          <w:rFonts w:ascii="ARIAL" w:hAnsi="ARIAL"/>
          <w:sz w:val="20"/>
        </w:rPr>
        <w:t xml:space="preserve">We will also maintain a registrar (the Registrar) with an office in the Borough of Manhattan, City of New York. Upon written notice to the Trustee accompanied by an Officers Certificate, we may appoint one or more registrars, other than the Trustee, for the Notes. If we fail to appoint or maintain another entity as Registrar, the Trustee will act as such. The Company, the Guarantor or any of the Guarantors subsidiaries, upon notice to the Trustee, may act as Registrar. The initial Registrar will be The Bank of New York Mellon in New York. </w:t>
      </w:r>
    </w:p>
    <w:p>
      <w:pPr>
        <w:pStyle w:val="TextBody"/>
        <w:spacing w:before="240" w:after="0"/>
        <w:jc w:val="left"/>
        <w:rPr>
          <w:rFonts w:ascii="ARIAL" w:hAnsi="ARIAL"/>
          <w:sz w:val="20"/>
        </w:rPr>
      </w:pPr>
      <w:r>
        <w:rPr>
          <w:rFonts w:ascii="ARIAL" w:hAnsi="ARIAL"/>
          <w:sz w:val="20"/>
        </w:rPr>
        <w:t xml:space="preserve">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the Notes. If we fail to appoint or maintain another entity as transfer agent, the Trustee will act as such. The Company, the Guarantor or any of the Guarantors subsidiaries, upon notice to the Trustee, may act as transfer agent. The initial transfer agent will be The Bank of New York Mellon in New York. </w:t>
      </w:r>
    </w:p>
    <w:p>
      <w:pPr>
        <w:pStyle w:val="TextBody"/>
        <w:spacing w:before="240" w:after="0"/>
        <w:jc w:val="left"/>
        <w:rPr>
          <w:rFonts w:ascii="ARIAL" w:hAnsi="ARIAL"/>
          <w:sz w:val="20"/>
        </w:rPr>
      </w:pPr>
      <w:r>
        <w:rPr>
          <w:rFonts w:ascii="ARIAL" w:hAnsi="ARIAL"/>
          <w:sz w:val="20"/>
        </w:rPr>
        <w:t xml:space="preserve">The Registrar will maintain a register reflecting ownership of Notes outstanding from time to time and the Paying Agent will make payments on and facilitate transfer of Notes on our behalf. </w:t>
      </w:r>
    </w:p>
    <w:p>
      <w:pPr>
        <w:pStyle w:val="TextBody"/>
        <w:spacing w:before="240" w:after="0"/>
        <w:jc w:val="left"/>
        <w:rPr>
          <w:rFonts w:ascii="ARIAL" w:hAnsi="ARIAL"/>
          <w:sz w:val="20"/>
        </w:rPr>
      </w:pPr>
      <w:r>
        <w:rPr>
          <w:rFonts w:ascii="ARIAL" w:hAnsi="ARIAL"/>
          <w:sz w:val="20"/>
        </w:rPr>
        <w:t xml:space="preserve">We may change any Paying Agents, Registrars or transfer agents without prior notice to the holders of Notes. </w:t>
      </w:r>
    </w:p>
    <w:p>
      <w:pPr>
        <w:pStyle w:val="TextBody"/>
        <w:spacing w:before="360" w:after="0"/>
        <w:jc w:val="left"/>
        <w:rPr>
          <w:rFonts w:ascii="ARIAL" w:hAnsi="ARIAL"/>
          <w:b/>
          <w:sz w:val="20"/>
        </w:rPr>
      </w:pPr>
      <w:r>
        <w:rPr>
          <w:rFonts w:ascii="ARIAL" w:hAnsi="ARIAL"/>
          <w:b/>
          <w:sz w:val="20"/>
        </w:rPr>
        <w:t xml:space="preserve">Further Issuances </w:t>
      </w:r>
    </w:p>
    <w:p>
      <w:pPr>
        <w:pStyle w:val="TextBody"/>
        <w:spacing w:before="120" w:after="0"/>
        <w:jc w:val="left"/>
        <w:rPr>
          <w:rFonts w:ascii="ARIAL" w:hAnsi="ARIAL"/>
          <w:sz w:val="20"/>
        </w:rPr>
      </w:pPr>
      <w:r>
        <w:rPr>
          <w:rFonts w:ascii="ARIAL" w:hAnsi="ARIAL"/>
          <w:sz w:val="20"/>
        </w:rPr>
        <w:t xml:space="preserve">The Company may, from time to time, without notice to or consent of the registered holders of its Notes of a series, increase the principal amount of such Notes that may be issued under the Indenture and issue such increased principal amount (or any portion thereof), in which case any such additional Notes so issued will have the same form and terms (other than the date of issuance and, under certain circumstances, the date from which interest thereon will begin to accrue), and will carry the same right to receive accrued and unpaid interest, as the Notes of such series previously issued, and such additional Notes will form a single series with the previously issued Notes, including for purposes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 of such series). </w:t>
      </w:r>
    </w:p>
    <w:p>
      <w:pPr>
        <w:pStyle w:val="TextBody"/>
        <w:spacing w:before="360" w:after="0"/>
        <w:jc w:val="left"/>
        <w:rPr>
          <w:rFonts w:ascii="ARIAL" w:hAnsi="ARIAL"/>
          <w:b/>
          <w:sz w:val="20"/>
        </w:rPr>
      </w:pPr>
      <w:r>
        <w:rPr>
          <w:rFonts w:ascii="ARIAL" w:hAnsi="ARIAL"/>
          <w:b/>
          <w:sz w:val="20"/>
        </w:rPr>
        <w:t xml:space="preserve">Book-Entry, Delivery and Form </w:t>
      </w:r>
    </w:p>
    <w:p>
      <w:pPr>
        <w:pStyle w:val="TextBody"/>
        <w:spacing w:before="120" w:after="0"/>
        <w:jc w:val="left"/>
        <w:rPr>
          <w:rFonts w:ascii="ARIAL" w:hAnsi="ARIAL"/>
          <w:sz w:val="20"/>
        </w:rPr>
      </w:pPr>
      <w:r>
        <w:rPr>
          <w:rFonts w:ascii="ARIAL" w:hAnsi="ARIAL"/>
          <w:sz w:val="20"/>
        </w:rPr>
        <w:t xml:space="preserve">We will issue the Notes of each series in registered, global form (each, a global Note), without coupons, in minimum denominations of U.S.$2,000 and integral multiples of U.S.$1,000 in excess thereof, that will be deposited with, or on behalf of, DTC. The global Notes will be registered in the name of Cede &amp; Co., DTCs nominee. </w:t>
      </w:r>
    </w:p>
    <w:p>
      <w:pPr>
        <w:pStyle w:val="TextBody"/>
        <w:spacing w:before="240" w:after="0"/>
        <w:jc w:val="left"/>
        <w:rPr>
          <w:rFonts w:ascii="ARIAL" w:hAnsi="ARIAL"/>
          <w:sz w:val="20"/>
        </w:rPr>
      </w:pPr>
      <w:r>
        <w:rPr>
          <w:rFonts w:ascii="ARIAL" w:hAnsi="ARIAL"/>
          <w:sz w:val="20"/>
        </w:rPr>
        <w:t xml:space="preserve">Beneficial interests in the global Notes will be represented through book-entry accounts of financial institutions acting on behalf of beneficial owners as direct or indirect participants in DTC. </w:t>
      </w:r>
    </w:p>
    <w:p>
      <w:pPr>
        <w:pStyle w:val="TextBody"/>
        <w:spacing w:before="240" w:after="0"/>
        <w:jc w:val="left"/>
        <w:rPr>
          <w:rFonts w:ascii="ARIAL" w:hAnsi="ARIAL"/>
          <w:sz w:val="20"/>
        </w:rPr>
      </w:pPr>
      <w:r>
        <w:rPr>
          <w:rFonts w:ascii="ARIAL" w:hAnsi="ARIAL"/>
          <w:sz w:val="20"/>
        </w:rPr>
        <w:t xml:space="preserve">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 </w:t>
      </w:r>
    </w:p>
    <w:p>
      <w:pPr>
        <w:pStyle w:val="TextBody"/>
        <w:spacing w:before="240" w:after="0"/>
        <w:jc w:val="left"/>
        <w:rPr>
          <w:rFonts w:ascii="ARIAL" w:hAnsi="ARIAL"/>
          <w:sz w:val="20"/>
        </w:rPr>
      </w:pPr>
      <w:r>
        <w:rPr>
          <w:rFonts w:ascii="ARIAL" w:hAnsi="ARIAL"/>
          <w:sz w:val="20"/>
        </w:rPr>
        <w:t xml:space="preserve">Notes represented by a global Note can be exchanged for definitive securities in registered form only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we determine that such Notes will no longer be represented by a global Note and execute and deliver to the Trustee an Officers Certificate to such effect. </w:t>
            </w:r>
          </w:p>
        </w:tc>
      </w:tr>
    </w:tbl>
    <w:p>
      <w:pPr>
        <w:pStyle w:val="TextBody"/>
        <w:spacing w:before="240" w:after="0"/>
        <w:jc w:val="left"/>
        <w:rPr>
          <w:rFonts w:ascii="ARIAL" w:hAnsi="ARIAL"/>
          <w:sz w:val="20"/>
        </w:rPr>
      </w:pPr>
      <w:r>
        <w:rPr>
          <w:rFonts w:ascii="ARIAL" w:hAnsi="ARIAL"/>
          <w:sz w:val="20"/>
        </w:rPr>
        <w:t xml:space="preserve">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 </w:t>
      </w:r>
    </w:p>
    <w:p>
      <w:pPr>
        <w:pStyle w:val="TextBody"/>
        <w:spacing w:before="240" w:after="0"/>
        <w:jc w:val="left"/>
        <w:rPr>
          <w:rFonts w:ascii="ARIAL" w:hAnsi="ARIAL"/>
          <w:sz w:val="20"/>
        </w:rPr>
      </w:pPr>
      <w:r>
        <w:rPr>
          <w:rFonts w:ascii="ARIAL" w:hAnsi="ARIAL"/>
          <w:sz w:val="20"/>
        </w:rPr>
        <w:t xml:space="preserve">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any aspect of DTCs records relating to, or payments made on account of, beneficial ownership interests in a Note represented by a global Note;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other aspect of the relationship between DTC and its participants or the relationship between those participants and the owners of beneficial interests in a global Note held through those participants; or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maintenance, supervision or review of any of DTCs records relating to those beneficial ownership interests. </w:t>
            </w:r>
          </w:p>
        </w:tc>
      </w:tr>
    </w:tbl>
    <w:p>
      <w:pPr>
        <w:pStyle w:val="TextBody"/>
        <w:spacing w:before="240" w:after="0"/>
        <w:jc w:val="left"/>
        <w:rPr>
          <w:rFonts w:ascii="ARIAL" w:hAnsi="ARIAL"/>
          <w:sz w:val="20"/>
        </w:rPr>
      </w:pPr>
      <w:r>
        <w:rPr>
          <w:rFonts w:ascii="ARIAL" w:hAnsi="ARIAL"/>
          <w:sz w:val="20"/>
        </w:rPr>
        <w:t xml:space="preserve">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 </w:t>
      </w:r>
    </w:p>
    <w:p>
      <w:pPr>
        <w:pStyle w:val="TextBody"/>
        <w:spacing w:before="360" w:after="0"/>
        <w:jc w:val="left"/>
        <w:rPr>
          <w:rFonts w:ascii="ARIAL" w:hAnsi="ARIAL"/>
          <w:b/>
          <w:i/>
          <w:sz w:val="20"/>
        </w:rPr>
      </w:pPr>
      <w:r>
        <w:rPr>
          <w:rFonts w:ascii="ARIAL" w:hAnsi="ARIAL"/>
          <w:b/>
          <w:i/>
          <w:sz w:val="20"/>
        </w:rPr>
        <w:t xml:space="preserve">DTC </w:t>
      </w:r>
    </w:p>
    <w:p>
      <w:pPr>
        <w:pStyle w:val="TextBody"/>
        <w:spacing w:before="120" w:after="0"/>
        <w:jc w:val="left"/>
        <w:rPr>
          <w:rFonts w:ascii="ARIAL" w:hAnsi="ARIAL"/>
          <w:sz w:val="20"/>
        </w:rPr>
      </w:pPr>
      <w:r>
        <w:rPr>
          <w:rFonts w:ascii="ARIAL" w:hAnsi="ARIAL"/>
          <w:sz w:val="20"/>
        </w:rPr>
        <w:t xml:space="preserve">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 </w:t>
      </w:r>
    </w:p>
    <w:p>
      <w:pPr>
        <w:pStyle w:val="TextBody"/>
        <w:spacing w:before="240" w:after="0"/>
        <w:jc w:val="left"/>
        <w:rPr>
          <w:rFonts w:ascii="ARIAL" w:hAnsi="ARIAL"/>
          <w:sz w:val="20"/>
        </w:rPr>
      </w:pPr>
      <w:r>
        <w:rPr>
          <w:rFonts w:ascii="ARIAL" w:hAnsi="ARIAL"/>
          <w:sz w:val="20"/>
        </w:rPr>
        <w:t xml:space="preserve">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 </w:t>
      </w:r>
    </w:p>
    <w:p>
      <w:pPr>
        <w:pStyle w:val="TextBody"/>
        <w:spacing w:before="240" w:after="0"/>
        <w:jc w:val="left"/>
        <w:rPr>
          <w:rFonts w:ascii="ARIAL" w:hAnsi="ARIAL"/>
          <w:sz w:val="20"/>
        </w:rPr>
      </w:pPr>
      <w:r>
        <w:rPr>
          <w:rFonts w:ascii="ARIAL" w:hAnsi="ARIAL"/>
          <w:sz w:val="20"/>
        </w:rPr>
        <w:t xml:space="preserve">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 </w:t>
      </w:r>
    </w:p>
    <w:p>
      <w:pPr>
        <w:pStyle w:val="TextBody"/>
        <w:spacing w:before="240" w:after="0"/>
        <w:jc w:val="left"/>
        <w:rPr>
          <w:rFonts w:ascii="ARIAL" w:hAnsi="ARIAL"/>
          <w:sz w:val="20"/>
        </w:rPr>
      </w:pPr>
      <w:r>
        <w:rPr>
          <w:rFonts w:ascii="ARIAL" w:hAnsi="ARIAL"/>
          <w:sz w:val="20"/>
        </w:rPr>
        <w:t xml:space="preserve">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 </w:t>
      </w:r>
    </w:p>
    <w:p>
      <w:pPr>
        <w:pStyle w:val="TextBody"/>
        <w:spacing w:before="240" w:after="0"/>
        <w:jc w:val="left"/>
        <w:rPr>
          <w:rFonts w:ascii="ARIAL" w:hAnsi="ARIAL"/>
          <w:sz w:val="20"/>
        </w:rPr>
      </w:pPr>
      <w:r>
        <w:rPr>
          <w:rFonts w:ascii="ARIAL" w:hAnsi="ARIAL"/>
          <w:sz w:val="20"/>
        </w:rPr>
        <w:t xml:space="preserve">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 </w:t>
      </w:r>
    </w:p>
    <w:p>
      <w:pPr>
        <w:pStyle w:val="TextBody"/>
        <w:spacing w:before="240" w:after="0"/>
        <w:jc w:val="left"/>
        <w:rPr>
          <w:rFonts w:ascii="ARIAL" w:hAnsi="ARIAL"/>
          <w:sz w:val="20"/>
        </w:rPr>
      </w:pPr>
      <w:r>
        <w:rPr>
          <w:rFonts w:ascii="ARIAL" w:hAnsi="ARIAL"/>
          <w:sz w:val="20"/>
        </w:rPr>
        <w:t xml:space="preserve">The information in this section concerning DTC and DTCs book-entry system has been obtained from sources that we believe to be reliable, but none of us, the Trustee or any of our respective agents takes any responsibility for the accuracy thereof. </w:t>
      </w:r>
    </w:p>
    <w:p>
      <w:pPr>
        <w:pStyle w:val="TextBody"/>
        <w:spacing w:before="360" w:after="0"/>
        <w:jc w:val="left"/>
        <w:rPr>
          <w:rFonts w:ascii="ARIAL" w:hAnsi="ARIAL"/>
          <w:b/>
          <w:i/>
          <w:sz w:val="20"/>
        </w:rPr>
      </w:pPr>
      <w:r>
        <w:rPr>
          <w:rFonts w:ascii="ARIAL" w:hAnsi="ARIAL"/>
          <w:b/>
          <w:i/>
          <w:sz w:val="20"/>
        </w:rPr>
        <w:t xml:space="preserve">Clearstream </w:t>
      </w:r>
    </w:p>
    <w:p>
      <w:pPr>
        <w:pStyle w:val="TextBody"/>
        <w:spacing w:before="120" w:after="0"/>
        <w:jc w:val="left"/>
        <w:rPr>
          <w:rFonts w:ascii="ARIAL" w:hAnsi="ARIAL"/>
          <w:sz w:val="20"/>
        </w:rPr>
      </w:pPr>
      <w:r>
        <w:rPr>
          <w:rFonts w:ascii="ARIAL" w:hAnsi="ARIAL"/>
          <w:sz w:val="20"/>
        </w:rPr>
        <w:t xml:space="preserve">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 </w:t>
      </w:r>
    </w:p>
    <w:p>
      <w:pPr>
        <w:pStyle w:val="TextBody"/>
        <w:spacing w:before="240" w:after="0"/>
        <w:jc w:val="left"/>
        <w:rPr>
          <w:rFonts w:ascii="ARIAL" w:hAnsi="ARIAL"/>
          <w:sz w:val="20"/>
        </w:rPr>
      </w:pPr>
      <w:r>
        <w:rPr>
          <w:rFonts w:ascii="ARIAL" w:hAnsi="ARIAL"/>
          <w:sz w:val="20"/>
        </w:rPr>
        <w:t xml:space="preserve">Distributions with respect to Notes held beneficially through Clearstream will be credited to cash accounts of Clearstream Participants in accordance with its rules and procedures, to the extent received by the U.S. depositary for Clearstream. </w:t>
      </w:r>
    </w:p>
    <w:p>
      <w:pPr>
        <w:pStyle w:val="TextBody"/>
        <w:spacing w:before="360" w:after="0"/>
        <w:jc w:val="left"/>
        <w:rPr>
          <w:rFonts w:ascii="ARIAL" w:hAnsi="ARIAL"/>
          <w:b/>
          <w:i/>
          <w:sz w:val="20"/>
        </w:rPr>
      </w:pPr>
      <w:r>
        <w:rPr>
          <w:rFonts w:ascii="ARIAL" w:hAnsi="ARIAL"/>
          <w:b/>
          <w:i/>
          <w:sz w:val="20"/>
        </w:rPr>
        <w:t xml:space="preserve">Euroclear </w:t>
      </w:r>
    </w:p>
    <w:p>
      <w:pPr>
        <w:pStyle w:val="TextBody"/>
        <w:spacing w:before="120" w:after="0"/>
        <w:jc w:val="left"/>
        <w:rPr>
          <w:rFonts w:ascii="ARIAL" w:hAnsi="ARIAL"/>
          <w:sz w:val="20"/>
        </w:rPr>
      </w:pPr>
      <w:r>
        <w:rPr>
          <w:rFonts w:ascii="ARIAL" w:hAnsi="ARIAL"/>
          <w:sz w:val="20"/>
        </w:rPr>
        <w:t xml:space="preserve">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Euroclear Operator advises us that it is regulated and examined by the Belgian banking and Finance Commission and the National Bank of Belgium. </w:t>
      </w:r>
    </w:p>
    <w:p>
      <w:pPr>
        <w:pStyle w:val="TextBody"/>
        <w:spacing w:before="240" w:after="0"/>
        <w:jc w:val="left"/>
        <w:rPr>
          <w:rFonts w:ascii="ARIAL" w:hAnsi="ARIAL"/>
          <w:sz w:val="20"/>
        </w:rPr>
      </w:pPr>
      <w:r>
        <w:rPr>
          <w:rFonts w:ascii="ARIAL" w:hAnsi="ARIAL"/>
          <w:sz w:val="20"/>
        </w:rPr>
        <w:t xml:space="preserve">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spacing w:before="240" w:after="0"/>
        <w:jc w:val="left"/>
        <w:rPr>
          <w:rFonts w:ascii="ARIAL" w:hAnsi="ARIAL"/>
          <w:sz w:val="20"/>
        </w:rPr>
      </w:pPr>
      <w:r>
        <w:rPr>
          <w:rFonts w:ascii="ARIAL" w:hAnsi="ARIAL"/>
          <w:sz w:val="20"/>
        </w:rPr>
        <w:t xml:space="preserve">Distributions with respect to Notes held beneficially through Euroclear will be credited to the cash accounts of Euroclear Participants in accordance with the Terms and Conditions, to the extent received by the U.S. depositary for Euroclear. </w:t>
      </w:r>
    </w:p>
    <w:p>
      <w:pPr>
        <w:pStyle w:val="TextBody"/>
        <w:spacing w:before="240" w:after="0"/>
        <w:jc w:val="left"/>
        <w:rPr>
          <w:rFonts w:ascii="ARIAL" w:hAnsi="ARIAL"/>
          <w:sz w:val="20"/>
        </w:rPr>
      </w:pPr>
      <w:r>
        <w:rPr>
          <w:rFonts w:ascii="ARIAL" w:hAnsi="ARIAL"/>
          <w:sz w:val="20"/>
        </w:rPr>
        <w:t xml:space="preserve">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 </w:t>
      </w:r>
    </w:p>
    <w:p>
      <w:pPr>
        <w:pStyle w:val="TextBody"/>
        <w:spacing w:before="360" w:after="0"/>
        <w:jc w:val="left"/>
        <w:rPr>
          <w:rFonts w:ascii="ARIAL" w:hAnsi="ARIAL"/>
          <w:b/>
          <w:sz w:val="20"/>
        </w:rPr>
      </w:pPr>
      <w:r>
        <w:rPr>
          <w:rFonts w:ascii="ARIAL" w:hAnsi="ARIAL"/>
          <w:b/>
          <w:sz w:val="20"/>
        </w:rPr>
        <w:t xml:space="preserve">Global Clearance and Settlement Procedures </w:t>
      </w:r>
    </w:p>
    <w:p>
      <w:pPr>
        <w:pStyle w:val="TextBody"/>
        <w:spacing w:before="120" w:after="0"/>
        <w:jc w:val="left"/>
        <w:rPr>
          <w:rFonts w:ascii="ARIAL" w:hAnsi="ARIAL"/>
          <w:sz w:val="20"/>
        </w:rPr>
      </w:pPr>
      <w:r>
        <w:rPr>
          <w:rFonts w:ascii="ARIAL" w:hAnsi="ARIAL"/>
          <w:sz w:val="20"/>
        </w:rPr>
        <w:t xml:space="preserve">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 </w:t>
      </w:r>
    </w:p>
    <w:p>
      <w:pPr>
        <w:pStyle w:val="TextBody"/>
        <w:spacing w:before="240" w:after="0"/>
        <w:jc w:val="left"/>
        <w:rPr>
          <w:rFonts w:ascii="ARIAL" w:hAnsi="ARIAL"/>
          <w:sz w:val="20"/>
        </w:rPr>
      </w:pPr>
      <w:r>
        <w:rPr>
          <w:rFonts w:ascii="ARIAL" w:hAnsi="ARIAL"/>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spacing w:before="240" w:after="0"/>
        <w:jc w:val="left"/>
        <w:rPr>
          <w:rFonts w:ascii="ARIAL" w:hAnsi="ARIAL"/>
          <w:sz w:val="20"/>
        </w:rPr>
      </w:pPr>
      <w:r>
        <w:rPr>
          <w:rFonts w:ascii="ARIAL" w:hAnsi="ARIAL"/>
          <w:sz w:val="20"/>
        </w:rPr>
        <w:t xml:space="preserve">Because of time-zone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 </w:t>
      </w:r>
    </w:p>
    <w:p>
      <w:pPr>
        <w:pStyle w:val="TextBody"/>
        <w:spacing w:before="240" w:after="0"/>
        <w:jc w:val="left"/>
        <w:rPr>
          <w:rFonts w:ascii="ARIAL" w:hAnsi="ARIAL"/>
          <w:sz w:val="20"/>
        </w:rPr>
      </w:pPr>
      <w:r>
        <w:rPr>
          <w:rFonts w:ascii="ARIAL" w:hAnsi="ARIAL"/>
          <w:sz w:val="20"/>
        </w:rPr>
        <w:t xml:space="preserve">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 </w:t>
      </w:r>
    </w:p>
    <w:p>
      <w:pPr>
        <w:pStyle w:val="TextBody"/>
        <w:spacing w:before="240" w:after="0"/>
        <w:jc w:val="left"/>
        <w:rPr>
          <w:rFonts w:ascii="ARIAL" w:hAnsi="ARIAL"/>
          <w:sz w:val="20"/>
        </w:rPr>
      </w:pPr>
      <w:r>
        <w:rPr>
          <w:rFonts w:ascii="ARIAL" w:hAnsi="ARIAL"/>
          <w:sz w:val="20"/>
        </w:rPr>
        <w:t xml:space="preserve">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9" w:name="s411946_7"/>
      <w:bookmarkEnd w:id="9"/>
      <w:r>
        <w:rPr>
          <w:rFonts w:ascii="ARIAL" w:hAnsi="ARIAL"/>
          <w:b/>
          <w:sz w:val="20"/>
        </w:rPr>
        <w:t xml:space="preserve">NON-U.S. FEDERAL INCOME TAX CONSIDERATIONS </w:t>
      </w:r>
    </w:p>
    <w:p>
      <w:pPr>
        <w:pStyle w:val="TextBody"/>
        <w:spacing w:before="240" w:after="0"/>
        <w:jc w:val="left"/>
        <w:rPr>
          <w:rFonts w:ascii="ARIAL" w:hAnsi="ARIAL"/>
          <w:sz w:val="20"/>
        </w:rPr>
      </w:pPr>
      <w:r>
        <w:rPr>
          <w:rFonts w:ascii="ARIAL" w:hAnsi="ARIAL"/>
          <w:sz w:val="20"/>
        </w:rPr>
        <w:t xml:space="preserve">This summary solely addresses the principal Luxembourg tax consequences of the acquisition, ownership and disposal of the Notes and does not purport to describe every aspect of taxation that may be relevant to a particular holder. Tax matters are complex, and the tax consequences of the offer to a particular holder of Notes will depend in part on such holders circumstances. Accordingly, a holder is urged to consult his own tax advisor for a full understanding of the tax consequences of the offer to him, including the applicability and effect of Luxembourg tax laws. </w:t>
      </w:r>
    </w:p>
    <w:p>
      <w:pPr>
        <w:pStyle w:val="TextBody"/>
        <w:spacing w:before="240" w:after="0"/>
        <w:jc w:val="left"/>
        <w:rPr>
          <w:rFonts w:ascii="ARIAL" w:hAnsi="ARIAL"/>
          <w:sz w:val="20"/>
        </w:rPr>
      </w:pPr>
      <w:r>
        <w:rPr>
          <w:rFonts w:ascii="ARIAL" w:hAnsi="ARIAL"/>
          <w:sz w:val="20"/>
        </w:rPr>
        <w:t xml:space="preserve">Where in this summary English terms and expressions are used to refer to Luxembourg concepts, the meaning to be attributed to such terms and expressions shall be the meaning to be attributed to the equivalent Luxembourg concepts under Luxembourg tax law. </w:t>
      </w:r>
    </w:p>
    <w:p>
      <w:pPr>
        <w:pStyle w:val="TextBody"/>
        <w:spacing w:before="240" w:after="0"/>
        <w:jc w:val="left"/>
        <w:rPr>
          <w:rFonts w:ascii="ARIAL" w:hAnsi="ARIAL"/>
          <w:sz w:val="20"/>
        </w:rPr>
      </w:pPr>
      <w:r>
        <w:rPr>
          <w:rFonts w:ascii="ARIAL" w:hAnsi="ARIAL"/>
          <w:sz w:val="20"/>
        </w:rPr>
        <w:t xml:space="preserve">This summary is based on the tax law of Luxembourg (unpublished case law not included) as it stands at the date of this prospectus supplement. The tax law upon which this summary is based, is subject to changes, possibly with retroactive effect. Any such change may invalidate the contents of this summary, which will not be updated to reflect such change. </w:t>
      </w:r>
    </w:p>
    <w:p>
      <w:pPr>
        <w:pStyle w:val="TextBody"/>
        <w:spacing w:before="240" w:after="0"/>
        <w:jc w:val="left"/>
        <w:rPr>
          <w:rFonts w:ascii="ARIAL" w:hAnsi="ARIAL"/>
          <w:sz w:val="20"/>
        </w:rPr>
      </w:pPr>
      <w:r>
        <w:rPr>
          <w:rFonts w:ascii="ARIAL" w:hAnsi="ARIAL"/>
          <w:sz w:val="20"/>
        </w:rPr>
        <w:t xml:space="preserve">This overview assumes that each transaction with respect to the Notes is at arms length. </w:t>
      </w:r>
    </w:p>
    <w:p>
      <w:pPr>
        <w:pStyle w:val="TextBody"/>
        <w:spacing w:before="240" w:after="0"/>
        <w:jc w:val="left"/>
        <w:rPr>
          <w:rFonts w:ascii="ARIAL" w:hAnsi="ARIAL"/>
          <w:sz w:val="20"/>
        </w:rPr>
      </w:pPr>
      <w:r>
        <w:rPr>
          <w:rFonts w:ascii="ARIAL" w:hAnsi="ARIAL"/>
          <w:sz w:val="20"/>
        </w:rPr>
        <w:t xml:space="preserve">The summary in this Luxembourg taxation paragraph does not address the Luxembourg tax consequences for a noteholder who: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(i)</w:t>
            </w:r>
          </w:p>
        </w:tc>
        <w:tc>
          <w:tcPr>
            <w:tcW w:w="8882" w:type="dxa"/>
            <w:tcBorders/>
            <w:shd w:fill="auto" w:val="clear"/>
          </w:tcPr>
          <w:p>
            <w:pPr>
              <w:pStyle w:val="TableContents"/>
              <w:spacing w:before="0" w:after="0"/>
              <w:jc w:val="left"/>
              <w:rPr>
                <w:rFonts w:ascii="ARIAL" w:hAnsi="ARIAL"/>
                <w:sz w:val="20"/>
              </w:rPr>
            </w:pPr>
            <w:r>
              <w:rPr>
                <w:rFonts w:ascii="ARIAL" w:hAnsi="ARIAL"/>
                <w:sz w:val="20"/>
              </w:rPr>
              <w:t xml:space="preserve">is an investor as defined in a specific law (such as the law on family wealth management companies of 11 May 2007, as amended, the law on undertakings for collective investment of 17 December 2010, as amended, the law on specialized investment funds of 13 February 2007, as amended, the law on reserved alternative investment funds of 23 July 2016, the law on securitisation of 22 March 2004, as amended, the law on venture capital vehicles of 15 June 2004, as amended and the law on pension saving companies and associations of 13 July 2005);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1" w:type="dxa"/>
            <w:tcBorders/>
            <w:shd w:fill="auto" w:val="clear"/>
          </w:tcPr>
          <w:p>
            <w:pPr>
              <w:pStyle w:val="TableContents"/>
              <w:spacing w:before="0" w:after="0"/>
              <w:jc w:val="left"/>
              <w:rPr>
                <w:rFonts w:ascii="ARIAL" w:hAnsi="ARIAL"/>
                <w:sz w:val="20"/>
              </w:rPr>
            </w:pPr>
            <w:r>
              <w:rPr>
                <w:rFonts w:ascii="ARIAL" w:hAnsi="ARIAL"/>
                <w:sz w:val="20"/>
              </w:rPr>
              <w:t xml:space="preserve">is, in whole or in part, exempt from tax;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(iii)</w:t>
            </w:r>
          </w:p>
        </w:tc>
        <w:tc>
          <w:tcPr>
            <w:tcW w:w="8880" w:type="dxa"/>
            <w:tcBorders/>
            <w:shd w:fill="auto" w:val="clear"/>
          </w:tcPr>
          <w:p>
            <w:pPr>
              <w:pStyle w:val="TableContents"/>
              <w:spacing w:before="0" w:after="0"/>
              <w:jc w:val="left"/>
              <w:rPr>
                <w:rFonts w:ascii="ARIAL" w:hAnsi="ARIAL"/>
                <w:sz w:val="20"/>
              </w:rPr>
            </w:pPr>
            <w:r>
              <w:rPr>
                <w:rFonts w:ascii="ARIAL" w:hAnsi="ARIAL"/>
                <w:sz w:val="20"/>
              </w:rPr>
              <w:t xml:space="preserve">acquires, owns or disposes of the Notes in connection with a membership of a management board, a supervisory board, an employment relationship, a deemed employment relationship or management role;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(iv)</w:t>
            </w:r>
          </w:p>
        </w:tc>
        <w:tc>
          <w:tcPr>
            <w:tcW w:w="8879" w:type="dxa"/>
            <w:tcBorders/>
            <w:shd w:fill="auto" w:val="clear"/>
          </w:tcPr>
          <w:p>
            <w:pPr>
              <w:pStyle w:val="TableContents"/>
              <w:spacing w:before="0" w:after="0"/>
              <w:jc w:val="left"/>
              <w:rPr>
                <w:rFonts w:ascii="ARIAL" w:hAnsi="ARIAL"/>
                <w:sz w:val="20"/>
              </w:rPr>
            </w:pPr>
            <w:r>
              <w:rPr>
                <w:rFonts w:ascii="ARIAL" w:hAnsi="ARIAL"/>
                <w:sz w:val="20"/>
              </w:rPr>
              <w:t xml:space="preserve">has a substantial interest in the Company or a deemed substantial interest in the Company for Luxembourg tax purposes. Generally, a person holds a substantial interest if such person owns or is deemed to own, directly or indirectly, more than 10% of the shares or interest in an entity. </w:t>
            </w:r>
          </w:p>
        </w:tc>
      </w:tr>
    </w:tbl>
    <w:p>
      <w:pPr>
        <w:pStyle w:val="TextBody"/>
        <w:spacing w:before="360" w:after="0"/>
        <w:jc w:val="left"/>
        <w:rPr>
          <w:rFonts w:ascii="ARIAL" w:hAnsi="ARIAL"/>
          <w:b/>
          <w:sz w:val="20"/>
        </w:rPr>
      </w:pPr>
      <w:r>
        <w:rPr>
          <w:rFonts w:ascii="ARIAL" w:hAnsi="ARIAL"/>
          <w:b/>
          <w:sz w:val="20"/>
        </w:rPr>
        <w:t xml:space="preserve">Withholding Tax </w:t>
      </w:r>
    </w:p>
    <w:p>
      <w:pPr>
        <w:pStyle w:val="TextBody"/>
        <w:spacing w:before="120" w:after="0"/>
        <w:jc w:val="left"/>
        <w:rPr>
          <w:rFonts w:ascii="ARIAL" w:hAnsi="ARIAL"/>
          <w:b/>
          <w:i/>
          <w:sz w:val="20"/>
        </w:rPr>
      </w:pPr>
      <w:r>
        <w:rPr>
          <w:rFonts w:ascii="ARIAL" w:hAnsi="ARIAL"/>
          <w:b/>
          <w:i/>
          <w:sz w:val="20"/>
        </w:rPr>
        <w:t xml:space="preserve">Non-resident noteholders </w:t>
      </w:r>
    </w:p>
    <w:p>
      <w:pPr>
        <w:pStyle w:val="TextBody"/>
        <w:spacing w:before="120" w:after="0"/>
        <w:jc w:val="left"/>
        <w:rPr>
          <w:rFonts w:ascii="ARIAL" w:hAnsi="ARIAL"/>
          <w:sz w:val="20"/>
        </w:rPr>
      </w:pPr>
      <w:r>
        <w:rPr>
          <w:rFonts w:ascii="ARIAL" w:hAnsi="ARIAL"/>
          <w:sz w:val="20"/>
        </w:rPr>
        <w:t xml:space="preserve">All payments of interest and principal under the Notes made to non-residents of Luxembourg may be made free from withholding or deduction of or for any taxes of whatever nature imposed, levied, withheld or assessed by Luxembourg or any political subdivision or taxing authority of or in Luxembourg. </w:t>
      </w:r>
    </w:p>
    <w:p>
      <w:pPr>
        <w:pStyle w:val="TextBody"/>
        <w:spacing w:before="360" w:after="0"/>
        <w:jc w:val="left"/>
        <w:rPr>
          <w:rFonts w:ascii="ARIAL" w:hAnsi="ARIAL"/>
          <w:b/>
          <w:i/>
          <w:sz w:val="20"/>
        </w:rPr>
      </w:pPr>
      <w:r>
        <w:rPr>
          <w:rFonts w:ascii="ARIAL" w:hAnsi="ARIAL"/>
          <w:b/>
          <w:i/>
          <w:sz w:val="20"/>
        </w:rPr>
        <w:t xml:space="preserve">Individual resident noteholders </w:t>
      </w:r>
    </w:p>
    <w:p>
      <w:pPr>
        <w:pStyle w:val="TextBody"/>
        <w:spacing w:before="120" w:after="0"/>
        <w:jc w:val="left"/>
        <w:rPr>
          <w:rFonts w:ascii="ARIAL" w:hAnsi="ARIAL"/>
          <w:sz w:val="20"/>
        </w:rPr>
      </w:pPr>
      <w:r>
        <w:rPr>
          <w:rFonts w:ascii="ARIAL" w:hAnsi="ARIAL"/>
          <w:sz w:val="20"/>
        </w:rPr>
        <w:t xml:space="preserve">Under the law of 23 December 2005 as amended (the Relibi Law), payments of interest and similar income made or deemed to be made to an individual who is resident in Luxembourg are subject to a withholding tax of 20% of the payment.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Taxes on Income and Capital Gains </w:t>
      </w:r>
    </w:p>
    <w:p>
      <w:pPr>
        <w:pStyle w:val="TextBody"/>
        <w:spacing w:before="120" w:after="0"/>
        <w:jc w:val="left"/>
        <w:rPr>
          <w:rFonts w:ascii="ARIAL" w:hAnsi="ARIAL"/>
          <w:b/>
          <w:i/>
          <w:sz w:val="20"/>
        </w:rPr>
      </w:pPr>
      <w:r>
        <w:rPr>
          <w:rFonts w:ascii="ARIAL" w:hAnsi="ARIAL"/>
          <w:b/>
          <w:i/>
          <w:sz w:val="20"/>
        </w:rPr>
        <w:t xml:space="preserve">Non-resident noteholders </w:t>
      </w:r>
    </w:p>
    <w:p>
      <w:pPr>
        <w:pStyle w:val="TextBody"/>
        <w:spacing w:before="120" w:after="0"/>
        <w:jc w:val="left"/>
        <w:rPr>
          <w:rFonts w:ascii="ARIAL" w:hAnsi="ARIAL"/>
          <w:sz w:val="20"/>
        </w:rPr>
      </w:pPr>
      <w:r>
        <w:rPr>
          <w:rFonts w:ascii="ARIAL" w:hAnsi="ARIAL"/>
          <w:sz w:val="20"/>
        </w:rPr>
        <w:t xml:space="preserve">Non-resident noteholders that do not have a permanent establishment in Luxembourg to which the Notes or income thereon are attributable are not subject to Luxembourg income taxes in respect of any benefits derived or deemed to be derived in connection with the Notes. </w:t>
      </w:r>
    </w:p>
    <w:p>
      <w:pPr>
        <w:pStyle w:val="TextBody"/>
        <w:spacing w:before="360" w:after="0"/>
        <w:jc w:val="left"/>
        <w:rPr>
          <w:rFonts w:ascii="ARIAL" w:hAnsi="ARIAL"/>
          <w:b/>
          <w:i/>
          <w:sz w:val="20"/>
        </w:rPr>
      </w:pPr>
      <w:r>
        <w:rPr>
          <w:rFonts w:ascii="ARIAL" w:hAnsi="ARIAL"/>
          <w:b/>
          <w:i/>
          <w:sz w:val="20"/>
        </w:rPr>
        <w:t xml:space="preserve">Resident noteholders </w:t>
      </w:r>
    </w:p>
    <w:p>
      <w:pPr>
        <w:pStyle w:val="TextBody"/>
        <w:spacing w:before="120" w:after="0"/>
        <w:jc w:val="left"/>
        <w:rPr>
          <w:rFonts w:ascii="ARIAL" w:hAnsi="ARIAL"/>
          <w:sz w:val="20"/>
        </w:rPr>
      </w:pPr>
      <w:r>
        <w:rPr>
          <w:rFonts w:ascii="ARIAL" w:hAnsi="ARIAL"/>
          <w:i/>
          <w:sz w:val="20"/>
        </w:rPr>
        <w:t xml:space="preserve">Individuals. </w:t>
      </w:r>
      <w:r>
        <w:rPr>
          <w:rFonts w:ascii="ARIAL" w:hAnsi="ARIAL"/>
          <w:sz w:val="20"/>
        </w:rPr>
        <w:t xml:space="preserve">Any benefits derived or deemed to be derived from or in connection with Notes that are attributable to an enterprise from which an individual derives profits, whether as an entrepreneur or pursuant to a co-entitlement to the net value of an enterprise, are generally subject to Luxembourg income tax. A resident individual who invests in the Notes as part of such persons private wealth management, is subject to Luxembourg income tax in respect of interest and similar income (such as premiums or issue discounts) derived from the Notes, except if tax is levied on such income in accordance with the Relibi Law. A gain realised by a resident individual, acting in the course of the management of that persons private wealth, upon the sale or disposal, in any form whatsoever, of Notes is not subject to Luxembourg income tax, provided this sale or disposal takes place more than six months after the Notes are acquired. However, any portion of such gain corresponding to accrued but unpaid interest is subject to Luxembourg income tax, except if tax is levied on such interest in accordance with the Relibi Law. Any benefit derived by a resident individual from the disposal of Notes prior to their acquisition is subject to income tax as well. </w:t>
      </w:r>
    </w:p>
    <w:p>
      <w:pPr>
        <w:pStyle w:val="TextBody"/>
        <w:spacing w:before="240" w:after="0"/>
        <w:jc w:val="left"/>
        <w:rPr>
          <w:rFonts w:ascii="ARIAL" w:hAnsi="ARIAL"/>
          <w:sz w:val="20"/>
        </w:rPr>
      </w:pPr>
      <w:r>
        <w:rPr>
          <w:rFonts w:ascii="ARIAL" w:hAnsi="ARIAL"/>
          <w:i/>
          <w:sz w:val="20"/>
        </w:rPr>
        <w:t>Corporations</w:t>
      </w:r>
      <w:r>
        <w:rPr>
          <w:rFonts w:ascii="ARIAL" w:hAnsi="ARIAL"/>
          <w:sz w:val="20"/>
        </w:rPr>
        <w:t xml:space="preserve">. A corporate resident noteholder must include any benefits derived or deemed to be derived from or in connection with the Notes, such as interest accrued or received, any redemption premium or issue discount, as well as any gain realized on the sale or disposal, in any form whatsoever, of the Notes, in its taxable income for Luxembourg income tax purposes. </w:t>
      </w:r>
    </w:p>
    <w:p>
      <w:pPr>
        <w:pStyle w:val="TextBody"/>
        <w:spacing w:before="360" w:after="0"/>
        <w:jc w:val="left"/>
        <w:rPr>
          <w:rFonts w:ascii="ARIAL" w:hAnsi="ARIAL"/>
          <w:i/>
          <w:sz w:val="20"/>
        </w:rPr>
      </w:pPr>
      <w:r>
        <w:rPr>
          <w:rFonts w:ascii="ARIAL" w:hAnsi="ARIAL"/>
          <w:i/>
          <w:sz w:val="20"/>
        </w:rPr>
        <w:t xml:space="preserve">General </w:t>
      </w:r>
    </w:p>
    <w:p>
      <w:pPr>
        <w:pStyle w:val="TextBody"/>
        <w:spacing w:before="120" w:after="0"/>
        <w:jc w:val="left"/>
        <w:rPr>
          <w:rFonts w:ascii="ARIAL" w:hAnsi="ARIAL"/>
          <w:sz w:val="20"/>
        </w:rPr>
      </w:pPr>
      <w:r>
        <w:rPr>
          <w:rFonts w:ascii="ARIAL" w:hAnsi="ARIAL"/>
          <w:sz w:val="20"/>
        </w:rPr>
        <w:t xml:space="preserve">If a noteholder is neither resident nor deemed to be resident in Luxembourg, such holder will for Luxembourg tax purposes not carry on or be deemed to carry on an enterprise, in whole or in part, through a permanent establishment or a permanent representative in Luxembourg by reason only of the execution of the documents relating to the issue of Notes or the performance by the Company of its obligations under such documents or under the Notes. </w:t>
      </w:r>
    </w:p>
    <w:p>
      <w:pPr>
        <w:pStyle w:val="TextBody"/>
        <w:spacing w:before="360" w:after="0"/>
        <w:jc w:val="left"/>
        <w:rPr>
          <w:rFonts w:ascii="ARIAL" w:hAnsi="ARIAL"/>
          <w:b/>
          <w:sz w:val="20"/>
        </w:rPr>
      </w:pPr>
      <w:r>
        <w:rPr>
          <w:rFonts w:ascii="ARIAL" w:hAnsi="ARIAL"/>
          <w:b/>
          <w:sz w:val="20"/>
        </w:rPr>
        <w:t xml:space="preserve">Net Wealth Tax </w:t>
      </w:r>
    </w:p>
    <w:p>
      <w:pPr>
        <w:pStyle w:val="TextBody"/>
        <w:spacing w:before="120" w:after="0"/>
        <w:jc w:val="left"/>
        <w:rPr>
          <w:rFonts w:ascii="ARIAL" w:hAnsi="ARIAL"/>
          <w:sz w:val="20"/>
        </w:rPr>
      </w:pPr>
      <w:r>
        <w:rPr>
          <w:rFonts w:ascii="ARIAL" w:hAnsi="ARIAL"/>
          <w:sz w:val="20"/>
        </w:rPr>
        <w:t xml:space="preserve">Corporate noteholders resident in Luxembourg and non-resident corporate noteholders that maintain a permanent establishment in Luxembourg to which such Notes are attributable are subject to annual net wealth tax on their unitary value (i.e., non-exempt assets minus liabilities and certain provisions as valued according to the Luxembourg valuation rules), levied at a rate of 0.5% if the unitary value does not exceed </w:t>
      </w:r>
      <w:r>
        <w:rPr>
          <w:rFonts w:ascii="Times New Roman" w:hAnsi="Times New Roman"/>
          <w:sz w:val="20"/>
        </w:rPr>
        <w:t></w:t>
      </w:r>
      <w:r>
        <w:rPr>
          <w:rFonts w:ascii="ARIAL" w:hAnsi="ARIAL"/>
          <w:sz w:val="20"/>
        </w:rPr>
        <w:t xml:space="preserve">500,000,000. </w:t>
      </w:r>
    </w:p>
    <w:p>
      <w:pPr>
        <w:pStyle w:val="TextBody"/>
        <w:spacing w:before="240" w:after="0"/>
        <w:jc w:val="left"/>
        <w:rPr>
          <w:rFonts w:ascii="ARIAL" w:hAnsi="ARIAL"/>
          <w:sz w:val="20"/>
        </w:rPr>
      </w:pPr>
      <w:r>
        <w:rPr>
          <w:rFonts w:ascii="ARIAL" w:hAnsi="ARIAL"/>
          <w:sz w:val="20"/>
        </w:rPr>
        <w:t xml:space="preserve">Individuals are not subject to Luxembourg net wealth tax. </w:t>
      </w:r>
    </w:p>
    <w:p>
      <w:pPr>
        <w:pStyle w:val="TextBody"/>
        <w:spacing w:before="360" w:after="0"/>
        <w:jc w:val="left"/>
        <w:rPr>
          <w:rFonts w:ascii="ARIAL" w:hAnsi="ARIAL"/>
          <w:b/>
          <w:sz w:val="20"/>
        </w:rPr>
      </w:pPr>
      <w:r>
        <w:rPr>
          <w:rFonts w:ascii="ARIAL" w:hAnsi="ARIAL"/>
          <w:b/>
          <w:sz w:val="20"/>
        </w:rPr>
        <w:t xml:space="preserve">Inheritance and Gift Tax </w:t>
      </w:r>
    </w:p>
    <w:p>
      <w:pPr>
        <w:pStyle w:val="TextBody"/>
        <w:spacing w:before="120" w:after="0"/>
        <w:jc w:val="left"/>
        <w:rPr>
          <w:rFonts w:ascii="ARIAL" w:hAnsi="ARIAL"/>
          <w:sz w:val="20"/>
        </w:rPr>
      </w:pPr>
      <w:r>
        <w:rPr>
          <w:rFonts w:ascii="ARIAL" w:hAnsi="ARIAL"/>
          <w:sz w:val="20"/>
        </w:rPr>
        <w:t xml:space="preserve">Where the Notes are transferred for non-consideration: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ARIAL" w:hAnsi="ARIAL"/>
                <w:sz w:val="20"/>
              </w:rPr>
            </w:pPr>
            <w:r>
              <w:rPr>
                <w:rFonts w:ascii="ARIAL" w:hAnsi="ARIAL"/>
                <w:sz w:val="20"/>
              </w:rPr>
              <w:t xml:space="preserve">no Luxembourg inheritance tax is levied on the transfer of the Notes upon the death of a noteholder in cases where the deceased was not a resident or a deemed resident of Luxembourg for inheritance tax purposes;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w:t>
            </w:r>
          </w:p>
        </w:tc>
        <w:tc>
          <w:tcPr>
            <w:tcW w:w="8880" w:type="dxa"/>
            <w:tcBorders/>
            <w:shd w:fill="auto" w:val="clear"/>
          </w:tcPr>
          <w:p>
            <w:pPr>
              <w:pStyle w:val="TableContents"/>
              <w:spacing w:before="0" w:after="0"/>
              <w:jc w:val="left"/>
              <w:rPr>
                <w:rFonts w:ascii="ARIAL" w:hAnsi="ARIAL"/>
                <w:sz w:val="20"/>
              </w:rPr>
            </w:pPr>
            <w:r>
              <w:rPr>
                <w:rFonts w:ascii="ARIAL" w:hAnsi="ARIAL"/>
                <w:sz w:val="20"/>
              </w:rPr>
              <w:t>by way of gift, Luxembourg gift tax will be levied in the event that the gift is made pursuant to a notarial deed signed before a Luxembourg notary or produced for registration, directly or indirectly, before the Registration and Estates Department (</w:t>
            </w:r>
            <w:r>
              <w:rPr>
                <w:rFonts w:ascii="ARIAL" w:hAnsi="ARIAL"/>
                <w:i/>
                <w:sz w:val="20"/>
              </w:rPr>
              <w:t>Administration de lenregistrement, des domaines et de la TVA</w:t>
            </w:r>
            <w:r>
              <w:rPr>
                <w:rFonts w:ascii="ARIAL" w:hAnsi="ARIAL"/>
                <w:sz w:val="20"/>
              </w:rPr>
              <w:t xml:space="preserve">). </w:t>
            </w:r>
          </w:p>
        </w:tc>
      </w:tr>
    </w:tbl>
    <w:p>
      <w:pPr>
        <w:pStyle w:val="TextBody"/>
        <w:spacing w:before="360" w:after="0"/>
        <w:jc w:val="left"/>
        <w:rPr>
          <w:rFonts w:ascii="ARIAL" w:hAnsi="ARIAL"/>
          <w:b/>
          <w:sz w:val="20"/>
        </w:rPr>
      </w:pPr>
      <w:r>
        <w:rPr>
          <w:rFonts w:ascii="ARIAL" w:hAnsi="ARIAL"/>
          <w:b/>
          <w:sz w:val="20"/>
        </w:rPr>
        <w:t xml:space="preserve">Other Taxes and Duties </w:t>
      </w:r>
    </w:p>
    <w:p>
      <w:pPr>
        <w:pStyle w:val="TextBody"/>
        <w:spacing w:before="120" w:after="0"/>
        <w:jc w:val="left"/>
        <w:rPr>
          <w:rFonts w:ascii="ARIAL" w:hAnsi="ARIAL"/>
          <w:sz w:val="20"/>
        </w:rPr>
      </w:pPr>
      <w:r>
        <w:rPr>
          <w:rFonts w:ascii="ARIAL" w:hAnsi="ARIAL"/>
          <w:sz w:val="20"/>
        </w:rPr>
        <w:t xml:space="preserve">It is not compulsory that the Notes be filed, recorded, or enrolled with any court or other authority in Luxembourg. No registration tax, stamp duty or any other similar documentary tax or duty is due in respect of or in connection with the issue of Notes, the performance by the Company of its obligations under the Notes, or the transfer of the Notes. </w:t>
      </w:r>
    </w:p>
    <w:p>
      <w:pPr>
        <w:pStyle w:val="TextBody"/>
        <w:spacing w:before="240" w:after="0"/>
        <w:jc w:val="left"/>
        <w:rPr>
          <w:rFonts w:ascii="ARIAL" w:hAnsi="ARIAL"/>
          <w:sz w:val="20"/>
        </w:rPr>
      </w:pPr>
      <w:r>
        <w:rPr>
          <w:rFonts w:ascii="ARIAL" w:hAnsi="ARIAL"/>
          <w:sz w:val="20"/>
        </w:rPr>
        <w:t>A fixed or proportional registration duty in Luxembourg may however apply (i) upon registration of the Notes before the Registration and Estates Department (</w:t>
      </w:r>
      <w:r>
        <w:rPr>
          <w:rFonts w:ascii="ARIAL" w:hAnsi="ARIAL"/>
          <w:i/>
          <w:sz w:val="20"/>
        </w:rPr>
        <w:t>Administration de lenregistrement, des domaines et de la TVA</w:t>
      </w:r>
      <w:r>
        <w:rPr>
          <w:rFonts w:ascii="ARIAL" w:hAnsi="ARIAL"/>
          <w:sz w:val="20"/>
        </w:rPr>
        <w:t xml:space="preserve">) in Luxembourg where this registration is not required by law, or (ii) if the Notes are (a) enclosed to a compulsory registrable deed under Luxembourg law, or (b) deposited with the official records of a notary. </w:t>
      </w:r>
    </w:p>
    <w:p>
      <w:pPr>
        <w:pStyle w:val="TextBody"/>
        <w:spacing w:before="360" w:after="0"/>
        <w:jc w:val="left"/>
        <w:rPr>
          <w:rFonts w:ascii="ARIAL" w:hAnsi="ARIAL"/>
          <w:b/>
          <w:sz w:val="20"/>
        </w:rPr>
      </w:pPr>
      <w:r>
        <w:rPr>
          <w:rFonts w:ascii="ARIAL" w:hAnsi="ARIAL"/>
          <w:b/>
          <w:sz w:val="20"/>
        </w:rPr>
        <w:t xml:space="preserve">FATCA </w:t>
      </w:r>
    </w:p>
    <w:p>
      <w:pPr>
        <w:pStyle w:val="TextBody"/>
        <w:spacing w:before="120" w:after="0"/>
        <w:jc w:val="left"/>
        <w:rPr>
          <w:rFonts w:ascii="ARIAL" w:hAnsi="ARIAL"/>
          <w:sz w:val="20"/>
        </w:rPr>
      </w:pPr>
      <w:r>
        <w:rPr>
          <w:rFonts w:ascii="ARIAL" w:hAnsi="ARIAL"/>
          <w:sz w:val="20"/>
        </w:rPr>
        <w:t xml:space="preserve">The Foreign Account Tax Compliance Act (FATCA) was enacted into U.S. law in March 2010 as part of the Hiring Incentives to Restore Employment Act. FATCA aims at reducing tax evasion by U.S. citizens and requires, among other things, foreign financial institutions outside the U.S. (FFIs) to spontaneously provide information about financial accounts held, directly or indirectly, by specified U.S. persons or face a 30% U.S. federal withholding tax imposed on certain U.S.-source payment (FATCA Withholding). </w:t>
      </w:r>
    </w:p>
    <w:p>
      <w:pPr>
        <w:pStyle w:val="TextBody"/>
        <w:spacing w:before="240" w:after="0"/>
        <w:jc w:val="left"/>
        <w:rPr>
          <w:rFonts w:ascii="ARIAL" w:hAnsi="ARIAL"/>
          <w:sz w:val="20"/>
        </w:rPr>
      </w:pPr>
      <w:r>
        <w:rPr>
          <w:rFonts w:ascii="ARIAL" w:hAnsi="ARIAL"/>
          <w:sz w:val="20"/>
        </w:rPr>
        <w:t xml:space="preserve">To implement FATCA in Luxembourg, Luxembourg entered into a so-called Model 1 Intergovernmental Agreement (the IGA) with the U.S., and a memorandum of understanding in respect thereof, on 28 March 2014. The IGA was implemented under Luxembourg domestic law by Law of 24 July 2015 (the Luxembourg FATCA Law). Luxembourg FFIs that comply with the requirements of the IGA and the Luxembourg FATCA Law will not be subject to FATCA Withholding. </w:t>
      </w:r>
    </w:p>
    <w:p>
      <w:pPr>
        <w:pStyle w:val="TextBody"/>
        <w:spacing w:before="240" w:after="0"/>
        <w:jc w:val="left"/>
        <w:rPr>
          <w:rFonts w:ascii="ARIAL" w:hAnsi="ARIAL"/>
          <w:sz w:val="20"/>
        </w:rPr>
      </w:pPr>
      <w:r>
        <w:rPr>
          <w:rFonts w:ascii="ARIAL" w:hAnsi="ARIAL"/>
          <w:sz w:val="20"/>
        </w:rPr>
        <w:t xml:space="preserve">Under the IGA and the Luxembourg FATCA Law, Luxembourg FFIs are required to perform certain necessary due diligence and monitoring of investors, and to report to the Luxembourg tax authorities on an annual basis information about financial accounts held by (a) specified U.S. investors, (b) certain U.S.-controlled entity investors and (c) non-U.S. financial institution investors that do not comply with FATCA. Such information will subsequently be remitted by the Luxembourg tax authorities to the U.S. Internal Revenue Service. </w:t>
      </w:r>
    </w:p>
    <w:p>
      <w:pPr>
        <w:pStyle w:val="TextBody"/>
        <w:spacing w:before="240" w:after="0"/>
        <w:jc w:val="left"/>
        <w:rPr>
          <w:rFonts w:ascii="ARIAL" w:hAnsi="ARIAL"/>
          <w:sz w:val="20"/>
        </w:rPr>
      </w:pPr>
      <w:r>
        <w:rPr>
          <w:rFonts w:ascii="ARIAL" w:hAnsi="ARIAL"/>
          <w:sz w:val="20"/>
        </w:rPr>
        <w:t xml:space="preserve">Noteholders may be required to provide information to the Company to ensure the Companys compliance with the IGA and the Luxembourg FATCA Law. In the event that a noteholder does not provide the required information, the Company may need to report financial account information of such noteholder to Luxembourg tax authorities. </w:t>
      </w:r>
    </w:p>
    <w:p>
      <w:pPr>
        <w:pStyle w:val="TextBody"/>
        <w:spacing w:before="240" w:after="0"/>
        <w:jc w:val="left"/>
        <w:rPr>
          <w:rFonts w:ascii="ARIAL" w:hAnsi="ARIAL"/>
          <w:sz w:val="20"/>
        </w:rPr>
      </w:pPr>
      <w:r>
        <w:rPr>
          <w:rFonts w:ascii="ARIAL" w:hAnsi="ARIAL"/>
          <w:sz w:val="20"/>
        </w:rPr>
        <w:t xml:space="preserve">Noteholders should consult with their own tax advisers regarding the effects of the IGA and the Luxembourg FATCA Law on their investment in the Notes.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Common Reporting Standard </w:t>
      </w:r>
    </w:p>
    <w:p>
      <w:pPr>
        <w:pStyle w:val="TextBody"/>
        <w:spacing w:before="120" w:after="0"/>
        <w:jc w:val="left"/>
        <w:rPr>
          <w:rFonts w:ascii="ARIAL" w:hAnsi="ARIAL"/>
          <w:sz w:val="20"/>
        </w:rPr>
      </w:pPr>
      <w:r>
        <w:rPr>
          <w:rFonts w:ascii="ARIAL" w:hAnsi="ARIAL"/>
          <w:sz w:val="20"/>
        </w:rPr>
        <w:t xml:space="preserve">The Organisation for Economic Co-operation and Development has developed a new global standard for the automatic exchange of financial information between tax authorities (the CRS). Luxembourg is a signatory jurisdiction to the CRS and has conducted its first exchange of information with tax authorities of other signatory jurisdictions in September 2017, as regards reportable financial information gathered in relation to fiscal year 2016. The CRS has been implemented in Luxembourg via the law dated 18 December 2015 concerning the automatic exchange of information on financial accounts and tax matters and implementing the EU Directive 2014/107/EU. </w:t>
      </w:r>
    </w:p>
    <w:p>
      <w:pPr>
        <w:pStyle w:val="TextBody"/>
        <w:spacing w:before="240" w:after="0"/>
        <w:jc w:val="left"/>
        <w:rPr>
          <w:rFonts w:ascii="ARIAL" w:hAnsi="ARIAL"/>
          <w:sz w:val="20"/>
        </w:rPr>
      </w:pPr>
      <w:r>
        <w:rPr>
          <w:rFonts w:ascii="ARIAL" w:hAnsi="ARIAL"/>
          <w:sz w:val="20"/>
        </w:rPr>
        <w:t xml:space="preserve">The regulations may impose obligations on the Company and the noteholders, if the Company is considered as a Reporting Financial Institution (e.g., an Investment Entity) under the CRS, so that the latter could be required to conduct due diligence and obtain (among other things) confirmation of the tax residency, tax identification number and CRS classification of noteholders in order to fulfil its own legal obligations.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0" w:name="s411946_8"/>
      <w:bookmarkEnd w:id="10"/>
      <w:r>
        <w:rPr>
          <w:rFonts w:ascii="ARIAL" w:hAnsi="ARIAL"/>
          <w:b/>
          <w:sz w:val="20"/>
        </w:rPr>
        <w:t xml:space="preserve">U.S. FEDERAL INCOME TAX CONSIDERATIONS </w:t>
      </w:r>
    </w:p>
    <w:p>
      <w:pPr>
        <w:pStyle w:val="TextBody"/>
        <w:spacing w:before="240" w:after="0"/>
        <w:jc w:val="left"/>
        <w:rPr>
          <w:rFonts w:ascii="ARIAL" w:hAnsi="ARIAL"/>
          <w:sz w:val="20"/>
        </w:rPr>
      </w:pPr>
      <w:r>
        <w:rPr>
          <w:rFonts w:ascii="ARIAL" w:hAnsi="ARIAL"/>
          <w:sz w:val="20"/>
        </w:rPr>
        <w:t xml:space="preserve">The following is a summary of U.S. federal income tax considerations relating to the ownership and disposition of Notes as of the date hereof, and does not purport to be to be a complete analysis of all the potential tax considerations relating thereto. Except where noted, this summary deals only with Notes that are held as capital assets (within the meaning of Section 1221 of the Code (as defined below)) by a beneficial owner who acquired the Notes upon original issuance at their issue price, which will equal the first price to the public (not including bond houses, brokers or similar persons or organizations acting in the capacity of underwriters, placement agents or wholesalers) at which a substantial amount of Notes are sold for money. </w:t>
      </w:r>
    </w:p>
    <w:p>
      <w:pPr>
        <w:pStyle w:val="TextBody"/>
        <w:spacing w:before="240" w:after="0"/>
        <w:jc w:val="left"/>
        <w:rPr>
          <w:rFonts w:ascii="ARIAL" w:hAnsi="ARIAL"/>
          <w:sz w:val="20"/>
        </w:rPr>
      </w:pPr>
      <w:r>
        <w:rPr>
          <w:rFonts w:ascii="ARIAL" w:hAnsi="ARIAL"/>
          <w:sz w:val="20"/>
        </w:rPr>
        <w:t xml:space="preserve">For purposes of this summary, a U.S. Holder is a beneficial owner of a Note that, for U.S. federal income tax purposes, is: (a) an individual citizen or resident of the United States; (b) a corporation (or other entity treated as a corporation for U.S. federal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 </w:t>
      </w:r>
    </w:p>
    <w:p>
      <w:pPr>
        <w:pStyle w:val="TextBody"/>
        <w:spacing w:before="240" w:after="0"/>
        <w:jc w:val="left"/>
        <w:rPr>
          <w:rFonts w:ascii="ARIAL" w:hAnsi="ARIAL"/>
          <w:sz w:val="20"/>
        </w:rPr>
      </w:pPr>
      <w:r>
        <w:rPr>
          <w:rFonts w:ascii="ARIAL" w:hAnsi="ARIAL"/>
          <w:sz w:val="20"/>
        </w:rPr>
        <w:t xml:space="preserve">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 </w:t>
      </w:r>
    </w:p>
    <w:p>
      <w:pPr>
        <w:pStyle w:val="TextBody"/>
        <w:spacing w:before="240" w:after="0"/>
        <w:jc w:val="left"/>
        <w:rPr>
          <w:rFonts w:ascii="ARIAL" w:hAnsi="ARIAL"/>
          <w:sz w:val="20"/>
        </w:rPr>
      </w:pPr>
      <w:r>
        <w:rPr>
          <w:rFonts w:ascii="ARIAL" w:hAnsi="ARIAL"/>
          <w:sz w:val="20"/>
        </w:rPr>
        <w:t xml:space="preserve">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regulated investment company, a real estate investment trust, an employee stock ownership plan, a controlled foreign corporation, a foreign personal holding company, a passive foreign investment company, a pass-through entity (or an owner of a pass-through entity), a corporation that accumulates earnings to avoid tax, an insurance company, a tax-exempt organization, a former citizen or resident of the United States, a person liable for the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If you are considering the purchase of Notes, you should consult your own tax advisors concerning the particular U.S. federal income tax consequences to you of the ownership of the Notes, as well as the consequences to you arising under the laws of any other taxing jurisdiction and the possible effects of changes in tax laws. </w:t>
      </w:r>
    </w:p>
    <w:p>
      <w:pPr>
        <w:pStyle w:val="TextBody"/>
        <w:spacing w:before="360" w:after="0"/>
        <w:jc w:val="left"/>
        <w:rPr>
          <w:rFonts w:ascii="ARIAL" w:hAnsi="ARIAL"/>
          <w:b/>
          <w:sz w:val="20"/>
        </w:rPr>
      </w:pPr>
      <w:r>
        <w:rPr>
          <w:rFonts w:ascii="ARIAL" w:hAnsi="ARIAL"/>
          <w:b/>
          <w:sz w:val="20"/>
        </w:rPr>
        <w:t xml:space="preserve">Assumption by Subsidiary </w:t>
      </w:r>
    </w:p>
    <w:p>
      <w:pPr>
        <w:pStyle w:val="TextBody"/>
        <w:spacing w:before="120" w:after="0"/>
        <w:jc w:val="left"/>
        <w:rPr>
          <w:rFonts w:ascii="ARIAL" w:hAnsi="ARIAL"/>
          <w:sz w:val="20"/>
        </w:rPr>
      </w:pPr>
      <w:r>
        <w:rPr>
          <w:rFonts w:ascii="ARIAL" w:hAnsi="ARIAL"/>
          <w:sz w:val="20"/>
        </w:rPr>
        <w:t>An assumption of the Companys obligations as the issuer of the Notes by a subsidiary of the Guarantor may be treated for U.S. federal income tax purposes as a taxable exchange of the Notes for new Notes issued by such subsidiary of the Guarantor. In that event, you may be required to recognize taxable gain or loss for U.S. federal income tax purposes, generally in an amount equal to the difference between be required to the issue price of the new Notes and their basis in the old Notes, even though you continue to hold the Notes and receive no distribution in connection with the deemed disposition. Beneficial owners of Notes who are U.S. Holders should consult their tax advisors regarding the non-U.S., U.S. federal, state and local income tax consequences of an assumption of the Companys obligations as issuer of Notes by a subsidiary of the Guarantor. See </w:t>
      </w:r>
      <w:r>
        <w:rPr>
          <w:rFonts w:ascii="ARIAL" w:hAnsi="ARIAL"/>
          <w:i/>
          <w:sz w:val="20"/>
        </w:rPr>
        <w:t>Description of Notes  Assumption by a Subsidiary</w:t>
      </w:r>
      <w:r>
        <w:rPr>
          <w:rFonts w:ascii="ARIAL" w:hAnsi="ARIAL"/>
          <w:sz w:val="20"/>
        </w:rPr>
        <w:t xml:space="preserve"> for additional information. </w:t>
      </w:r>
    </w:p>
    <w:p>
      <w:pPr>
        <w:pStyle w:val="TextBody"/>
        <w:spacing w:before="360" w:after="0"/>
        <w:jc w:val="left"/>
        <w:rPr>
          <w:rFonts w:ascii="ARIAL" w:hAnsi="ARIAL"/>
          <w:b/>
          <w:sz w:val="20"/>
        </w:rPr>
      </w:pPr>
      <w:r>
        <w:rPr>
          <w:rFonts w:ascii="ARIAL" w:hAnsi="ARIAL"/>
          <w:b/>
          <w:sz w:val="20"/>
        </w:rPr>
        <w:t xml:space="preserve">U.S. Holders </w:t>
      </w:r>
    </w:p>
    <w:p>
      <w:pPr>
        <w:pStyle w:val="TextBody"/>
        <w:spacing w:before="120" w:after="0"/>
        <w:jc w:val="left"/>
        <w:rPr>
          <w:rFonts w:ascii="ARIAL" w:hAnsi="ARIAL"/>
          <w:sz w:val="20"/>
        </w:rPr>
      </w:pPr>
      <w:r>
        <w:rPr>
          <w:rFonts w:ascii="ARIAL" w:hAnsi="ARIAL"/>
          <w:b/>
          <w:i/>
          <w:sz w:val="20"/>
        </w:rPr>
        <w:t xml:space="preserve">Interest. </w:t>
      </w:r>
      <w:r>
        <w:rPr>
          <w:rFonts w:ascii="ARIAL" w:hAnsi="ARIAL"/>
          <w:sz w:val="20"/>
        </w:rPr>
        <w:t xml:space="preserve">Interest on a Note (including Additional Amounts, if any) will generally be taxable to you as ordinary interest income as it accrues or is received by you in accordance with your usual method of accounting for U.S. federal income tax purposes. </w:t>
      </w:r>
    </w:p>
    <w:p>
      <w:pPr>
        <w:pStyle w:val="TextBody"/>
        <w:spacing w:before="240" w:after="0"/>
        <w:jc w:val="left"/>
        <w:rPr>
          <w:rFonts w:ascii="ARIAL" w:hAnsi="ARIAL"/>
          <w:sz w:val="20"/>
        </w:rPr>
      </w:pPr>
      <w:r>
        <w:rPr>
          <w:rFonts w:ascii="ARIAL" w:hAnsi="ARIAL"/>
          <w:sz w:val="20"/>
        </w:rPr>
        <w:t xml:space="preserve">If withholding taxes are imposed in Luxembourg or in another jurisdiction, you will be treated as having actually received an amount equal to the amount of such taxes and as having paid such amount to the relevant taxing authority. As a result, the amount of income included in gross income may be greater than the amount of cash actually received. Subject to certain limitations, you may be entitled to a credit or deduction in respect of income taxes paid to Luxembourg or other non-U.S. country. You should consult your tax advisors concerning the U.S. federal income tax consequences of the imposition of such taxes. </w:t>
      </w:r>
    </w:p>
    <w:p>
      <w:pPr>
        <w:pStyle w:val="TextBody"/>
        <w:spacing w:before="240" w:after="0"/>
        <w:jc w:val="left"/>
        <w:rPr>
          <w:rFonts w:ascii="ARIAL" w:hAnsi="ARIAL"/>
          <w:sz w:val="20"/>
        </w:rPr>
      </w:pPr>
      <w:r>
        <w:rPr>
          <w:rFonts w:ascii="ARIAL" w:hAnsi="ARIAL"/>
          <w:sz w:val="20"/>
        </w:rPr>
        <w:t xml:space="preserve">Interest income (and Additional Amounts, if any) from the Notes generally will constitute foreign-source income, which may be relevant to you in calculating your foreign tax credit limitation. The limitation on foreign taxes eligible for credit is calculated separately with respect to specific classes of income. You should consult your tax advisors regarding the application of the U.S. foreign tax credit rules. </w:t>
      </w:r>
    </w:p>
    <w:p>
      <w:pPr>
        <w:pStyle w:val="TextBody"/>
        <w:spacing w:before="240" w:after="0"/>
        <w:jc w:val="left"/>
        <w:rPr>
          <w:rFonts w:ascii="ARIAL" w:hAnsi="ARIAL"/>
          <w:sz w:val="20"/>
        </w:rPr>
      </w:pPr>
      <w:r>
        <w:rPr>
          <w:rFonts w:ascii="ARIAL" w:hAnsi="ARIAL"/>
          <w:b/>
          <w:i/>
          <w:sz w:val="20"/>
        </w:rPr>
        <w:t xml:space="preserve">Sale, Exchange or Other Taxable Dispositions of Notes. </w:t>
      </w:r>
      <w:r>
        <w:rPr>
          <w:rFonts w:ascii="ARIAL" w:hAnsi="ARIAL"/>
          <w:sz w:val="20"/>
        </w:rPr>
        <w:t xml:space="preserve">If you are a U.S. Holder, upon the sale, exchange, redemption, retirement or other taxable 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 </w:t>
      </w:r>
    </w:p>
    <w:p>
      <w:pPr>
        <w:pStyle w:val="TextBody"/>
        <w:spacing w:before="240" w:after="0"/>
        <w:jc w:val="left"/>
        <w:rPr>
          <w:rFonts w:ascii="ARIAL" w:hAnsi="ARIAL"/>
          <w:sz w:val="20"/>
        </w:rPr>
      </w:pPr>
      <w:r>
        <w:rPr>
          <w:rFonts w:ascii="ARIAL" w:hAnsi="ARIAL"/>
          <w:sz w:val="20"/>
        </w:rPr>
        <w:t xml:space="preserve">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 Accordingly, if Luxembourg or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another non-U.S. jurisdiction imposes a withholding tax on the sale or disposition of the Notes, you may not be able to fully utilize its U.S. foreign tax credits in respect of such withholding tax unless you have other foreign source income. You should consult your tax advisors as to the U.S. federal income tax and foreign tax credit implications of such sale, redemption, retirement or other disposition of a Note. </w:t>
      </w:r>
    </w:p>
    <w:p>
      <w:pPr>
        <w:pStyle w:val="TextBody"/>
        <w:spacing w:before="240" w:after="0"/>
        <w:jc w:val="left"/>
        <w:rPr>
          <w:rFonts w:ascii="ARIAL" w:hAnsi="ARIAL"/>
          <w:sz w:val="20"/>
        </w:rPr>
      </w:pPr>
      <w:r>
        <w:rPr>
          <w:rFonts w:ascii="ARIAL" w:hAnsi="ARIAL"/>
          <w:b/>
          <w:i/>
          <w:sz w:val="20"/>
        </w:rPr>
        <w:t xml:space="preserve">Additional Tax on Net Investment Income. </w:t>
      </w:r>
      <w:r>
        <w:rPr>
          <w:rFonts w:ascii="ARIAL" w:hAnsi="ARIAL"/>
          <w:sz w:val="20"/>
        </w:rPr>
        <w:t xml:space="preserve">U.S. persons that are individuals, estates, or certain trusts are generally subject to a 3.8% tax on the lesser 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recognized by such beneficial owner with respect to the Notes, unless such income or gain is derived in the ordinary course of the conduct of such beneficial owners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 </w:t>
      </w:r>
    </w:p>
    <w:p>
      <w:pPr>
        <w:pStyle w:val="TextBody"/>
        <w:spacing w:before="240" w:after="0"/>
        <w:jc w:val="left"/>
        <w:rPr>
          <w:rFonts w:ascii="ARIAL" w:hAnsi="ARIAL"/>
          <w:sz w:val="20"/>
        </w:rPr>
      </w:pPr>
      <w:r>
        <w:rPr>
          <w:rFonts w:ascii="ARIAL" w:hAnsi="ARIAL"/>
          <w:b/>
          <w:i/>
          <w:sz w:val="20"/>
        </w:rPr>
        <w:t xml:space="preserve">Information With Respect to Foreign Financial Assets. </w:t>
      </w:r>
      <w:r>
        <w:rPr>
          <w:rFonts w:ascii="ARIAL" w:hAnsi="ARIAL"/>
          <w:sz w:val="20"/>
        </w:rPr>
        <w:t xml:space="preserve">A U.S. Holder that holds certain foreign financial assets (which may include the Notes) other than in an account at a financial institution may be required to report information relating to such assets to the IRS. Failure to report such information, if required, may result in substantial penalties. You should consult your tax advisor regarding the application of these rules to your ownership of the Notes. </w:t>
      </w:r>
    </w:p>
    <w:p>
      <w:pPr>
        <w:pStyle w:val="TextBody"/>
        <w:spacing w:before="240" w:after="0"/>
        <w:jc w:val="left"/>
        <w:rPr>
          <w:rFonts w:ascii="ARIAL" w:hAnsi="ARIAL"/>
          <w:sz w:val="20"/>
        </w:rPr>
      </w:pPr>
      <w:r>
        <w:rPr>
          <w:rFonts w:ascii="ARIAL" w:hAnsi="ARIAL"/>
          <w:b/>
          <w:i/>
          <w:sz w:val="20"/>
        </w:rPr>
        <w:t xml:space="preserve">Information Reporting and Backup Withholding. </w:t>
      </w:r>
      <w:r>
        <w:rPr>
          <w:rFonts w:ascii="ARIAL" w:hAnsi="ARIAL"/>
          <w:sz w:val="20"/>
        </w:rPr>
        <w:t xml:space="preserve">U.S. federal backup withholding will apply to interest on the Notes and proceeds from the sale or other disposition of the Notes unless (a) you are an exempt recipient and, when required, demonstrate this fact, (b) you provide a correct taxpayer identification number and otherwise comply with applicable requirements of the backup withholding rules, or (c) in certain circumstances, you certify under penalty of perjury that you are not subject to backup withholding. The backup withholding rate is currently 24%. A U.S. Holder who does not provide a correct taxpayer identification number may also be subject to penalties imposed by the IRS. </w:t>
      </w:r>
    </w:p>
    <w:p>
      <w:pPr>
        <w:pStyle w:val="TextBody"/>
        <w:spacing w:before="240" w:after="0"/>
        <w:jc w:val="left"/>
        <w:rPr>
          <w:rFonts w:ascii="ARIAL" w:hAnsi="ARIAL"/>
          <w:sz w:val="20"/>
        </w:rPr>
      </w:pPr>
      <w:r>
        <w:rPr>
          <w:rFonts w:ascii="ARIAL" w:hAnsi="ARIAL"/>
          <w:sz w:val="20"/>
        </w:rPr>
        <w:t xml:space="preserve">Backup withholding is not an additional tax. Any amounts withheld under the backup withholding rules may be allowed as a credit against your U.S. federal income tax liability and may entitle you to a refund, provided the required information is timely furnished to the IRS. </w:t>
      </w:r>
    </w:p>
    <w:p>
      <w:pPr>
        <w:pStyle w:val="TextBody"/>
        <w:spacing w:before="240" w:after="0"/>
        <w:jc w:val="left"/>
        <w:rPr>
          <w:rFonts w:ascii="ARIAL" w:hAnsi="ARIAL"/>
          <w:sz w:val="20"/>
        </w:rPr>
      </w:pPr>
      <w:r>
        <w:rPr>
          <w:rFonts w:ascii="ARIAL" w:hAnsi="ARIAL"/>
          <w:sz w:val="20"/>
        </w:rPr>
        <w:t xml:space="preserve">You will also be subject to information reporting on interest on the Notes and proceeds from the sale or other disposition of the Notes, unless you are an exempt recipient and appropriately establish that exemption. </w:t>
      </w:r>
    </w:p>
    <w:p>
      <w:pPr>
        <w:pStyle w:val="TextBody"/>
        <w:spacing w:before="240" w:after="0"/>
        <w:jc w:val="left"/>
        <w:rPr>
          <w:rFonts w:ascii="ARIAL" w:hAnsi="ARIAL"/>
          <w:b/>
          <w:sz w:val="20"/>
        </w:rPr>
      </w:pPr>
      <w:r>
        <w:rPr>
          <w:rFonts w:ascii="ARIAL" w:hAnsi="ARIAL"/>
          <w:b/>
          <w:sz w:val="20"/>
        </w:rPr>
        <w:t xml:space="preserve">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foreign, state, local or other tax laws, and of any pending or subsequent changes in applicable laws.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1" w:name="s411946_9"/>
      <w:bookmarkEnd w:id="11"/>
      <w:r>
        <w:rPr>
          <w:rFonts w:ascii="ARIAL" w:hAnsi="ARIAL"/>
          <w:b/>
          <w:sz w:val="20"/>
        </w:rPr>
        <w:t xml:space="preserve">UNDERWRITING (CONFLICTS OF INTEREST) </w:t>
      </w:r>
    </w:p>
    <w:p>
      <w:pPr>
        <w:pStyle w:val="TextBody"/>
        <w:spacing w:before="240" w:after="0"/>
        <w:jc w:val="left"/>
        <w:rPr>
          <w:rFonts w:ascii="ARIAL" w:hAnsi="ARIAL"/>
          <w:sz w:val="20"/>
        </w:rPr>
      </w:pPr>
      <w:r>
        <w:rPr>
          <w:rFonts w:ascii="ARIAL" w:hAnsi="ARIAL"/>
          <w:sz w:val="20"/>
        </w:rPr>
        <w:t xml:space="preserve">Subject to the terms and conditions contained in an underwriting agreement, dated as of the date of this prospectus supplement among us, the Guarantor and the underwriters named below, for whom BofA Securities, Inc., Deutsche Bank Securities Inc. and MUFG Securities Americas Inc. are acting as representatives, we have agreed to sell to each underwriter, and each underwriter has severally agreed to purchase from us, the principal amount of Notes that appears opposite its name in the table below: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308"/>
        <w:gridCol w:w="313"/>
        <w:gridCol w:w="170"/>
        <w:gridCol w:w="1679"/>
        <w:gridCol w:w="60"/>
        <w:gridCol w:w="313"/>
        <w:gridCol w:w="170"/>
        <w:gridCol w:w="1679"/>
        <w:gridCol w:w="63"/>
      </w:tblGrid>
      <w:tr>
        <w:trPr/>
        <w:tc>
          <w:tcPr>
            <w:tcW w:w="330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3308" w:type="dxa"/>
            <w:tcBorders/>
            <w:shd w:fill="auto" w:val="clear"/>
            <w:vAlign w:val="bottom"/>
          </w:tcPr>
          <w:p>
            <w:pPr>
              <w:pStyle w:val="TableContents"/>
              <w:pBdr>
                <w:bottom w:val="single" w:sz="8" w:space="1" w:color="000000"/>
              </w:pBdr>
              <w:spacing w:before="0" w:after="0"/>
              <w:rPr>
                <w:rFonts w:ascii="ARIAL" w:hAnsi="ARIAL"/>
                <w:b/>
                <w:sz w:val="16"/>
              </w:rPr>
            </w:pPr>
            <w:r>
              <w:rPr>
                <w:rFonts w:ascii="ARIAL" w:hAnsi="ARIAL"/>
                <w:b/>
                <w:sz w:val="16"/>
              </w:rPr>
              <w:t>Underwriter</w:t>
            </w:r>
          </w:p>
        </w:tc>
        <w:tc>
          <w:tcPr>
            <w:tcW w:w="313" w:type="dxa"/>
            <w:tcBorders/>
            <w:shd w:fill="auto" w:val="clear"/>
            <w:vAlign w:val="bottom"/>
          </w:tcPr>
          <w:p>
            <w:pPr>
              <w:pStyle w:val="TableContents"/>
              <w:spacing w:before="0" w:after="283"/>
              <w:rPr/>
            </w:pPr>
            <w:r>
              <w:rPr/>
              <w:t>  </w:t>
            </w:r>
          </w:p>
        </w:tc>
        <w:tc>
          <w:tcPr>
            <w:tcW w:w="18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 2028</w:t>
              <w:br/>
              <w:t>Notes</w:t>
            </w:r>
          </w:p>
        </w:tc>
        <w:tc>
          <w:tcPr>
            <w:tcW w:w="6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8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 2033</w:t>
              <w:br/>
              <w:t>Notes</w:t>
            </w:r>
          </w:p>
        </w:tc>
        <w:tc>
          <w:tcPr>
            <w:tcW w:w="63" w:type="dxa"/>
            <w:tcBorders/>
            <w:shd w:fill="auto" w:val="clear"/>
            <w:vAlign w:val="bottom"/>
          </w:tcPr>
          <w:p>
            <w:pPr>
              <w:pStyle w:val="TableContents"/>
              <w:spacing w:before="0" w:after="283"/>
              <w:rPr/>
            </w:pPr>
            <w:r>
              <w:rPr/>
              <w:t> </w:t>
            </w:r>
          </w:p>
        </w:tc>
      </w:tr>
      <w:tr>
        <w:trPr/>
        <w:tc>
          <w:tcPr>
            <w:tcW w:w="3308" w:type="dxa"/>
            <w:tcBorders/>
            <w:shd w:fill="CCEEFF" w:val="clear"/>
          </w:tcPr>
          <w:p>
            <w:pPr>
              <w:pStyle w:val="TableContents"/>
              <w:spacing w:before="0" w:after="0"/>
              <w:rPr>
                <w:rFonts w:ascii="ARIAL" w:hAnsi="ARIAL"/>
                <w:sz w:val="20"/>
              </w:rPr>
            </w:pPr>
            <w:r>
              <w:rPr>
                <w:rFonts w:ascii="ARIAL" w:hAnsi="ARIAL"/>
                <w:sz w:val="20"/>
              </w:rPr>
              <w:t>BofA Securities, Inc.</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w:t>
            </w:r>
          </w:p>
        </w:tc>
        <w:tc>
          <w:tcPr>
            <w:tcW w:w="1679" w:type="dxa"/>
            <w:tcBorders/>
            <w:shd w:fill="CCEEFF" w:val="clear"/>
            <w:vAlign w:val="bottom"/>
          </w:tcPr>
          <w:p>
            <w:pPr>
              <w:pStyle w:val="TableContents"/>
              <w:spacing w:before="0" w:after="283"/>
              <w:jc w:val="right"/>
              <w:rPr/>
            </w:pPr>
            <w:r>
              <w:rPr/>
              <w:t>100,000,000</w:t>
            </w:r>
          </w:p>
        </w:tc>
        <w:tc>
          <w:tcPr>
            <w:tcW w:w="60"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w:t>
            </w:r>
          </w:p>
        </w:tc>
        <w:tc>
          <w:tcPr>
            <w:tcW w:w="1679" w:type="dxa"/>
            <w:tcBorders/>
            <w:shd w:fill="CCEEFF" w:val="clear"/>
            <w:vAlign w:val="bottom"/>
          </w:tcPr>
          <w:p>
            <w:pPr>
              <w:pStyle w:val="TableContents"/>
              <w:spacing w:before="0" w:after="283"/>
              <w:jc w:val="right"/>
              <w:rPr/>
            </w:pPr>
            <w:r>
              <w:rPr/>
              <w:t>100,000,000</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3308" w:type="dxa"/>
            <w:tcBorders/>
            <w:shd w:fill="auto" w:val="clear"/>
          </w:tcPr>
          <w:p>
            <w:pPr>
              <w:pStyle w:val="TableContents"/>
              <w:spacing w:before="0" w:after="0"/>
              <w:rPr>
                <w:rFonts w:ascii="ARIAL" w:hAnsi="ARIAL"/>
                <w:sz w:val="20"/>
              </w:rPr>
            </w:pPr>
            <w:r>
              <w:rPr>
                <w:rFonts w:ascii="ARIAL" w:hAnsi="ARIAL"/>
                <w:sz w:val="20"/>
              </w:rPr>
              <w:t>Deutsche Bank Securities Inc.</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100,000,000</w:t>
            </w:r>
          </w:p>
        </w:tc>
        <w:tc>
          <w:tcPr>
            <w:tcW w:w="6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100,000,000</w:t>
            </w:r>
          </w:p>
        </w:tc>
        <w:tc>
          <w:tcPr>
            <w:tcW w:w="63" w:type="dxa"/>
            <w:tcBorders/>
            <w:shd w:fill="auto" w:val="clear"/>
            <w:vAlign w:val="bottom"/>
          </w:tcPr>
          <w:p>
            <w:pPr>
              <w:pStyle w:val="TableContents"/>
              <w:spacing w:before="0" w:after="283"/>
              <w:rPr/>
            </w:pPr>
            <w:r>
              <w:rPr/>
              <w:t> </w:t>
            </w:r>
          </w:p>
        </w:tc>
      </w:tr>
      <w:tr>
        <w:trPr/>
        <w:tc>
          <w:tcPr>
            <w:tcW w:w="3308" w:type="dxa"/>
            <w:tcBorders/>
            <w:shd w:fill="CCEEFF" w:val="clear"/>
          </w:tcPr>
          <w:p>
            <w:pPr>
              <w:pStyle w:val="TableContents"/>
              <w:spacing w:before="0" w:after="0"/>
              <w:rPr>
                <w:rFonts w:ascii="ARIAL" w:hAnsi="ARIAL"/>
                <w:sz w:val="20"/>
              </w:rPr>
            </w:pPr>
            <w:r>
              <w:rPr>
                <w:rFonts w:ascii="ARIAL" w:hAnsi="ARIAL"/>
                <w:sz w:val="20"/>
              </w:rPr>
              <w:t>MUFG Securities Americas Inc.</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100,000,000</w:t>
            </w:r>
          </w:p>
        </w:tc>
        <w:tc>
          <w:tcPr>
            <w:tcW w:w="60"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100,000,000</w:t>
            </w:r>
          </w:p>
        </w:tc>
        <w:tc>
          <w:tcPr>
            <w:tcW w:w="63" w:type="dxa"/>
            <w:tcBorders/>
            <w:shd w:fill="CCEEFF" w:val="clear"/>
            <w:vAlign w:val="bottom"/>
          </w:tcPr>
          <w:p>
            <w:pPr>
              <w:pStyle w:val="TableContents"/>
              <w:spacing w:before="0" w:after="283"/>
              <w:rPr/>
            </w:pPr>
            <w:r>
              <w:rPr/>
              <w:t> </w:t>
            </w:r>
          </w:p>
        </w:tc>
      </w:tr>
      <w:tr>
        <w:trPr/>
        <w:tc>
          <w:tcPr>
            <w:tcW w:w="3308" w:type="dxa"/>
            <w:tcBorders/>
            <w:shd w:fill="auto" w:val="clear"/>
          </w:tcPr>
          <w:p>
            <w:pPr>
              <w:pStyle w:val="TableContents"/>
              <w:spacing w:before="0" w:after="0"/>
              <w:rPr>
                <w:rFonts w:ascii="ARIAL" w:hAnsi="ARIAL"/>
                <w:sz w:val="20"/>
              </w:rPr>
            </w:pPr>
            <w:r>
              <w:rPr>
                <w:rFonts w:ascii="ARIAL" w:hAnsi="ARIAL"/>
                <w:sz w:val="20"/>
              </w:rPr>
              <w:t>BBVA Securities Inc.</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35,000,000</w:t>
            </w:r>
          </w:p>
        </w:tc>
        <w:tc>
          <w:tcPr>
            <w:tcW w:w="6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35,000,000</w:t>
            </w:r>
          </w:p>
        </w:tc>
        <w:tc>
          <w:tcPr>
            <w:tcW w:w="63" w:type="dxa"/>
            <w:tcBorders/>
            <w:shd w:fill="auto" w:val="clear"/>
            <w:vAlign w:val="bottom"/>
          </w:tcPr>
          <w:p>
            <w:pPr>
              <w:pStyle w:val="TableContents"/>
              <w:spacing w:before="0" w:after="283"/>
              <w:rPr/>
            </w:pPr>
            <w:r>
              <w:rPr/>
              <w:t> </w:t>
            </w:r>
          </w:p>
        </w:tc>
      </w:tr>
      <w:tr>
        <w:trPr/>
        <w:tc>
          <w:tcPr>
            <w:tcW w:w="3308" w:type="dxa"/>
            <w:tcBorders/>
            <w:shd w:fill="CCEEFF" w:val="clear"/>
          </w:tcPr>
          <w:p>
            <w:pPr>
              <w:pStyle w:val="TableContents"/>
              <w:spacing w:before="0" w:after="0"/>
              <w:rPr>
                <w:rFonts w:ascii="ARIAL" w:hAnsi="ARIAL"/>
                <w:sz w:val="20"/>
              </w:rPr>
            </w:pPr>
            <w:r>
              <w:rPr>
                <w:rFonts w:ascii="ARIAL" w:hAnsi="ARIAL"/>
                <w:sz w:val="20"/>
              </w:rPr>
              <w:t>BNP Paribas Securities Corp</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35,000,000</w:t>
            </w:r>
          </w:p>
        </w:tc>
        <w:tc>
          <w:tcPr>
            <w:tcW w:w="60"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35,000,000</w:t>
            </w:r>
          </w:p>
        </w:tc>
        <w:tc>
          <w:tcPr>
            <w:tcW w:w="63" w:type="dxa"/>
            <w:tcBorders/>
            <w:shd w:fill="CCEEFF" w:val="clear"/>
            <w:vAlign w:val="bottom"/>
          </w:tcPr>
          <w:p>
            <w:pPr>
              <w:pStyle w:val="TableContents"/>
              <w:spacing w:before="0" w:after="283"/>
              <w:rPr/>
            </w:pPr>
            <w:r>
              <w:rPr/>
              <w:t> </w:t>
            </w:r>
          </w:p>
        </w:tc>
      </w:tr>
      <w:tr>
        <w:trPr/>
        <w:tc>
          <w:tcPr>
            <w:tcW w:w="3308" w:type="dxa"/>
            <w:tcBorders/>
            <w:shd w:fill="auto" w:val="clear"/>
          </w:tcPr>
          <w:p>
            <w:pPr>
              <w:pStyle w:val="TableContents"/>
              <w:spacing w:before="0" w:after="0"/>
              <w:rPr>
                <w:rFonts w:ascii="ARIAL" w:hAnsi="ARIAL"/>
                <w:sz w:val="20"/>
              </w:rPr>
            </w:pPr>
            <w:r>
              <w:rPr>
                <w:rFonts w:ascii="ARIAL" w:hAnsi="ARIAL"/>
                <w:sz w:val="20"/>
              </w:rPr>
              <w:t>J.P. Morgan Securities LLC</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35,000,000</w:t>
            </w:r>
          </w:p>
        </w:tc>
        <w:tc>
          <w:tcPr>
            <w:tcW w:w="6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35,000,000</w:t>
            </w:r>
          </w:p>
        </w:tc>
        <w:tc>
          <w:tcPr>
            <w:tcW w:w="63" w:type="dxa"/>
            <w:tcBorders/>
            <w:shd w:fill="auto" w:val="clear"/>
            <w:vAlign w:val="bottom"/>
          </w:tcPr>
          <w:p>
            <w:pPr>
              <w:pStyle w:val="TableContents"/>
              <w:spacing w:before="0" w:after="283"/>
              <w:rPr/>
            </w:pPr>
            <w:r>
              <w:rPr/>
              <w:t> </w:t>
            </w:r>
          </w:p>
        </w:tc>
      </w:tr>
      <w:tr>
        <w:trPr/>
        <w:tc>
          <w:tcPr>
            <w:tcW w:w="3308" w:type="dxa"/>
            <w:tcBorders/>
            <w:shd w:fill="CCEEFF" w:val="clear"/>
          </w:tcPr>
          <w:p>
            <w:pPr>
              <w:pStyle w:val="TableContents"/>
              <w:spacing w:before="0" w:after="0"/>
              <w:rPr>
                <w:rFonts w:ascii="ARIAL" w:hAnsi="ARIAL"/>
                <w:sz w:val="20"/>
              </w:rPr>
            </w:pPr>
            <w:r>
              <w:rPr>
                <w:rFonts w:ascii="ARIAL" w:hAnsi="ARIAL"/>
                <w:sz w:val="20"/>
              </w:rPr>
              <w:t>SG Americas Securities, LLC</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35,000,000</w:t>
            </w:r>
          </w:p>
        </w:tc>
        <w:tc>
          <w:tcPr>
            <w:tcW w:w="60"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35,000,000</w:t>
            </w:r>
          </w:p>
        </w:tc>
        <w:tc>
          <w:tcPr>
            <w:tcW w:w="63" w:type="dxa"/>
            <w:tcBorders/>
            <w:shd w:fill="CCEEFF" w:val="clear"/>
            <w:vAlign w:val="bottom"/>
          </w:tcPr>
          <w:p>
            <w:pPr>
              <w:pStyle w:val="TableContents"/>
              <w:spacing w:before="0" w:after="283"/>
              <w:rPr/>
            </w:pPr>
            <w:r>
              <w:rPr/>
              <w:t> </w:t>
            </w:r>
          </w:p>
        </w:tc>
      </w:tr>
      <w:tr>
        <w:trPr/>
        <w:tc>
          <w:tcPr>
            <w:tcW w:w="3308" w:type="dxa"/>
            <w:tcBorders/>
            <w:shd w:fill="auto" w:val="clear"/>
          </w:tcPr>
          <w:p>
            <w:pPr>
              <w:pStyle w:val="TableContents"/>
              <w:spacing w:before="0" w:after="0"/>
              <w:rPr>
                <w:rFonts w:ascii="ARIAL" w:hAnsi="ARIAL"/>
                <w:sz w:val="20"/>
              </w:rPr>
            </w:pPr>
            <w:r>
              <w:rPr>
                <w:rFonts w:ascii="ARIAL" w:hAnsi="ARIAL"/>
                <w:sz w:val="20"/>
              </w:rPr>
              <w:t>HSBC Securities (USA) Inc.</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15,000,000</w:t>
            </w:r>
          </w:p>
        </w:tc>
        <w:tc>
          <w:tcPr>
            <w:tcW w:w="6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15,000,000</w:t>
            </w:r>
          </w:p>
        </w:tc>
        <w:tc>
          <w:tcPr>
            <w:tcW w:w="63" w:type="dxa"/>
            <w:tcBorders/>
            <w:shd w:fill="auto" w:val="clear"/>
            <w:vAlign w:val="bottom"/>
          </w:tcPr>
          <w:p>
            <w:pPr>
              <w:pStyle w:val="TableContents"/>
              <w:spacing w:before="0" w:after="283"/>
              <w:rPr/>
            </w:pPr>
            <w:r>
              <w:rPr/>
              <w:t> </w:t>
            </w:r>
          </w:p>
        </w:tc>
      </w:tr>
      <w:tr>
        <w:trPr/>
        <w:tc>
          <w:tcPr>
            <w:tcW w:w="3308" w:type="dxa"/>
            <w:tcBorders/>
            <w:shd w:fill="CCEEFF" w:val="clear"/>
          </w:tcPr>
          <w:p>
            <w:pPr>
              <w:pStyle w:val="TableContents"/>
              <w:spacing w:before="0" w:after="0"/>
              <w:rPr>
                <w:rFonts w:ascii="ARIAL" w:hAnsi="ARIAL"/>
                <w:sz w:val="20"/>
              </w:rPr>
            </w:pPr>
            <w:r>
              <w:rPr>
                <w:rFonts w:ascii="ARIAL" w:hAnsi="ARIAL"/>
                <w:sz w:val="20"/>
              </w:rPr>
              <w:t>Natixis Securities Americas LLC</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15,000,000</w:t>
            </w:r>
          </w:p>
        </w:tc>
        <w:tc>
          <w:tcPr>
            <w:tcW w:w="60"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15,000,000</w:t>
            </w:r>
          </w:p>
        </w:tc>
        <w:tc>
          <w:tcPr>
            <w:tcW w:w="63" w:type="dxa"/>
            <w:tcBorders/>
            <w:shd w:fill="CCEEFF" w:val="clear"/>
            <w:vAlign w:val="bottom"/>
          </w:tcPr>
          <w:p>
            <w:pPr>
              <w:pStyle w:val="TableContents"/>
              <w:spacing w:before="0" w:after="283"/>
              <w:rPr/>
            </w:pPr>
            <w:r>
              <w:rPr/>
              <w:t> </w:t>
            </w:r>
          </w:p>
        </w:tc>
      </w:tr>
      <w:tr>
        <w:trPr/>
        <w:tc>
          <w:tcPr>
            <w:tcW w:w="3308" w:type="dxa"/>
            <w:tcBorders/>
            <w:shd w:fill="auto" w:val="clear"/>
          </w:tcPr>
          <w:p>
            <w:pPr>
              <w:pStyle w:val="TableContents"/>
              <w:spacing w:before="0" w:after="0"/>
              <w:rPr>
                <w:rFonts w:ascii="ARIAL" w:hAnsi="ARIAL"/>
                <w:sz w:val="20"/>
              </w:rPr>
            </w:pPr>
            <w:r>
              <w:rPr>
                <w:rFonts w:ascii="ARIAL" w:hAnsi="ARIAL"/>
                <w:sz w:val="20"/>
              </w:rPr>
              <w:t>Standard Chartered Bank</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15,000,000</w:t>
            </w:r>
          </w:p>
        </w:tc>
        <w:tc>
          <w:tcPr>
            <w:tcW w:w="6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15,000,000</w:t>
            </w:r>
          </w:p>
        </w:tc>
        <w:tc>
          <w:tcPr>
            <w:tcW w:w="63" w:type="dxa"/>
            <w:tcBorders/>
            <w:shd w:fill="auto" w:val="clear"/>
            <w:vAlign w:val="bottom"/>
          </w:tcPr>
          <w:p>
            <w:pPr>
              <w:pStyle w:val="TableContents"/>
              <w:spacing w:before="0" w:after="283"/>
              <w:rPr/>
            </w:pPr>
            <w:r>
              <w:rPr/>
              <w:t> </w:t>
            </w:r>
          </w:p>
        </w:tc>
      </w:tr>
      <w:tr>
        <w:trPr/>
        <w:tc>
          <w:tcPr>
            <w:tcW w:w="3308" w:type="dxa"/>
            <w:tcBorders/>
            <w:shd w:fill="CCEEFF" w:val="clear"/>
          </w:tcPr>
          <w:p>
            <w:pPr>
              <w:pStyle w:val="TableContents"/>
              <w:spacing w:before="0" w:after="0"/>
              <w:rPr>
                <w:rFonts w:ascii="ARIAL" w:hAnsi="ARIAL"/>
                <w:sz w:val="20"/>
              </w:rPr>
            </w:pPr>
            <w:r>
              <w:rPr>
                <w:rFonts w:ascii="ARIAL" w:hAnsi="ARIAL"/>
                <w:sz w:val="20"/>
              </w:rPr>
              <w:t>UniCredit Capital Markets LLC</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15,000,000</w:t>
            </w:r>
          </w:p>
        </w:tc>
        <w:tc>
          <w:tcPr>
            <w:tcW w:w="60"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pPr>
            <w:r>
              <w:rPr/>
              <w:t>15,000,000</w:t>
            </w:r>
          </w:p>
        </w:tc>
        <w:tc>
          <w:tcPr>
            <w:tcW w:w="63" w:type="dxa"/>
            <w:tcBorders/>
            <w:shd w:fill="CCEEFF" w:val="clear"/>
            <w:vAlign w:val="bottom"/>
          </w:tcPr>
          <w:p>
            <w:pPr>
              <w:pStyle w:val="TableContents"/>
              <w:spacing w:before="0" w:after="283"/>
              <w:rPr/>
            </w:pPr>
            <w:r>
              <w:rPr/>
              <w:t> </w:t>
            </w:r>
          </w:p>
        </w:tc>
      </w:tr>
      <w:tr>
        <w:trPr/>
        <w:tc>
          <w:tcPr>
            <w:tcW w:w="3308"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167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167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3308" w:type="dxa"/>
            <w:tcBorders/>
            <w:shd w:fill="auto" w:val="clear"/>
          </w:tcPr>
          <w:p>
            <w:pPr>
              <w:pStyle w:val="TableContents"/>
              <w:spacing w:before="0" w:after="0"/>
              <w:rPr>
                <w:rFonts w:ascii="ARIAL" w:hAnsi="ARIAL"/>
                <w:b/>
                <w:sz w:val="20"/>
              </w:rPr>
            </w:pPr>
            <w:r>
              <w:rPr>
                <w:rFonts w:ascii="ARIAL" w:hAnsi="ARIAL"/>
                <w:b/>
                <w:sz w:val="20"/>
              </w:rPr>
              <w:t>Total</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b/>
              </w:rPr>
            </w:pPr>
            <w:r>
              <w:rPr>
                <w:b/>
              </w:rPr>
              <w:t>$</w:t>
            </w:r>
          </w:p>
        </w:tc>
        <w:tc>
          <w:tcPr>
            <w:tcW w:w="1679" w:type="dxa"/>
            <w:tcBorders/>
            <w:shd w:fill="auto" w:val="clear"/>
            <w:vAlign w:val="bottom"/>
          </w:tcPr>
          <w:p>
            <w:pPr>
              <w:pStyle w:val="TableContents"/>
              <w:spacing w:before="0" w:after="283"/>
              <w:jc w:val="right"/>
              <w:rPr>
                <w:b/>
              </w:rPr>
            </w:pPr>
            <w:r>
              <w:rPr>
                <w:b/>
              </w:rPr>
              <w:t>500,000,000</w:t>
            </w:r>
          </w:p>
        </w:tc>
        <w:tc>
          <w:tcPr>
            <w:tcW w:w="60"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b/>
              </w:rPr>
            </w:pPr>
            <w:r>
              <w:rPr>
                <w:b/>
              </w:rPr>
              <w:t>$</w:t>
            </w:r>
          </w:p>
        </w:tc>
        <w:tc>
          <w:tcPr>
            <w:tcW w:w="1679" w:type="dxa"/>
            <w:tcBorders/>
            <w:shd w:fill="auto" w:val="clear"/>
            <w:vAlign w:val="bottom"/>
          </w:tcPr>
          <w:p>
            <w:pPr>
              <w:pStyle w:val="TableContents"/>
              <w:spacing w:before="0" w:after="283"/>
              <w:jc w:val="right"/>
              <w:rPr>
                <w:b/>
              </w:rPr>
            </w:pPr>
            <w:r>
              <w:rPr>
                <w:b/>
              </w:rPr>
              <w:t>500,000,000</w:t>
            </w:r>
          </w:p>
        </w:tc>
        <w:tc>
          <w:tcPr>
            <w:tcW w:w="63" w:type="dxa"/>
            <w:tcBorders/>
            <w:shd w:fill="auto" w:val="clear"/>
            <w:vAlign w:val="bottom"/>
          </w:tcPr>
          <w:p>
            <w:pPr>
              <w:pStyle w:val="TableContents"/>
              <w:spacing w:before="0" w:after="283"/>
              <w:rPr>
                <w:sz w:val="4"/>
                <w:szCs w:val="4"/>
              </w:rPr>
            </w:pPr>
            <w:r>
              <w:rPr>
                <w:sz w:val="4"/>
                <w:szCs w:val="4"/>
              </w:rPr>
            </w:r>
          </w:p>
        </w:tc>
      </w:tr>
      <w:tr>
        <w:trPr/>
        <w:tc>
          <w:tcPr>
            <w:tcW w:w="3308"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double" w:sz="6" w:space="1" w:color="000000"/>
              </w:pBdr>
              <w:spacing w:before="0" w:after="0"/>
              <w:rPr/>
            </w:pPr>
            <w:r>
              <w:rPr/>
              <w:t> </w:t>
            </w:r>
          </w:p>
        </w:tc>
        <w:tc>
          <w:tcPr>
            <w:tcW w:w="167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double" w:sz="6" w:space="1" w:color="000000"/>
              </w:pBdr>
              <w:spacing w:before="0" w:after="0"/>
              <w:rPr/>
            </w:pPr>
            <w:r>
              <w:rPr/>
              <w:t> </w:t>
            </w:r>
          </w:p>
        </w:tc>
        <w:tc>
          <w:tcPr>
            <w:tcW w:w="1679"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 </w:t>
      </w:r>
    </w:p>
    <w:p>
      <w:pPr>
        <w:pStyle w:val="TextBody"/>
        <w:spacing w:before="240" w:after="0"/>
        <w:jc w:val="left"/>
        <w:rPr>
          <w:rFonts w:ascii="ARIAL" w:hAnsi="ARIAL"/>
          <w:sz w:val="20"/>
        </w:rPr>
      </w:pPr>
      <w:r>
        <w:rPr>
          <w:rFonts w:ascii="ARIAL" w:hAnsi="ARIAL"/>
          <w:sz w:val="20"/>
        </w:rPr>
        <w:t xml:space="preserve">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0.200% of the principal amount of the 2028 Notes or 0.300% of the principal amount of the 2033 Notes. Any underwriter may allow, and any such dealer may reallow, a concession not in excess of 0.100% of the principal amount of the 2028 Notes or 0.150% of the principal amount of the 2033 Notes to certain other dealers. After the initial offering of the Notes, the underwriters may from time to time vary the offering prices and other selling terms. The underwriters may offer and sell Notes through certain of their affiliates. </w:t>
      </w:r>
    </w:p>
    <w:p>
      <w:pPr>
        <w:pStyle w:val="TextBody"/>
        <w:spacing w:before="240" w:after="0"/>
        <w:jc w:val="left"/>
        <w:rPr>
          <w:rFonts w:ascii="ARIAL" w:hAnsi="ARIAL"/>
          <w:sz w:val="20"/>
        </w:rPr>
      </w:pPr>
      <w:r>
        <w:rPr>
          <w:rFonts w:ascii="ARIAL" w:hAnsi="ARIAL"/>
          <w:sz w:val="20"/>
        </w:rPr>
        <w:t xml:space="preserve">The following table shows the underwriting discount that we will pay to the underwriters in connection with the offering of the Notes: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861"/>
        <w:gridCol w:w="590"/>
        <w:gridCol w:w="142"/>
        <w:gridCol w:w="1061"/>
        <w:gridCol w:w="285"/>
      </w:tblGrid>
      <w:tr>
        <w:trPr/>
        <w:tc>
          <w:tcPr>
            <w:tcW w:w="4861"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4861"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Paid by Us</w:t>
            </w:r>
          </w:p>
        </w:tc>
        <w:tc>
          <w:tcPr>
            <w:tcW w:w="285" w:type="dxa"/>
            <w:tcBorders/>
            <w:shd w:fill="auto" w:val="clear"/>
            <w:vAlign w:val="bottom"/>
          </w:tcPr>
          <w:p>
            <w:pPr>
              <w:pStyle w:val="TableContents"/>
              <w:spacing w:before="0" w:after="283"/>
              <w:rPr/>
            </w:pPr>
            <w:r>
              <w:rPr/>
              <w:t> </w:t>
            </w:r>
          </w:p>
        </w:tc>
      </w:tr>
      <w:tr>
        <w:trPr/>
        <w:tc>
          <w:tcPr>
            <w:tcW w:w="4861" w:type="dxa"/>
            <w:tcBorders/>
            <w:shd w:fill="CCEEFF" w:val="clear"/>
          </w:tcPr>
          <w:p>
            <w:pPr>
              <w:pStyle w:val="TableContents"/>
              <w:spacing w:before="0" w:after="0"/>
              <w:rPr>
                <w:rFonts w:ascii="ARIAL" w:hAnsi="ARIAL"/>
                <w:sz w:val="20"/>
              </w:rPr>
            </w:pPr>
            <w:r>
              <w:rPr>
                <w:rFonts w:ascii="ARIAL" w:hAnsi="ARIAL"/>
                <w:sz w:val="20"/>
              </w:rPr>
              <w:t>Per 2028 Note</w:t>
            </w:r>
          </w:p>
        </w:tc>
        <w:tc>
          <w:tcPr>
            <w:tcW w:w="59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0.35</w:t>
            </w:r>
          </w:p>
        </w:tc>
        <w:tc>
          <w:tcPr>
            <w:tcW w:w="285" w:type="dxa"/>
            <w:tcBorders/>
            <w:shd w:fill="CCEEFF" w:val="clear"/>
            <w:vAlign w:val="bottom"/>
          </w:tcPr>
          <w:p>
            <w:pPr>
              <w:pStyle w:val="TableContents"/>
              <w:spacing w:before="0" w:after="283"/>
              <w:rPr/>
            </w:pPr>
            <w:r>
              <w:rPr/>
              <w:t>% </w:t>
            </w:r>
          </w:p>
        </w:tc>
      </w:tr>
      <w:tr>
        <w:trPr/>
        <w:tc>
          <w:tcPr>
            <w:tcW w:w="4861" w:type="dxa"/>
            <w:tcBorders/>
            <w:shd w:fill="auto" w:val="clear"/>
          </w:tcPr>
          <w:p>
            <w:pPr>
              <w:pStyle w:val="TableContents"/>
              <w:spacing w:before="0" w:after="0"/>
              <w:rPr>
                <w:rFonts w:ascii="ARIAL" w:hAnsi="ARIAL"/>
                <w:sz w:val="20"/>
              </w:rPr>
            </w:pPr>
            <w:r>
              <w:rPr>
                <w:rFonts w:ascii="ARIAL" w:hAnsi="ARIAL"/>
                <w:sz w:val="20"/>
              </w:rPr>
              <w:t>2028 Notes Total</w:t>
            </w:r>
          </w:p>
        </w:tc>
        <w:tc>
          <w:tcPr>
            <w:tcW w:w="59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1061" w:type="dxa"/>
            <w:tcBorders/>
            <w:shd w:fill="auto" w:val="clear"/>
            <w:vAlign w:val="bottom"/>
          </w:tcPr>
          <w:p>
            <w:pPr>
              <w:pStyle w:val="TableContents"/>
              <w:spacing w:before="0" w:after="283"/>
              <w:jc w:val="right"/>
              <w:rPr/>
            </w:pPr>
            <w:r>
              <w:rPr/>
              <w:t>1,750,000</w:t>
            </w:r>
          </w:p>
        </w:tc>
        <w:tc>
          <w:tcPr>
            <w:tcW w:w="285" w:type="dxa"/>
            <w:tcBorders/>
            <w:shd w:fill="auto" w:val="clear"/>
            <w:vAlign w:val="bottom"/>
          </w:tcPr>
          <w:p>
            <w:pPr>
              <w:pStyle w:val="TableContents"/>
              <w:spacing w:before="0" w:after="283"/>
              <w:rPr/>
            </w:pPr>
            <w:r>
              <w:rPr/>
              <w:t> </w:t>
            </w:r>
          </w:p>
        </w:tc>
      </w:tr>
      <w:tr>
        <w:trPr/>
        <w:tc>
          <w:tcPr>
            <w:tcW w:w="4861" w:type="dxa"/>
            <w:tcBorders/>
            <w:shd w:fill="CCEEFF" w:val="clear"/>
          </w:tcPr>
          <w:p>
            <w:pPr>
              <w:pStyle w:val="TableContents"/>
              <w:spacing w:before="0" w:after="0"/>
              <w:rPr>
                <w:rFonts w:ascii="ARIAL" w:hAnsi="ARIAL"/>
                <w:sz w:val="20"/>
              </w:rPr>
            </w:pPr>
            <w:r>
              <w:rPr>
                <w:rFonts w:ascii="ARIAL" w:hAnsi="ARIAL"/>
                <w:sz w:val="20"/>
              </w:rPr>
              <w:t>Per 2033 Note</w:t>
            </w:r>
          </w:p>
        </w:tc>
        <w:tc>
          <w:tcPr>
            <w:tcW w:w="59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0.45</w:t>
            </w:r>
          </w:p>
        </w:tc>
        <w:tc>
          <w:tcPr>
            <w:tcW w:w="285" w:type="dxa"/>
            <w:tcBorders/>
            <w:shd w:fill="CCEEFF" w:val="clear"/>
            <w:vAlign w:val="bottom"/>
          </w:tcPr>
          <w:p>
            <w:pPr>
              <w:pStyle w:val="TableContents"/>
              <w:spacing w:before="0" w:after="283"/>
              <w:rPr/>
            </w:pPr>
            <w:r>
              <w:rPr/>
              <w:t>% </w:t>
            </w:r>
          </w:p>
        </w:tc>
      </w:tr>
      <w:tr>
        <w:trPr/>
        <w:tc>
          <w:tcPr>
            <w:tcW w:w="4861" w:type="dxa"/>
            <w:tcBorders/>
            <w:shd w:fill="auto" w:val="clear"/>
          </w:tcPr>
          <w:p>
            <w:pPr>
              <w:pStyle w:val="TableContents"/>
              <w:spacing w:before="0" w:after="0"/>
              <w:rPr>
                <w:rFonts w:ascii="ARIAL" w:hAnsi="ARIAL"/>
                <w:sz w:val="20"/>
              </w:rPr>
            </w:pPr>
            <w:r>
              <w:rPr>
                <w:rFonts w:ascii="ARIAL" w:hAnsi="ARIAL"/>
                <w:sz w:val="20"/>
              </w:rPr>
              <w:t>2033 Notes Total</w:t>
            </w:r>
          </w:p>
        </w:tc>
        <w:tc>
          <w:tcPr>
            <w:tcW w:w="59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1061" w:type="dxa"/>
            <w:tcBorders/>
            <w:shd w:fill="auto" w:val="clear"/>
            <w:vAlign w:val="bottom"/>
          </w:tcPr>
          <w:p>
            <w:pPr>
              <w:pStyle w:val="TableContents"/>
              <w:spacing w:before="0" w:after="283"/>
              <w:jc w:val="right"/>
              <w:rPr/>
            </w:pPr>
            <w:r>
              <w:rPr/>
              <w:t>2,250,000</w:t>
            </w:r>
          </w:p>
        </w:tc>
        <w:tc>
          <w:tcPr>
            <w:tcW w:w="285" w:type="dxa"/>
            <w:tcBorders/>
            <w:shd w:fill="auto" w:val="clear"/>
            <w:vAlign w:val="bottom"/>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Expenses associated with this offering to be paid by us, other than underwriting discounts, are estimated to be approximately U.S.$1.8 million.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We have also agreed to indemnify the underwriters against certain liabilities, including liabilities under the Securities Act of 1933, as amended, or to contribute to payments which the underwriters may be required to make in respect of any such liabilities. </w:t>
      </w:r>
    </w:p>
    <w:p>
      <w:pPr>
        <w:pStyle w:val="TextBody"/>
        <w:spacing w:before="240" w:after="0"/>
        <w:jc w:val="left"/>
        <w:rPr>
          <w:rFonts w:ascii="ARIAL" w:hAnsi="ARIAL"/>
          <w:sz w:val="20"/>
        </w:rPr>
      </w:pPr>
      <w:r>
        <w:rPr>
          <w:rFonts w:ascii="ARIAL" w:hAnsi="ARIAL"/>
          <w:sz w:val="20"/>
        </w:rPr>
        <w:t xml:space="preserve">Standard Chartered Bank will not effect any offers or sales of any notes in the United States unless it is through one or more U.S. registered broker-dealers as permitted by the regulations of FINRA. </w:t>
      </w:r>
    </w:p>
    <w:p>
      <w:pPr>
        <w:pStyle w:val="TextBody"/>
        <w:spacing w:before="240" w:after="0"/>
        <w:jc w:val="left"/>
        <w:rPr>
          <w:rFonts w:ascii="ARIAL" w:hAnsi="ARIAL"/>
          <w:sz w:val="20"/>
        </w:rPr>
      </w:pPr>
      <w:r>
        <w:rPr>
          <w:rFonts w:ascii="ARIAL" w:hAnsi="ARIAL"/>
          <w:sz w:val="20"/>
        </w:rPr>
        <w:t xml:space="preserve">The Notes are new issues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 </w:t>
      </w:r>
    </w:p>
    <w:p>
      <w:pPr>
        <w:pStyle w:val="TextBody"/>
        <w:spacing w:before="240" w:after="0"/>
        <w:jc w:val="left"/>
        <w:rPr>
          <w:rFonts w:ascii="ARIAL" w:hAnsi="ARIAL"/>
          <w:sz w:val="20"/>
        </w:rPr>
      </w:pPr>
      <w:r>
        <w:rPr>
          <w:rFonts w:ascii="ARIAL" w:hAnsi="ARIAL"/>
          <w:sz w:val="20"/>
        </w:rPr>
        <w:t xml:space="preserve">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 </w:t>
      </w:r>
    </w:p>
    <w:p>
      <w:pPr>
        <w:pStyle w:val="TextBody"/>
        <w:spacing w:before="360" w:after="0"/>
        <w:jc w:val="left"/>
        <w:rPr>
          <w:rFonts w:ascii="ARIAL" w:hAnsi="ARIAL"/>
          <w:b/>
          <w:sz w:val="20"/>
        </w:rPr>
      </w:pPr>
      <w:r>
        <w:rPr>
          <w:rFonts w:ascii="ARIAL" w:hAnsi="ARIAL"/>
          <w:b/>
          <w:sz w:val="20"/>
        </w:rPr>
        <w:t xml:space="preserve">Selling Restrictions </w:t>
      </w:r>
    </w:p>
    <w:p>
      <w:pPr>
        <w:pStyle w:val="TextBody"/>
        <w:spacing w:before="120" w:after="0"/>
        <w:jc w:val="left"/>
        <w:rPr>
          <w:rFonts w:ascii="ARIAL" w:hAnsi="ARIAL"/>
          <w:b/>
          <w:i/>
          <w:sz w:val="20"/>
        </w:rPr>
      </w:pPr>
      <w:r>
        <w:rPr>
          <w:rFonts w:ascii="ARIAL" w:hAnsi="ARIAL"/>
          <w:b/>
          <w:i/>
          <w:sz w:val="20"/>
        </w:rPr>
        <w:t xml:space="preserve">Canada </w:t>
      </w:r>
    </w:p>
    <w:p>
      <w:pPr>
        <w:pStyle w:val="TextBody"/>
        <w:spacing w:before="240" w:after="0"/>
        <w:jc w:val="left"/>
        <w:rPr>
          <w:rFonts w:ascii="ARIAL" w:hAnsi="ARIAL"/>
          <w:sz w:val="20"/>
        </w:rPr>
      </w:pPr>
      <w:r>
        <w:rPr>
          <w:rFonts w:ascii="ARIAL" w:hAnsi="ARIAL"/>
          <w:sz w:val="20"/>
        </w:rPr>
        <w:t xml:space="preserve">The Notes may be sold only to purchasers purchasing, or deemed to be purchasing, as principal, that are accredited investors, as defined in National Instrument 45-106 </w:t>
      </w:r>
      <w:r>
        <w:rPr>
          <w:rFonts w:ascii="ARIAL" w:hAnsi="ARIAL"/>
          <w:i/>
          <w:sz w:val="20"/>
        </w:rPr>
        <w:t>Prospectus Exemptions</w:t>
      </w:r>
      <w:r>
        <w:rPr>
          <w:rFonts w:ascii="ARIAL" w:hAnsi="ARIAL"/>
          <w:sz w:val="20"/>
        </w:rPr>
        <w:t xml:space="preserve"> or subsection 73.3(1) of the Securities Act (Ontario), and are permitted clients, as defined in National Instrument 31-103 </w:t>
      </w:r>
      <w:r>
        <w:rPr>
          <w:rFonts w:ascii="ARIAL" w:hAnsi="ARIAL"/>
          <w:i/>
          <w:sz w:val="20"/>
        </w:rPr>
        <w:t>Registration Requirements, Exemptions and Ongoing Registrant Obligations</w:t>
      </w:r>
      <w:r>
        <w:rPr>
          <w:rFonts w:ascii="ARIAL" w:hAnsi="ARIAL"/>
          <w:sz w:val="20"/>
        </w:rPr>
        <w:t xml:space="preserve">. Any resale of the Notes must be made in accordance with an exemption from, or in a transaction not subject to, the prospectus requirements of applicable securities laws. </w:t>
      </w:r>
    </w:p>
    <w:p>
      <w:pPr>
        <w:pStyle w:val="TextBody"/>
        <w:spacing w:before="240" w:after="0"/>
        <w:jc w:val="left"/>
        <w:rPr>
          <w:rFonts w:ascii="ARIAL" w:hAnsi="ARIAL"/>
          <w:sz w:val="20"/>
        </w:rPr>
      </w:pPr>
      <w:r>
        <w:rPr>
          <w:rFonts w:ascii="ARIAL" w:hAnsi="ARIAL"/>
          <w:sz w:val="20"/>
        </w:rPr>
        <w:t xml:space="preserve">Securities legislation in certain provinces or territories of Canada may provide a purchaser with remedies for recission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spacing w:before="240" w:after="0"/>
        <w:jc w:val="left"/>
        <w:rPr>
          <w:rFonts w:ascii="ARIAL" w:hAnsi="ARIAL"/>
          <w:sz w:val="20"/>
        </w:rPr>
      </w:pPr>
      <w:r>
        <w:rPr>
          <w:rFonts w:ascii="ARIAL" w:hAnsi="ARIAL"/>
          <w:sz w:val="20"/>
        </w:rPr>
        <w:t xml:space="preserve">Pursuant to section 3A.3 of National Instrument 33-105 </w:t>
      </w:r>
      <w:r>
        <w:rPr>
          <w:rFonts w:ascii="ARIAL" w:hAnsi="ARIAL"/>
          <w:i/>
          <w:sz w:val="20"/>
        </w:rPr>
        <w:t>Underwriting Conflicts</w:t>
      </w:r>
      <w:r>
        <w:rPr>
          <w:rFonts w:ascii="ARIAL" w:hAnsi="ARIAL"/>
          <w:sz w:val="20"/>
        </w:rPr>
        <w:t xml:space="preserve"> (NI 33-105), the underwriters are not required to comply with the disclosure requirements of NI 33-105 regarding underwriter conflicts of interest in connection with this offering.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i/>
          <w:sz w:val="20"/>
        </w:rPr>
      </w:pPr>
      <w:r>
        <w:rPr>
          <w:rFonts w:ascii="ARIAL" w:hAnsi="ARIAL"/>
          <w:b/>
          <w:i/>
          <w:sz w:val="20"/>
        </w:rPr>
        <w:t xml:space="preserve">European Economic Area </w:t>
      </w:r>
    </w:p>
    <w:p>
      <w:pPr>
        <w:pStyle w:val="TextBody"/>
        <w:spacing w:before="120" w:after="0"/>
        <w:jc w:val="left"/>
        <w:rPr>
          <w:rFonts w:ascii="ARIAL" w:hAnsi="ARIAL"/>
          <w:sz w:val="20"/>
        </w:rPr>
      </w:pPr>
      <w:r>
        <w:rPr>
          <w:rFonts w:ascii="ARIAL" w:hAnsi="ARIAL"/>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Article 2 of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spacing w:before="240" w:after="0"/>
        <w:jc w:val="left"/>
        <w:rPr>
          <w:rFonts w:ascii="ARIAL" w:hAnsi="ARIAL"/>
          <w:sz w:val="20"/>
        </w:rPr>
      </w:pPr>
      <w:r>
        <w:rPr>
          <w:rFonts w:ascii="ARIAL" w:hAnsi="ARIAL"/>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spacing w:before="360" w:after="0"/>
        <w:jc w:val="left"/>
        <w:rPr>
          <w:rFonts w:ascii="ARIAL" w:hAnsi="ARIAL"/>
          <w:b/>
          <w:i/>
          <w:sz w:val="20"/>
        </w:rPr>
      </w:pPr>
      <w:r>
        <w:rPr>
          <w:rFonts w:ascii="ARIAL" w:hAnsi="ARIAL"/>
          <w:b/>
          <w:i/>
          <w:sz w:val="20"/>
        </w:rPr>
        <w:t xml:space="preserve">United Kingdom </w:t>
      </w:r>
    </w:p>
    <w:p>
      <w:pPr>
        <w:pStyle w:val="TextBody"/>
        <w:spacing w:before="120" w:after="0"/>
        <w:jc w:val="left"/>
        <w:rPr>
          <w:rFonts w:ascii="ARIAL" w:hAnsi="ARIAL"/>
          <w:sz w:val="20"/>
        </w:rPr>
      </w:pPr>
      <w:r>
        <w:rPr>
          <w:rFonts w:ascii="ARIAL" w:hAnsi="ARIAL"/>
          <w:sz w:val="20"/>
        </w:rPr>
        <w:t xml:space="preserve">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 </w:t>
      </w:r>
    </w:p>
    <w:p>
      <w:pPr>
        <w:pStyle w:val="TextBody"/>
        <w:spacing w:before="240" w:after="0"/>
        <w:jc w:val="left"/>
        <w:rPr>
          <w:rFonts w:ascii="ARIAL" w:hAnsi="ARIAL"/>
          <w:sz w:val="20"/>
        </w:rPr>
      </w:pPr>
      <w:r>
        <w:rPr>
          <w:rFonts w:ascii="ARIAL" w:hAnsi="ARIAL"/>
          <w:sz w:val="20"/>
        </w:rPr>
        <w:t xml:space="preserve">This prospectus supplement is for distribution only to persons who (i) have professional experience in matters relating to investments and who qualify as investment professionals within the meaning of Article 19 (5)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i/>
          <w:sz w:val="20"/>
        </w:rPr>
      </w:pPr>
      <w:r>
        <w:rPr>
          <w:rFonts w:ascii="ARIAL" w:hAnsi="ARIAL"/>
          <w:b/>
          <w:i/>
          <w:sz w:val="20"/>
        </w:rPr>
        <w:t xml:space="preserve">Luxembourg </w:t>
      </w:r>
    </w:p>
    <w:p>
      <w:pPr>
        <w:pStyle w:val="TextBody"/>
        <w:spacing w:before="120" w:after="0"/>
        <w:jc w:val="left"/>
        <w:rPr>
          <w:rFonts w:ascii="ARIAL" w:hAnsi="ARIAL"/>
          <w:sz w:val="20"/>
        </w:rPr>
      </w:pPr>
      <w:r>
        <w:rPr>
          <w:rFonts w:ascii="ARIAL" w:hAnsi="ARIAL"/>
          <w:sz w:val="20"/>
        </w:rPr>
        <w:t xml:space="preserve">The terms and conditions relating to this prospectus supplement have not been approved by and will not be submitted for approval to the Luxembourg Financial Services Authority (Commission de Surveillance du Secteur Financier) (the CSSF,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 </w:t>
      </w:r>
    </w:p>
    <w:p>
      <w:pPr>
        <w:pStyle w:val="TextBody"/>
        <w:spacing w:before="360" w:after="0"/>
        <w:jc w:val="left"/>
        <w:rPr>
          <w:rFonts w:ascii="ARIAL" w:hAnsi="ARIAL"/>
          <w:b/>
          <w:i/>
          <w:sz w:val="20"/>
        </w:rPr>
      </w:pPr>
      <w:r>
        <w:rPr>
          <w:rFonts w:ascii="ARIAL" w:hAnsi="ARIAL"/>
          <w:b/>
          <w:i/>
          <w:sz w:val="20"/>
        </w:rPr>
        <w:t xml:space="preserve">Switzerland </w:t>
      </w:r>
    </w:p>
    <w:p>
      <w:pPr>
        <w:pStyle w:val="TextBody"/>
        <w:spacing w:before="120" w:after="0"/>
        <w:jc w:val="left"/>
        <w:rPr>
          <w:rFonts w:ascii="ARIAL" w:hAnsi="ARIAL"/>
          <w:sz w:val="20"/>
        </w:rPr>
      </w:pPr>
      <w:r>
        <w:rPr>
          <w:rFonts w:ascii="ARIAL" w:hAnsi="ARIAL"/>
          <w:sz w:val="20"/>
        </w:rPr>
        <w:t xml:space="preserve">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spacing w:before="360" w:after="0"/>
        <w:jc w:val="left"/>
        <w:rPr>
          <w:rFonts w:ascii="ARIAL" w:hAnsi="ARIAL"/>
          <w:b/>
          <w:i/>
          <w:sz w:val="20"/>
        </w:rPr>
      </w:pPr>
      <w:r>
        <w:rPr>
          <w:rFonts w:ascii="ARIAL" w:hAnsi="ARIAL"/>
          <w:b/>
          <w:i/>
          <w:sz w:val="20"/>
        </w:rPr>
        <w:t xml:space="preserve">Hong Kong </w:t>
      </w:r>
    </w:p>
    <w:p>
      <w:pPr>
        <w:pStyle w:val="TextBody"/>
        <w:spacing w:before="120" w:after="0"/>
        <w:jc w:val="left"/>
        <w:rPr>
          <w:rFonts w:ascii="ARIAL" w:hAnsi="ARIAL"/>
          <w:sz w:val="20"/>
        </w:rPr>
      </w:pPr>
      <w:r>
        <w:rPr>
          <w:rFonts w:ascii="ARIAL" w:hAnsi="ARIAL"/>
          <w:sz w:val="20"/>
        </w:rPr>
        <w:t xml:space="preserve">The Notes have not and may not be offered or sold in Hong Kong by means of any document other than (i) to professional investors as defined in the Securities and Futures Ordinance (Cap.571, Laws of Hong Kong) (SFO) and any rules made thereunder, or (ii) in other circumstances which do not result in the document being a prospectus as defined in the Companies (Winding Up and Miscellaneous Provisions) Ordinance (Cap.32, Laws of Hong Kong) or which do not constitute an offer to the public within the meaning of that Ordinance, and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p>
    <w:p>
      <w:pPr>
        <w:pStyle w:val="TextBody"/>
        <w:spacing w:before="360" w:after="0"/>
        <w:jc w:val="left"/>
        <w:rPr>
          <w:rFonts w:ascii="ARIAL" w:hAnsi="ARIAL"/>
          <w:b/>
          <w:i/>
          <w:sz w:val="20"/>
        </w:rPr>
      </w:pPr>
      <w:r>
        <w:rPr>
          <w:rFonts w:ascii="ARIAL" w:hAnsi="ARIAL"/>
          <w:b/>
          <w:i/>
          <w:sz w:val="20"/>
        </w:rPr>
        <w:t xml:space="preserve">Japan </w:t>
      </w:r>
    </w:p>
    <w:p>
      <w:pPr>
        <w:pStyle w:val="TextBody"/>
        <w:spacing w:before="120" w:after="0"/>
        <w:jc w:val="left"/>
        <w:rPr>
          <w:rFonts w:ascii="ARIAL" w:hAnsi="ARIAL"/>
          <w:sz w:val="20"/>
        </w:rPr>
      </w:pPr>
      <w:r>
        <w:rPr>
          <w:rFonts w:ascii="ARIAL" w:hAnsi="ARIAL"/>
          <w:sz w:val="20"/>
        </w:rPr>
        <w:t xml:space="preserve">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i/>
          <w:sz w:val="20"/>
        </w:rPr>
      </w:pPr>
      <w:r>
        <w:rPr>
          <w:rFonts w:ascii="ARIAL" w:hAnsi="ARIAL"/>
          <w:b/>
          <w:i/>
          <w:sz w:val="20"/>
        </w:rPr>
        <w:t xml:space="preserve">Singapore </w:t>
      </w:r>
    </w:p>
    <w:p>
      <w:pPr>
        <w:pStyle w:val="TextBody"/>
        <w:spacing w:before="120" w:after="0"/>
        <w:jc w:val="left"/>
        <w:rPr>
          <w:rFonts w:ascii="ARIAL" w:hAnsi="ARIAL"/>
          <w:sz w:val="20"/>
        </w:rPr>
      </w:pPr>
      <w:r>
        <w:rPr>
          <w:rFonts w:ascii="ARIAL" w:hAnsi="ARIAL"/>
          <w:sz w:val="20"/>
        </w:rPr>
        <w:t xml:space="preserve">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spacing w:before="240" w:after="0"/>
        <w:jc w:val="left"/>
        <w:rPr>
          <w:rFonts w:ascii="ARIAL" w:hAnsi="ARIAL"/>
          <w:sz w:val="20"/>
        </w:rPr>
      </w:pPr>
      <w:r>
        <w:rPr>
          <w:rFonts w:ascii="ARIAL" w:hAnsi="ARIAL"/>
          <w:sz w:val="20"/>
        </w:rPr>
        <w:t xml:space="preserve">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transferable for six months after that corporation or that trust has acquired the Notes pursuant to an offer made under Section 275 of the SFA except: (1) to an institutional investor or to a relevant person defined in Section 275(2) of the SFA or to any person arising from an offer referred to in Section 275(1A) or Section 276(4)(i)(B) of the SFA, (2) where no consideration is given for the transfer, (3) where the transfer is by operation of law, (4) as specified in Section 276(7) of the SFA; or (5) as specified in Regulation 37A of the Securities and Futures (Offers of Investments) (Securities and Securities-based Derivatives Contracts) Regulations 2018 of Singapore. </w:t>
      </w:r>
    </w:p>
    <w:p>
      <w:pPr>
        <w:pStyle w:val="TextBody"/>
        <w:spacing w:before="240" w:after="0"/>
        <w:jc w:val="left"/>
        <w:rPr>
          <w:rFonts w:ascii="ARIAL" w:hAnsi="ARIAL"/>
          <w:sz w:val="20"/>
        </w:rPr>
      </w:pPr>
      <w:r>
        <w:rPr>
          <w:rFonts w:ascii="ARIAL" w:hAnsi="ARIAL"/>
          <w:sz w:val="20"/>
        </w:rPr>
        <w:t xml:space="preserve">Singapore Securities and Futures Act Product ClassificationSolely for the purposes of its obligations pursuant to sections 309B(1) (a) and 309B(1 )(c)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spacing w:before="360" w:after="0"/>
        <w:jc w:val="left"/>
        <w:rPr>
          <w:rFonts w:ascii="ARIAL" w:hAnsi="ARIAL"/>
          <w:b/>
          <w:i/>
          <w:sz w:val="20"/>
        </w:rPr>
      </w:pPr>
      <w:r>
        <w:rPr>
          <w:rFonts w:ascii="ARIAL" w:hAnsi="ARIAL"/>
          <w:b/>
          <w:i/>
          <w:sz w:val="20"/>
        </w:rPr>
        <w:t xml:space="preserve">Taiwan </w:t>
      </w:r>
    </w:p>
    <w:p>
      <w:pPr>
        <w:pStyle w:val="TextBody"/>
        <w:spacing w:before="120" w:after="0"/>
        <w:jc w:val="left"/>
        <w:rPr>
          <w:rFonts w:ascii="ARIAL" w:hAnsi="ARIAL"/>
          <w:sz w:val="20"/>
        </w:rPr>
      </w:pPr>
      <w:r>
        <w:rPr>
          <w:rFonts w:ascii="ARIAL" w:hAnsi="ARIAL"/>
          <w:sz w:val="20"/>
        </w:rPr>
        <w:t xml:space="preserve">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i/>
          <w:sz w:val="20"/>
        </w:rPr>
      </w:pPr>
      <w:r>
        <w:rPr>
          <w:rFonts w:ascii="ARIAL" w:hAnsi="ARIAL"/>
          <w:b/>
          <w:i/>
          <w:sz w:val="20"/>
        </w:rPr>
        <w:t xml:space="preserve">United Arab Emirates </w:t>
      </w:r>
    </w:p>
    <w:p>
      <w:pPr>
        <w:pStyle w:val="TextBody"/>
        <w:spacing w:before="120" w:after="0"/>
        <w:jc w:val="left"/>
        <w:rPr>
          <w:rFonts w:ascii="ARIAL" w:hAnsi="ARIAL"/>
          <w:sz w:val="20"/>
        </w:rPr>
      </w:pPr>
      <w:r>
        <w:rPr>
          <w:rFonts w:ascii="ARIAL" w:hAnsi="ARIAL"/>
          <w:sz w:val="20"/>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This prospectus supplement and the accompanying prospectus have not been approved by or filed with the Central Bank of the United Arab Emirates, the Securities Commodities Authority, the Financial Services Regulatory Authority or the Dubai Financial Services Authority. </w:t>
      </w:r>
    </w:p>
    <w:p>
      <w:pPr>
        <w:pStyle w:val="TextBody"/>
        <w:spacing w:before="360" w:after="0"/>
        <w:jc w:val="left"/>
        <w:rPr>
          <w:rFonts w:ascii="ARIAL" w:hAnsi="ARIAL"/>
          <w:b/>
          <w:sz w:val="20"/>
        </w:rPr>
      </w:pPr>
      <w:r>
        <w:rPr>
          <w:rFonts w:ascii="ARIAL" w:hAnsi="ARIAL"/>
          <w:b/>
          <w:sz w:val="20"/>
        </w:rPr>
        <w:t xml:space="preserve">Settlement and Sale of the Notes </w:t>
      </w:r>
    </w:p>
    <w:p>
      <w:pPr>
        <w:pStyle w:val="TextBody"/>
        <w:spacing w:before="120" w:after="0"/>
        <w:jc w:val="left"/>
        <w:rPr>
          <w:rFonts w:ascii="ARIAL" w:hAnsi="ARIAL"/>
          <w:sz w:val="20"/>
        </w:rPr>
      </w:pPr>
      <w:r>
        <w:rPr>
          <w:rFonts w:ascii="ARIAL" w:hAnsi="ARIAL"/>
          <w:sz w:val="20"/>
        </w:rPr>
        <w:t xml:space="preserve">We expect to deliver the Notes against payment for the Notes on or about the date specified in the last paragraph of the cover page of this prospectus supplement, which will be the fifth business day following the date of the pricing of the Notes. Since trades in the secondary market generally settle in two business days, purchasers who wish to trade Notes on the date of pricing or the next three succeeding business days will be required, by virtue of the fact that the Notes initially will settle in T+5, to specify alternative settlement arrangements to prevent a failed settlement. </w:t>
      </w:r>
    </w:p>
    <w:p>
      <w:pPr>
        <w:pStyle w:val="TextBody"/>
        <w:spacing w:before="360" w:after="0"/>
        <w:jc w:val="left"/>
        <w:rPr>
          <w:rFonts w:ascii="ARIAL" w:hAnsi="ARIAL"/>
          <w:b/>
          <w:sz w:val="20"/>
        </w:rPr>
      </w:pPr>
      <w:r>
        <w:rPr>
          <w:rFonts w:ascii="ARIAL" w:hAnsi="ARIAL"/>
          <w:b/>
          <w:sz w:val="20"/>
        </w:rPr>
        <w:t xml:space="preserve">Conflicts of Interest </w:t>
      </w:r>
    </w:p>
    <w:p>
      <w:pPr>
        <w:pStyle w:val="TextBody"/>
        <w:spacing w:before="120" w:after="0"/>
        <w:jc w:val="left"/>
        <w:rPr>
          <w:rFonts w:ascii="ARIAL" w:hAnsi="ARIAL"/>
          <w:sz w:val="20"/>
        </w:rPr>
      </w:pPr>
      <w:r>
        <w:rPr>
          <w:rFonts w:ascii="ARIAL" w:hAnsi="ARIAL"/>
          <w:sz w:val="20"/>
        </w:rPr>
        <w:t xml:space="preserve">Certain affiliates of the underwriters may be holders of our 2023 notes or commercial paper. As a result of the anticipated use of proceeds here, one or more affiliates of the underwriter may receive a portion of the net proceeds from the offering of the Notes offered hereby in the form of the repayment of indebtedness. Accordingly, the offering of the Notes is being made pursuant to Rule 5121 of the Financial Industry Regulatory Authority, Inc. Pursuant to this rule, the appointment of a qualified independent underwriter is not necessary in connection with this offering, because the conditions of Rule 5121(a)(1)(C) are satisfied. </w:t>
      </w:r>
    </w:p>
    <w:p>
      <w:pPr>
        <w:pStyle w:val="TextBody"/>
        <w:spacing w:before="360" w:after="0"/>
        <w:jc w:val="left"/>
        <w:rPr>
          <w:rFonts w:ascii="ARIAL" w:hAnsi="ARIAL"/>
          <w:b/>
          <w:sz w:val="20"/>
        </w:rPr>
      </w:pPr>
      <w:r>
        <w:rPr>
          <w:rFonts w:ascii="ARIAL" w:hAnsi="ARIAL"/>
          <w:b/>
          <w:sz w:val="20"/>
        </w:rPr>
        <w:t xml:space="preserve">Other Relationships </w:t>
      </w:r>
    </w:p>
    <w:p>
      <w:pPr>
        <w:pStyle w:val="TextBody"/>
        <w:spacing w:before="120" w:after="0"/>
        <w:jc w:val="left"/>
        <w:rPr>
          <w:rFonts w:ascii="ARIAL" w:hAnsi="ARIAL"/>
          <w:sz w:val="20"/>
        </w:rPr>
      </w:pPr>
      <w:r>
        <w:rPr>
          <w:rFonts w:ascii="ARIAL" w:hAnsi="ARIAL"/>
          <w:sz w:val="20"/>
        </w:rPr>
        <w:t xml:space="preserve">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 </w:t>
      </w:r>
    </w:p>
    <w:p>
      <w:pPr>
        <w:pStyle w:val="TextBody"/>
        <w:spacing w:before="240" w:after="0"/>
        <w:jc w:val="left"/>
        <w:rPr>
          <w:rFonts w:ascii="ARIAL" w:hAnsi="ARIAL"/>
          <w:sz w:val="20"/>
        </w:rPr>
      </w:pPr>
      <w:r>
        <w:rPr>
          <w:rFonts w:ascii="ARIAL" w:hAnsi="ARIAL"/>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2" w:name="s411946_10"/>
      <w:bookmarkEnd w:id="12"/>
      <w:r>
        <w:rPr>
          <w:rFonts w:ascii="ARIAL" w:hAnsi="ARIAL"/>
          <w:b/>
          <w:sz w:val="20"/>
        </w:rPr>
        <w:t xml:space="preserve">LEGAL MATTERS </w:t>
      </w:r>
    </w:p>
    <w:p>
      <w:pPr>
        <w:pStyle w:val="TextBody"/>
        <w:spacing w:before="120" w:after="0"/>
        <w:jc w:val="left"/>
        <w:rPr>
          <w:rFonts w:ascii="ARIAL" w:hAnsi="ARIAL"/>
          <w:sz w:val="20"/>
        </w:rPr>
      </w:pPr>
      <w:r>
        <w:rPr>
          <w:rFonts w:ascii="ARIAL" w:hAnsi="ARIAL"/>
          <w:sz w:val="20"/>
        </w:rPr>
        <w:t xml:space="preserve">Certain legal matters in connection with the notes and guarantees offered hereby will be passed upon for us by Gibson, Dunn &amp; Crutcher LLP, New York, New York, Loyens &amp; Loeff Luxembourg SARL, Luxembourg, and STvB Advocaten (Europe) N.V., Amsterdam, The Netherlands, and for the underwriters by Davis Polk &amp; Wardwell LLP, New York, New York. </w:t>
      </w:r>
    </w:p>
    <w:p>
      <w:pPr>
        <w:pStyle w:val="TextBody"/>
        <w:spacing w:before="480" w:after="0"/>
        <w:jc w:val="center"/>
        <w:rPr>
          <w:rFonts w:ascii="ARIAL" w:hAnsi="ARIAL"/>
          <w:b/>
          <w:sz w:val="20"/>
        </w:rPr>
      </w:pPr>
      <w:bookmarkStart w:id="13" w:name="s411946_11"/>
      <w:bookmarkEnd w:id="13"/>
      <w:r>
        <w:rPr>
          <w:rFonts w:ascii="ARIAL" w:hAnsi="ARIAL"/>
          <w:b/>
          <w:sz w:val="20"/>
        </w:rPr>
        <w:t xml:space="preserve">EXPERTS </w:t>
      </w:r>
    </w:p>
    <w:p>
      <w:pPr>
        <w:pStyle w:val="TextBody"/>
        <w:spacing w:before="240" w:after="0"/>
        <w:jc w:val="left"/>
        <w:rPr>
          <w:rFonts w:ascii="ARIAL" w:hAnsi="ARIAL"/>
          <w:sz w:val="20"/>
        </w:rPr>
      </w:pPr>
      <w:r>
        <w:rPr>
          <w:rFonts w:ascii="ARIAL" w:hAnsi="ARIAL"/>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spacing w:before="480" w:after="0"/>
        <w:jc w:val="center"/>
        <w:rPr>
          <w:rFonts w:ascii="ARIAL" w:hAnsi="ARIAL"/>
          <w:b/>
          <w:sz w:val="20"/>
        </w:rPr>
      </w:pPr>
      <w:bookmarkStart w:id="14" w:name="s411946_12"/>
      <w:bookmarkEnd w:id="14"/>
      <w:r>
        <w:rPr>
          <w:rFonts w:ascii="ARIAL" w:hAnsi="ARIAL"/>
          <w:b/>
          <w:sz w:val="20"/>
        </w:rPr>
        <w:t xml:space="preserve">WHERE YOU CAN FIND MORE INFORMATION </w:t>
      </w:r>
    </w:p>
    <w:p>
      <w:pPr>
        <w:pStyle w:val="TextBody"/>
        <w:spacing w:before="240" w:after="0"/>
        <w:jc w:val="left"/>
        <w:rPr>
          <w:rFonts w:ascii="ARIAL" w:hAnsi="ARIAL"/>
          <w:sz w:val="20"/>
        </w:rPr>
      </w:pPr>
      <w:r>
        <w:rPr>
          <w:rFonts w:ascii="ARIAL" w:hAnsi="ARIAL"/>
          <w:sz w:val="20"/>
        </w:rPr>
        <w:t xml:space="preserve">The Guarantor files annual, quarterly and current reports, proxy statements and other information with the SEC. You may read and download its filings over the Internet from several commercial document retrieval services, as well as at the SECs website at www.sec.gov. </w:t>
      </w:r>
    </w:p>
    <w:p>
      <w:pPr>
        <w:pStyle w:val="TextBody"/>
        <w:spacing w:before="240" w:after="0"/>
        <w:jc w:val="left"/>
        <w:rPr>
          <w:rFonts w:ascii="ARIAL" w:hAnsi="ARIAL"/>
          <w:sz w:val="20"/>
        </w:rPr>
      </w:pPr>
      <w:r>
        <w:rPr>
          <w:rFonts w:ascii="ARIAL" w:hAnsi="ARIAL"/>
          <w:sz w:val="20"/>
        </w:rPr>
        <w:t xml:space="preserve">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17th Floor, Houston, Texas 77056. </w:t>
      </w:r>
    </w:p>
    <w:p>
      <w:pPr>
        <w:pStyle w:val="TextBody"/>
        <w:spacing w:before="240" w:after="0"/>
        <w:jc w:val="left"/>
        <w:rPr>
          <w:rFonts w:ascii="ARIAL" w:hAnsi="ARIAL"/>
          <w:sz w:val="20"/>
        </w:rPr>
      </w:pPr>
      <w:r>
        <w:rPr>
          <w:rFonts w:ascii="ARIAL" w:hAnsi="ARIAL"/>
          <w:sz w:val="20"/>
        </w:rPr>
        <w:t xml:space="preserve">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 </w:t>
      </w:r>
    </w:p>
    <w:p>
      <w:pPr>
        <w:pStyle w:val="TextBody"/>
        <w:spacing w:before="480" w:after="0"/>
        <w:jc w:val="center"/>
        <w:rPr>
          <w:rFonts w:ascii="ARIAL" w:hAnsi="ARIAL"/>
          <w:b/>
          <w:sz w:val="20"/>
        </w:rPr>
      </w:pPr>
      <w:bookmarkStart w:id="15" w:name="s411946_13"/>
      <w:bookmarkEnd w:id="15"/>
      <w:r>
        <w:rPr>
          <w:rFonts w:ascii="ARIAL" w:hAnsi="ARIAL"/>
          <w:b/>
          <w:sz w:val="20"/>
        </w:rPr>
        <w:t xml:space="preserve">INCORPORATION OF DOCUMENTS BY REFERENCE </w:t>
      </w:r>
    </w:p>
    <w:p>
      <w:pPr>
        <w:pStyle w:val="TextBody"/>
        <w:spacing w:before="240" w:after="0"/>
        <w:jc w:val="left"/>
        <w:rPr>
          <w:rFonts w:ascii="ARIAL" w:hAnsi="ARIAL"/>
          <w:sz w:val="20"/>
        </w:rPr>
      </w:pPr>
      <w:r>
        <w:rPr>
          <w:rFonts w:ascii="ARIAL" w:hAnsi="ARIAL"/>
          <w:sz w:val="20"/>
        </w:rPr>
        <w:t xml:space="preserve">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SLB Group and its financial condition, business and results. </w:t>
      </w:r>
    </w:p>
    <w:p>
      <w:pPr>
        <w:pStyle w:val="TextBody"/>
        <w:spacing w:before="240" w:after="0"/>
        <w:jc w:val="left"/>
        <w:rPr>
          <w:rFonts w:ascii="ARIAL" w:hAnsi="ARIAL"/>
          <w:sz w:val="20"/>
        </w:rPr>
      </w:pPr>
      <w:r>
        <w:rPr>
          <w:rFonts w:ascii="ARIAL" w:hAnsi="ARIAL"/>
          <w:sz w:val="20"/>
        </w:rPr>
        <w:t xml:space="preserve">We are incorporating by reference into this prospectus supplement and the accompanying prospectus the following documents listed below and any other filings made by the Guarantor under Section 13(a), 13(c), 14 or 15(d) of the Exchange Act on or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ARIAL" w:hAnsi="ARIAL"/>
                <w:sz w:val="20"/>
              </w:rPr>
              <w:t xml:space="preserve">the Guarantors </w:t>
            </w:r>
            <w:hyperlink r:id="rId3">
              <w:r>
                <w:rPr>
                  <w:rStyle w:val="InternetLink"/>
                  <w:rFonts w:ascii="ARIAL" w:hAnsi="ARIAL"/>
                  <w:sz w:val="20"/>
                </w:rPr>
                <w:t>Annual Report on Form 10-K for the fiscal year ended December 31, 2022</w:t>
              </w:r>
            </w:hyperlink>
            <w:r>
              <w:rPr>
                <w:rFonts w:ascii="ARIAL" w:hAnsi="ARIAL"/>
                <w:sz w:val="20"/>
              </w:rPr>
              <w:t xml:space="preserve">, as filed with the SEC on January  25, 2023 (including the </w:t>
            </w:r>
            <w:hyperlink r:id="rId4">
              <w:r>
                <w:rPr>
                  <w:rStyle w:val="InternetLink"/>
                  <w:rFonts w:ascii="ARIAL" w:hAnsi="ARIAL"/>
                  <w:sz w:val="20"/>
                </w:rPr>
                <w:t>portions of our proxy statement for our 2023 annual meeting of shareholders</w:t>
              </w:r>
            </w:hyperlink>
            <w:r>
              <w:rPr>
                <w:rFonts w:ascii="ARIAL" w:hAnsi="ARIAL"/>
                <w:sz w:val="20"/>
              </w:rPr>
              <w:t xml:space="preserve"> incorporated by reference therein);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ARIAL" w:hAnsi="ARIAL"/>
                <w:sz w:val="20"/>
              </w:rPr>
              <w:t xml:space="preserve">the Guarantors Quarterly Report on </w:t>
            </w:r>
            <w:hyperlink r:id="rId5">
              <w:r>
                <w:rPr>
                  <w:rStyle w:val="InternetLink"/>
                  <w:rFonts w:ascii="ARIAL" w:hAnsi="ARIAL"/>
                  <w:sz w:val="20"/>
                </w:rPr>
                <w:t>Form 10-Q</w:t>
              </w:r>
            </w:hyperlink>
            <w:r>
              <w:rPr>
                <w:rFonts w:ascii="ARIAL" w:hAnsi="ARIAL"/>
                <w:sz w:val="20"/>
              </w:rPr>
              <w:t xml:space="preserve"> for the fiscal quarter ended March 31, 2023, as filed with the SEC on April 26, 2023;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ARIAL" w:hAnsi="ARIAL"/>
                <w:sz w:val="20"/>
              </w:rPr>
              <w:t xml:space="preserve">the Guarantors Current Reports on Form 8-K as filed with the SEC on </w:t>
            </w:r>
            <w:hyperlink r:id="rId6">
              <w:r>
                <w:rPr>
                  <w:rStyle w:val="InternetLink"/>
                  <w:rFonts w:ascii="ARIAL" w:hAnsi="ARIAL"/>
                  <w:sz w:val="20"/>
                </w:rPr>
                <w:t>April 6, 2023</w:t>
              </w:r>
            </w:hyperlink>
            <w:r>
              <w:rPr>
                <w:rFonts w:ascii="ARIAL" w:hAnsi="ARIAL"/>
                <w:sz w:val="20"/>
              </w:rPr>
              <w:t xml:space="preserve">, </w:t>
            </w:r>
            <w:hyperlink r:id="rId7">
              <w:r>
                <w:rPr>
                  <w:rStyle w:val="InternetLink"/>
                  <w:rFonts w:ascii="ARIAL" w:hAnsi="ARIAL"/>
                  <w:sz w:val="20"/>
                </w:rPr>
                <w:t>April  17, 2023</w:t>
              </w:r>
            </w:hyperlink>
            <w:r>
              <w:rPr>
                <w:rFonts w:ascii="ARIAL" w:hAnsi="ARIAL"/>
                <w:sz w:val="20"/>
              </w:rPr>
              <w:t xml:space="preserve">, and </w:t>
            </w:r>
            <w:hyperlink r:id="rId8">
              <w:r>
                <w:rPr>
                  <w:rStyle w:val="InternetLink"/>
                  <w:rFonts w:ascii="ARIAL" w:hAnsi="ARIAL"/>
                  <w:sz w:val="20"/>
                </w:rPr>
                <w:t>April 21, 2023</w:t>
              </w:r>
            </w:hyperlink>
            <w:r>
              <w:rPr>
                <w:rFonts w:ascii="ARIAL" w:hAnsi="ARIAL"/>
                <w:sz w:val="20"/>
              </w:rPr>
              <w:t xml:space="preserve"> (Items 5.03 and 5.05 only). </w:t>
            </w:r>
          </w:p>
        </w:tc>
      </w:tr>
    </w:tbl>
    <w:p>
      <w:pPr>
        <w:pStyle w:val="TextBody"/>
        <w:spacing w:before="240" w:after="0"/>
        <w:jc w:val="left"/>
        <w:rPr>
          <w:rFonts w:ascii="ARIAL" w:hAnsi="ARIAL"/>
          <w:sz w:val="20"/>
        </w:rPr>
      </w:pPr>
      <w:r>
        <w:rPr>
          <w:rFonts w:ascii="ARIAL" w:hAnsi="ARIAL"/>
          <w:sz w:val="20"/>
        </w:rPr>
        <w:t xml:space="preserve">Any statement contained in this prospectus supplement and accompanying prospectus or in a document incorporated or deemed to be incorporated by reference in this prospectus supplement and accompanying prospectus will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will be deemed, except as so modified or superseded, to constitute a part of this prospectus supplement and accompanying prospectus. </w:t>
      </w:r>
    </w:p>
    <w:p>
      <w:pPr>
        <w:pStyle w:val="TextBody"/>
        <w:spacing w:before="240" w:after="0"/>
        <w:jc w:val="left"/>
        <w:rPr>
          <w:rFonts w:ascii="ARIAL" w:hAnsi="ARIAL"/>
          <w:sz w:val="20"/>
        </w:rPr>
      </w:pPr>
      <w:r>
        <w:rPr>
          <w:rFonts w:ascii="ARIAL" w:hAnsi="ARIAL"/>
          <w:sz w:val="20"/>
        </w:rPr>
        <w:t xml:space="preserve">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 </w:t>
      </w:r>
    </w:p>
    <w:p>
      <w:pPr>
        <w:pStyle w:val="TextBody"/>
        <w:spacing w:before="240" w:after="0"/>
        <w:jc w:val="left"/>
        <w:rPr>
          <w:rFonts w:ascii="ARIAL" w:hAnsi="ARIAL"/>
          <w:sz w:val="20"/>
        </w:rPr>
      </w:pPr>
      <w:r>
        <w:rPr>
          <w:rFonts w:ascii="ARIAL" w:hAnsi="ARIAL"/>
          <w:sz w:val="20"/>
        </w:rPr>
        <w:t xml:space="preserve">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 </w:t>
      </w:r>
    </w:p>
    <w:p>
      <w:pPr>
        <w:pStyle w:val="TextBody"/>
        <w:spacing w:before="120" w:after="0"/>
        <w:jc w:val="center"/>
        <w:rPr>
          <w:rFonts w:ascii="ARIAL" w:hAnsi="ARIAL"/>
          <w:sz w:val="20"/>
        </w:rPr>
      </w:pPr>
      <w:r>
        <w:rPr>
          <w:rFonts w:ascii="ARIAL" w:hAnsi="ARIAL"/>
          <w:sz w:val="20"/>
        </w:rPr>
        <w:t xml:space="preserve">Schlumberger Limited </w:t>
      </w:r>
    </w:p>
    <w:p>
      <w:pPr>
        <w:pStyle w:val="TextBody"/>
        <w:spacing w:before="0" w:after="0"/>
        <w:jc w:val="center"/>
        <w:rPr>
          <w:rFonts w:ascii="ARIAL" w:hAnsi="ARIAL"/>
          <w:sz w:val="20"/>
        </w:rPr>
      </w:pPr>
      <w:r>
        <w:rPr>
          <w:rFonts w:ascii="ARIAL" w:hAnsi="ARIAL"/>
          <w:sz w:val="20"/>
        </w:rPr>
        <w:t xml:space="preserve">5599 San Felipe </w:t>
      </w:r>
    </w:p>
    <w:p>
      <w:pPr>
        <w:pStyle w:val="TextBody"/>
        <w:spacing w:before="0" w:after="0"/>
        <w:jc w:val="center"/>
        <w:rPr>
          <w:rFonts w:ascii="ARIAL" w:hAnsi="ARIAL"/>
          <w:sz w:val="20"/>
        </w:rPr>
      </w:pPr>
      <w:r>
        <w:rPr>
          <w:rFonts w:ascii="ARIAL" w:hAnsi="ARIAL"/>
          <w:sz w:val="20"/>
        </w:rPr>
        <w:t xml:space="preserve">Houston, Texas 77056 </w:t>
      </w:r>
    </w:p>
    <w:p>
      <w:pPr>
        <w:pStyle w:val="TextBody"/>
        <w:spacing w:before="0" w:after="0"/>
        <w:jc w:val="center"/>
        <w:rPr>
          <w:rFonts w:ascii="ARIAL" w:hAnsi="ARIAL"/>
          <w:sz w:val="20"/>
        </w:rPr>
      </w:pPr>
      <w:r>
        <w:rPr>
          <w:rFonts w:ascii="ARIAL" w:hAnsi="ARIAL"/>
          <w:sz w:val="20"/>
        </w:rPr>
        <w:t xml:space="preserve">(713) 375-3535 </w:t>
      </w:r>
    </w:p>
    <w:p>
      <w:pPr>
        <w:pStyle w:val="TextBody"/>
        <w:spacing w:before="0" w:after="0"/>
        <w:jc w:val="center"/>
        <w:rPr>
          <w:rFonts w:ascii="ARIAL" w:hAnsi="ARIAL"/>
          <w:sz w:val="20"/>
        </w:rPr>
      </w:pPr>
      <w:r>
        <w:rPr>
          <w:rFonts w:ascii="ARIAL" w:hAnsi="ARIAL"/>
          <w:sz w:val="20"/>
        </w:rPr>
        <w:t xml:space="preserve">Attention: Investor Relations </w:t>
      </w:r>
    </w:p>
    <w:p>
      <w:pPr>
        <w:pStyle w:val="TextBody"/>
        <w:spacing w:before="240" w:after="0"/>
        <w:jc w:val="left"/>
        <w:rPr>
          <w:rFonts w:ascii="ARIAL" w:hAnsi="ARIAL"/>
          <w:sz w:val="20"/>
        </w:rPr>
      </w:pPr>
      <w:r>
        <w:rPr>
          <w:rFonts w:ascii="ARIAL" w:hAnsi="ARIAL"/>
          <w:sz w:val="20"/>
        </w:rPr>
        <w:t xml:space="preserve">Except as provided above, no other information (including information on our website) is incorporated by reference into this prospectus supplement and accompanying prospectus.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S-44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PROSPECTUS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136525" cy="819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36525" cy="81915"/>
                    </a:xfrm>
                    <a:prstGeom prst="rect">
                      <a:avLst/>
                    </a:prstGeom>
                  </pic:spPr>
                </pic:pic>
              </a:graphicData>
            </a:graphic>
          </wp:inline>
        </w:drawing>
      </w:r>
      <w:r>
        <w:rPr/>
        <w:t xml:space="preserve"> </w:t>
      </w:r>
    </w:p>
    <w:p>
      <w:pPr>
        <w:pStyle w:val="TextBody"/>
        <w:spacing w:before="240" w:after="0"/>
        <w:jc w:val="center"/>
        <w:rPr>
          <w:rFonts w:ascii="ARIAL" w:hAnsi="ARIAL"/>
          <w:b/>
          <w:sz w:val="48"/>
        </w:rPr>
      </w:pPr>
      <w:r>
        <w:rPr>
          <w:rFonts w:ascii="ARIAL" w:hAnsi="ARIAL"/>
          <w:b/>
          <w:sz w:val="48"/>
        </w:rPr>
        <w:t xml:space="preserve">Schlumberger Investment S.A. </w:t>
      </w:r>
    </w:p>
    <w:p>
      <w:pPr>
        <w:pStyle w:val="TextBody"/>
        <w:spacing w:before="240" w:after="0"/>
        <w:jc w:val="center"/>
        <w:rPr>
          <w:rFonts w:ascii="ARIAL" w:hAnsi="ARIAL"/>
          <w:b/>
          <w:sz w:val="28"/>
        </w:rPr>
      </w:pPr>
      <w:r>
        <w:rPr>
          <w:rFonts w:ascii="ARIAL" w:hAnsi="ARIAL"/>
          <w:b/>
          <w:sz w:val="28"/>
        </w:rPr>
        <w:t xml:space="preserve">Senior Debt Securities </w:t>
      </w:r>
    </w:p>
    <w:p>
      <w:pPr>
        <w:pStyle w:val="TextBody"/>
        <w:spacing w:before="0" w:after="0"/>
        <w:jc w:val="center"/>
        <w:rPr>
          <w:rFonts w:ascii="ARIAL" w:hAnsi="ARIAL"/>
          <w:b/>
          <w:sz w:val="28"/>
        </w:rPr>
      </w:pPr>
      <w:r>
        <w:rPr>
          <w:rFonts w:ascii="ARIAL" w:hAnsi="ARIAL"/>
          <w:b/>
          <w:sz w:val="28"/>
        </w:rPr>
        <w:t xml:space="preserve">Fully and Unconditionally Guaranteed by </w:t>
      </w:r>
    </w:p>
    <w:p>
      <w:pPr>
        <w:pStyle w:val="TextBody"/>
        <w:spacing w:before="0" w:after="0"/>
        <w:jc w:val="center"/>
        <w:rPr>
          <w:rFonts w:ascii="ARIAL" w:hAnsi="ARIAL"/>
          <w:b/>
          <w:sz w:val="28"/>
        </w:rPr>
      </w:pPr>
      <w:r>
        <w:rPr>
          <w:rFonts w:ascii="ARIAL" w:hAnsi="ARIAL"/>
          <w:b/>
          <w:sz w:val="28"/>
        </w:rPr>
        <w:t xml:space="preserve">Schlumberger Limited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ARIAL" w:hAnsi="ARIAL"/>
          <w:sz w:val="20"/>
        </w:rPr>
      </w:pPr>
      <w:r>
        <w:rPr>
          <w:rFonts w:ascii="ARIAL" w:hAnsi="ARIAL"/>
          <w:sz w:val="20"/>
        </w:rPr>
        <w:t>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office located at 5, Place de la Gare, L-1616 Luxembourg, Grand Duchy of Luxembourg, and registered with the Luxembourg Trade and Companies Register (</w:t>
      </w:r>
      <w:r>
        <w:rPr>
          <w:rFonts w:ascii="ARIAL" w:hAnsi="ARIAL"/>
          <w:i/>
          <w:sz w:val="20"/>
        </w:rPr>
        <w:t>Registre de Commerce et des Sociétés</w:t>
      </w:r>
      <w:r>
        <w:rPr>
          <w:rFonts w:ascii="ARIAL" w:hAnsi="ARIAL"/>
          <w:sz w:val="20"/>
        </w:rPr>
        <w:t xml:space="preserve">) under number B 163.122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 </w:t>
      </w:r>
    </w:p>
    <w:p>
      <w:pPr>
        <w:pStyle w:val="TextBody"/>
        <w:spacing w:before="240" w:after="0"/>
        <w:jc w:val="left"/>
        <w:rPr/>
      </w:pPr>
      <w:r>
        <w:rPr>
          <w:rFonts w:ascii="ARIAL" w:hAnsi="ARIAL"/>
          <w:b/>
          <w:sz w:val="24"/>
        </w:rPr>
        <w:t>Investing in the securities involves risks. You should carefully consider the information in the </w:t>
      </w:r>
      <w:hyperlink w:anchor="toc410295_5">
        <w:r>
          <w:rPr>
            <w:rStyle w:val="InternetLink"/>
            <w:rFonts w:ascii="ARIAL" w:hAnsi="ARIAL"/>
            <w:b/>
            <w:sz w:val="24"/>
          </w:rPr>
          <w:t xml:space="preserve">Risk Factors </w:t>
        </w:r>
      </w:hyperlink>
      <w:r>
        <w:rPr>
          <w:rFonts w:ascii="ARIAL" w:hAnsi="ARIAL"/>
          <w:b/>
          <w:sz w:val="24"/>
        </w:rPr>
        <w:t xml:space="preserve"> section beginning on page 5 of this prospectus, including those risks incorporated by reference in this prospectus and in any prospectus supplement, before deciding whether to invest in the offered securities.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ARIAL" w:hAnsi="ARIAL"/>
          <w:b/>
          <w:i/>
          <w:sz w:val="20"/>
        </w:rPr>
      </w:pPr>
      <w:r>
        <w:rPr>
          <w:rFonts w:ascii="ARIAL" w:hAnsi="ARIAL"/>
          <w:b/>
          <w:i/>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spacing w:before="360" w:after="0"/>
        <w:jc w:val="left"/>
        <w:rPr>
          <w:rFonts w:ascii="ARIAL" w:hAnsi="ARIAL"/>
          <w:b/>
          <w:i/>
          <w:sz w:val="20"/>
        </w:rPr>
      </w:pPr>
      <w:r>
        <w:rPr>
          <w:rFonts w:ascii="ARIAL" w:hAnsi="ARIAL"/>
          <w:b/>
          <w:i/>
          <w:sz w:val="20"/>
        </w:rPr>
        <w:t xml:space="preserve">This prospectus may not be used to sell securities unless accompanied by a prospectus supplement.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ARIAL" w:hAnsi="ARIAL"/>
          <w:b/>
          <w:sz w:val="20"/>
        </w:rPr>
      </w:pPr>
      <w:r>
        <w:rPr>
          <w:rFonts w:ascii="ARIAL" w:hAnsi="ARIAL"/>
          <w:b/>
          <w:sz w:val="20"/>
        </w:rPr>
        <w:t xml:space="preserve">The date of this prospectus is May 8,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6" w:name="toc1"/>
      <w:bookmarkEnd w:id="16"/>
      <w:r>
        <w:rPr>
          <w:rFonts w:ascii="ARIAL" w:hAnsi="ARIAL"/>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58"/>
        <w:gridCol w:w="259"/>
        <w:gridCol w:w="60"/>
        <w:gridCol w:w="265"/>
        <w:gridCol w:w="63"/>
      </w:tblGrid>
      <w:tr>
        <w:trPr/>
        <w:tc>
          <w:tcPr>
            <w:tcW w:w="95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558" w:type="dxa"/>
            <w:tcBorders/>
            <w:shd w:fill="auto" w:val="clear"/>
          </w:tcPr>
          <w:p>
            <w:pPr>
              <w:pStyle w:val="TableContents"/>
              <w:spacing w:before="0" w:after="0"/>
              <w:rPr/>
            </w:pPr>
            <w:hyperlink w:anchor="toc410295_1">
              <w:r>
                <w:rPr>
                  <w:rStyle w:val="InternetLink"/>
                  <w:rFonts w:ascii="ARIAL" w:hAnsi="ARIAL"/>
                  <w:sz w:val="20"/>
                </w:rPr>
                <w:t>About this Prospectus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2">
              <w:r>
                <w:rPr>
                  <w:rStyle w:val="InternetLink"/>
                  <w:rFonts w:ascii="ARIAL" w:hAnsi="ARIAL"/>
                  <w:sz w:val="20"/>
                </w:rPr>
                <w:t>About the Guarantor</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3">
              <w:r>
                <w:rPr>
                  <w:rStyle w:val="InternetLink"/>
                  <w:rFonts w:ascii="ARIAL" w:hAnsi="ARIAL"/>
                  <w:sz w:val="20"/>
                </w:rPr>
                <w:t>About the Company</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4">
              <w:r>
                <w:rPr>
                  <w:rStyle w:val="InternetLink"/>
                  <w:rFonts w:ascii="ARIAL" w:hAnsi="ARIAL"/>
                  <w:sz w:val="20"/>
                </w:rPr>
                <w:t>Cautionary Statement Regarding Forward-Looking Statements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5">
              <w:r>
                <w:rPr>
                  <w:rStyle w:val="InternetLink"/>
                  <w:rFonts w:ascii="ARIAL" w:hAnsi="ARIAL"/>
                  <w:sz w:val="20"/>
                </w:rPr>
                <w:t>Risk Factors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6">
              <w:r>
                <w:rPr>
                  <w:rStyle w:val="InternetLink"/>
                  <w:rFonts w:ascii="ARIAL" w:hAnsi="ARIAL"/>
                  <w:sz w:val="20"/>
                </w:rPr>
                <w:t>Where You Can Find More Information</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7">
              <w:r>
                <w:rPr>
                  <w:rStyle w:val="InternetLink"/>
                  <w:rFonts w:ascii="ARIAL" w:hAnsi="ARIAL"/>
                  <w:sz w:val="20"/>
                </w:rPr>
                <w:t>Incorporation of Documents by Reference</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8">
              <w:r>
                <w:rPr>
                  <w:rStyle w:val="InternetLink"/>
                  <w:rFonts w:ascii="ARIAL" w:hAnsi="ARIAL"/>
                  <w:sz w:val="20"/>
                </w:rPr>
                <w:t>Use of Proceeds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9">
              <w:r>
                <w:rPr>
                  <w:rStyle w:val="InternetLink"/>
                  <w:rFonts w:ascii="ARIAL" w:hAnsi="ARIAL"/>
                  <w:sz w:val="20"/>
                </w:rPr>
                <w:t>Description of Debt Securities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10">
              <w:r>
                <w:rPr>
                  <w:rStyle w:val="InternetLink"/>
                  <w:rFonts w:ascii="ARIAL" w:hAnsi="ARIAL"/>
                  <w:sz w:val="20"/>
                </w:rPr>
                <w:t>Plan of Distribution</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11">
              <w:r>
                <w:rPr>
                  <w:rStyle w:val="InternetLink"/>
                  <w:rFonts w:ascii="ARIAL" w:hAnsi="ARIAL"/>
                  <w:sz w:val="20"/>
                </w:rPr>
                <w:t>Validity of the Securities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558" w:type="dxa"/>
            <w:tcBorders/>
            <w:shd w:fill="auto" w:val="clear"/>
          </w:tcPr>
          <w:p>
            <w:pPr>
              <w:pStyle w:val="TableContents"/>
              <w:spacing w:before="0" w:after="0"/>
              <w:rPr/>
            </w:pPr>
            <w:hyperlink w:anchor="toc410295_12">
              <w:r>
                <w:rPr>
                  <w:rStyle w:val="InternetLink"/>
                  <w:rFonts w:ascii="ARIAL" w:hAnsi="ARIAL"/>
                  <w:sz w:val="20"/>
                </w:rPr>
                <w:t>Experts</w:t>
              </w:r>
            </w:hyperlink>
          </w:p>
        </w:tc>
        <w:tc>
          <w:tcPr>
            <w:tcW w:w="25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ARIAL" w:hAnsi="ARIAL"/>
          <w:sz w:val="20"/>
        </w:rPr>
      </w:pPr>
      <w:r>
        <w:rPr>
          <w:rFonts w:ascii="ARIAL" w:hAnsi="ARIAL"/>
          <w:sz w:val="20"/>
        </w:rPr>
        <w:t xml:space="preserve">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 </w:t>
      </w:r>
    </w:p>
    <w:p>
      <w:pPr>
        <w:pStyle w:val="TextBody"/>
        <w:spacing w:before="240" w:after="0"/>
        <w:jc w:val="left"/>
        <w:rPr>
          <w:rFonts w:ascii="ARIAL" w:hAnsi="ARIAL"/>
          <w:sz w:val="20"/>
        </w:rPr>
      </w:pPr>
      <w:r>
        <w:rPr>
          <w:rFonts w:ascii="ARIAL" w:hAnsi="ARIAL"/>
          <w:sz w:val="20"/>
        </w:rPr>
        <w:t xml:space="preserve">As used in this prospectus, unless otherwise stated or the context otherwise requires: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the Company refers to Schlumberger Investment S.A., as defined on the first page of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the Guarantor refers to Schlumberger Limited, the ultimate parent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the SLB Group refers to Schlumberger Limited and its consolidated subsidiaries, including the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we, us and our and similar expressions refer to the SLB Group, including the Company, except when used in connection with securities, in which case these terms refer only to the Company.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7" w:name="toc410295_1"/>
      <w:bookmarkEnd w:id="17"/>
      <w:r>
        <w:rPr>
          <w:rFonts w:ascii="ARIAL" w:hAnsi="ARIAL"/>
          <w:b/>
          <w:sz w:val="20"/>
        </w:rPr>
        <w:t xml:space="preserve">About this Prospectus </w:t>
      </w:r>
    </w:p>
    <w:p>
      <w:pPr>
        <w:pStyle w:val="TextBody"/>
        <w:spacing w:before="240" w:after="0"/>
        <w:jc w:val="left"/>
        <w:rPr>
          <w:rFonts w:ascii="ARIAL" w:hAnsi="ARIAL"/>
          <w:sz w:val="20"/>
        </w:rPr>
      </w:pPr>
      <w:r>
        <w:rPr>
          <w:rFonts w:ascii="ARIAL" w:hAnsi="ARIAL"/>
          <w:sz w:val="20"/>
        </w:rPr>
        <w:t xml:space="preserve">This prospectus is part of an automatic shelf registration statement that we have filed with the SEC as a well-known seasoned issuer as defined in Rule 405 under the Securities Act of 1933, as amended (the Securities Act). </w:t>
      </w:r>
    </w:p>
    <w:p>
      <w:pPr>
        <w:pStyle w:val="TextBody"/>
        <w:spacing w:before="240" w:after="0"/>
        <w:jc w:val="left"/>
        <w:rPr>
          <w:rFonts w:ascii="ARIAL" w:hAnsi="ARIAL"/>
          <w:sz w:val="20"/>
        </w:rPr>
      </w:pPr>
      <w:r>
        <w:rPr>
          <w:rFonts w:ascii="ARIAL" w:hAnsi="ARIAL"/>
          <w:sz w:val="20"/>
        </w:rPr>
        <w:t xml:space="preserve">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spacing w:before="240" w:after="0"/>
        <w:jc w:val="left"/>
        <w:rPr>
          <w:rFonts w:ascii="ARIAL" w:hAnsi="ARIAL"/>
          <w:sz w:val="20"/>
        </w:rPr>
      </w:pPr>
      <w:r>
        <w:rPr>
          <w:rFonts w:ascii="ARIAL" w:hAnsi="ARIAL"/>
          <w:sz w:val="20"/>
        </w:rPr>
        <w:t xml:space="preserve">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 </w:t>
      </w:r>
    </w:p>
    <w:p>
      <w:pPr>
        <w:pStyle w:val="TextBody"/>
        <w:spacing w:before="240" w:after="0"/>
        <w:jc w:val="left"/>
        <w:rPr>
          <w:rFonts w:ascii="ARIAL" w:hAnsi="ARIAL"/>
          <w:sz w:val="20"/>
        </w:rPr>
      </w:pPr>
      <w:r>
        <w:rPr>
          <w:rFonts w:ascii="ARIAL" w:hAnsi="ARIAL"/>
          <w:sz w:val="20"/>
        </w:rPr>
        <w:t xml:space="preserve">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SLB Group and Schlumberger Limiteds financial statements. You can read the registration statement and exhibits on the SECs website or at the SEC as described under Where You Can Find More Information. </w:t>
      </w:r>
    </w:p>
    <w:p>
      <w:pPr>
        <w:pStyle w:val="TextBody"/>
        <w:spacing w:before="480" w:after="0"/>
        <w:jc w:val="center"/>
        <w:rPr>
          <w:rFonts w:ascii="ARIAL" w:hAnsi="ARIAL"/>
          <w:b/>
          <w:sz w:val="20"/>
        </w:rPr>
      </w:pPr>
      <w:bookmarkStart w:id="18" w:name="toc410295_2"/>
      <w:bookmarkEnd w:id="18"/>
      <w:r>
        <w:rPr>
          <w:rFonts w:ascii="ARIAL" w:hAnsi="ARIAL"/>
          <w:b/>
          <w:sz w:val="20"/>
        </w:rPr>
        <w:t xml:space="preserve">About the Guarantor </w:t>
      </w:r>
    </w:p>
    <w:p>
      <w:pPr>
        <w:pStyle w:val="TextBody"/>
        <w:spacing w:before="240" w:after="0"/>
        <w:jc w:val="left"/>
        <w:rPr>
          <w:rFonts w:ascii="ARIAL" w:hAnsi="ARIAL"/>
          <w:sz w:val="20"/>
        </w:rPr>
      </w:pPr>
      <w:r>
        <w:rPr>
          <w:rFonts w:ascii="ARIAL" w:hAnsi="ARIAL"/>
          <w:sz w:val="20"/>
        </w:rPr>
        <w:t xml:space="preserve">Schlumberger Limited, together with its subsidiaries, form a global technology company focused on driving energy innovation for a balanced planet. With a global presence in more than 100 countries and employees representing almost twice as many nationalities, the SLB Group works each day on innovating oil and gas, delivering digital at scale, decarbonizing industries, and developing and scaling new energy systems that accelerate the energy transition. </w:t>
      </w:r>
    </w:p>
    <w:p>
      <w:pPr>
        <w:pStyle w:val="TextBody"/>
        <w:spacing w:before="240" w:after="0"/>
        <w:jc w:val="left"/>
        <w:rPr>
          <w:rFonts w:ascii="ARIAL" w:hAnsi="ARIAL"/>
          <w:sz w:val="20"/>
        </w:rPr>
      </w:pPr>
      <w:r>
        <w:rPr>
          <w:rFonts w:ascii="ARIAL" w:hAnsi="ARIAL"/>
          <w:sz w:val="20"/>
        </w:rPr>
        <w:t xml:space="preserve">The Guarantor was founded in 1926 and is incorporated under the laws of Curaçao. The Guarantor is the ultimate parent of the Company. </w:t>
      </w:r>
    </w:p>
    <w:p>
      <w:pPr>
        <w:pStyle w:val="TextBody"/>
        <w:spacing w:before="240" w:after="0"/>
        <w:jc w:val="left"/>
        <w:rPr>
          <w:rFonts w:ascii="ARIAL" w:hAnsi="ARIAL"/>
          <w:sz w:val="20"/>
        </w:rPr>
      </w:pPr>
      <w:r>
        <w:rPr>
          <w:rFonts w:ascii="ARIAL" w:hAnsi="ARIAL"/>
          <w:sz w:val="20"/>
        </w:rPr>
        <w:t xml:space="preserve">The Guarantor has principal executive offices in Paris, Houston, London and The Hague. The principal U.S. market for the Guarantors common stock is the New York Stock Exchange, where it is traded under the symbol SLB.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19" w:name="toc410295_3"/>
      <w:bookmarkEnd w:id="19"/>
      <w:r>
        <w:rPr>
          <w:rFonts w:ascii="ARIAL" w:hAnsi="ARIAL"/>
          <w:b/>
          <w:sz w:val="20"/>
        </w:rPr>
        <w:t xml:space="preserve">About the Company </w:t>
      </w:r>
    </w:p>
    <w:p>
      <w:pPr>
        <w:pStyle w:val="TextBody"/>
        <w:spacing w:before="240" w:after="0"/>
        <w:jc w:val="left"/>
        <w:rPr>
          <w:rFonts w:ascii="ARIAL" w:hAnsi="ARIAL"/>
          <w:sz w:val="20"/>
        </w:rPr>
      </w:pPr>
      <w:r>
        <w:rPr>
          <w:rFonts w:ascii="ARIAL" w:hAnsi="ARIAL"/>
          <w:sz w:val="20"/>
        </w:rPr>
        <w:t>Schlumberger Investment S.A. is a public limited liability company (</w:t>
      </w:r>
      <w:r>
        <w:rPr>
          <w:rFonts w:ascii="ARIAL" w:hAnsi="ARIAL"/>
          <w:i/>
          <w:sz w:val="20"/>
        </w:rPr>
        <w:t>société</w:t>
      </w:r>
      <w:r>
        <w:rPr>
          <w:rFonts w:ascii="ARIAL" w:hAnsi="ARIAL"/>
          <w:sz w:val="20"/>
        </w:rPr>
        <w:t xml:space="preserve"> </w:t>
      </w:r>
      <w:r>
        <w:rPr>
          <w:rFonts w:ascii="ARIAL" w:hAnsi="ARIAL"/>
          <w:i/>
          <w:sz w:val="20"/>
        </w:rPr>
        <w:t>anonyme</w:t>
      </w:r>
      <w:r>
        <w:rPr>
          <w:rFonts w:ascii="ARIAL" w:hAnsi="ARIAL"/>
          <w:sz w:val="20"/>
        </w:rPr>
        <w:t>) incorporated in 2011 under the laws of the Grand Duchy of Luxembourg (Luxembourg) and registered with the Luxembourg Trade and Companies Register (</w:t>
      </w:r>
      <w:r>
        <w:rPr>
          <w:rFonts w:ascii="ARIAL" w:hAnsi="ARIAL"/>
          <w:i/>
          <w:sz w:val="20"/>
        </w:rPr>
        <w:t>Registre de</w:t>
      </w:r>
      <w:r>
        <w:rPr>
          <w:rFonts w:ascii="ARIAL" w:hAnsi="ARIAL"/>
          <w:sz w:val="20"/>
        </w:rPr>
        <w:t xml:space="preserve"> </w:t>
      </w:r>
      <w:r>
        <w:rPr>
          <w:rFonts w:ascii="ARIAL" w:hAnsi="ARIAL"/>
          <w:i/>
          <w:sz w:val="20"/>
        </w:rPr>
        <w:t>Commerce</w:t>
      </w:r>
      <w:r>
        <w:rPr>
          <w:rFonts w:ascii="ARIAL" w:hAnsi="ARIAL"/>
          <w:sz w:val="20"/>
        </w:rPr>
        <w:t xml:space="preserve"> </w:t>
      </w:r>
      <w:r>
        <w:rPr>
          <w:rFonts w:ascii="ARIAL" w:hAnsi="ARIAL"/>
          <w:i/>
          <w:sz w:val="20"/>
        </w:rPr>
        <w:t>et</w:t>
      </w:r>
      <w:r>
        <w:rPr>
          <w:rFonts w:ascii="ARIAL" w:hAnsi="ARIAL"/>
          <w:sz w:val="20"/>
        </w:rPr>
        <w:t xml:space="preserve"> </w:t>
      </w:r>
      <w:r>
        <w:rPr>
          <w:rFonts w:ascii="ARIAL" w:hAnsi="ARIAL"/>
          <w:i/>
          <w:sz w:val="20"/>
        </w:rPr>
        <w:t>des</w:t>
      </w:r>
      <w:r>
        <w:rPr>
          <w:rFonts w:ascii="ARIAL" w:hAnsi="ARIAL"/>
          <w:sz w:val="20"/>
        </w:rPr>
        <w:t xml:space="preserve"> </w:t>
      </w:r>
      <w:r>
        <w:rPr>
          <w:rFonts w:ascii="ARIAL" w:hAnsi="ARIAL"/>
          <w:i/>
          <w:sz w:val="20"/>
        </w:rPr>
        <w:t>Sociétés</w:t>
      </w:r>
      <w:r>
        <w:rPr>
          <w:rFonts w:ascii="ARIAL" w:hAnsi="ARIAL"/>
          <w:sz w:val="20"/>
        </w:rPr>
        <w:t xml:space="preserve">) under number B 163.122. The Company has no subsidiaries, and its principal activities are debt issuance and intercompany group financing. The Company is part of the SLB Group and all shares of the Company are owned indirectly by the Guarantor.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0" w:name="toc410295_4"/>
      <w:bookmarkEnd w:id="20"/>
      <w:r>
        <w:rPr>
          <w:rFonts w:ascii="ARIAL" w:hAnsi="ARIAL"/>
          <w:b/>
          <w:sz w:val="20"/>
        </w:rPr>
        <w:t xml:space="preserve">Cautionary Statement Regarding Forward-Looking Statements </w:t>
      </w:r>
    </w:p>
    <w:p>
      <w:pPr>
        <w:pStyle w:val="TextBody"/>
        <w:spacing w:before="240" w:after="0"/>
        <w:jc w:val="left"/>
        <w:rPr>
          <w:rFonts w:ascii="ARIAL" w:hAnsi="ARIAL"/>
          <w:sz w:val="20"/>
        </w:rPr>
      </w:pPr>
      <w:r>
        <w:rPr>
          <w:rFonts w:ascii="ARIAL" w:hAnsi="ARIAL"/>
          <w:sz w:val="20"/>
        </w:rPr>
        <w:t xml:space="preserve">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 </w:t>
      </w:r>
    </w:p>
    <w:p>
      <w:pPr>
        <w:pStyle w:val="TextBody"/>
        <w:spacing w:before="240" w:after="0"/>
        <w:jc w:val="left"/>
        <w:rPr>
          <w:rFonts w:ascii="ARIAL" w:hAnsi="ARIAL"/>
          <w:sz w:val="20"/>
        </w:rPr>
      </w:pPr>
      <w:r>
        <w:rPr>
          <w:rFonts w:ascii="ARIAL" w:hAnsi="ARIAL"/>
          <w:sz w:val="20"/>
        </w:rPr>
        <w:t xml:space="preserve">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SLB Groups financial and performance targets and other forecasts or expectations regarding, or dependent on, its business outlook;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growth for the SLB Group as a whole and for each of its Divisions (and for specified business lines, geographic areas or technologies within each Division);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oil and natural gas demand and production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oil and natural gas prices;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forecasts or expectations regarding energy transition and global climate 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improvements in operating procedures and technology;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capital expenditures by the SLB Group and the oil and gas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business strategies of the SLB Group, including digital and fit for basin, as well as the strategies of its customers;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SLB Groups effective tax 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SLB Groups Asset Performance Solutions projects, joint ventures, and other alliances;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SLB Groups response to the COVID-19 pandemic and its preparedness for other widespread health emergencies;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impact of the ongoing conflict in Ukraine on global energy supply;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access to raw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future global economic and geopolitical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future liquidity, including free cash flow;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future results of operations, such as margin levels. </w:t>
            </w:r>
          </w:p>
        </w:tc>
      </w:tr>
    </w:tbl>
    <w:p>
      <w:pPr>
        <w:pStyle w:val="TextBody"/>
        <w:spacing w:before="240" w:after="0"/>
        <w:jc w:val="left"/>
        <w:rPr>
          <w:rFonts w:ascii="ARIAL" w:hAnsi="ARIAL"/>
          <w:sz w:val="20"/>
        </w:rPr>
      </w:pPr>
      <w:r>
        <w:rPr>
          <w:rFonts w:ascii="ARIAL" w:hAnsi="ARIAL"/>
          <w:sz w:val="20"/>
        </w:rPr>
        <w:t xml:space="preserve">These statements are subject to risks and uncertainties, including, but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changing global economic and geopolitical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changes in exploration and production spending by the SLB Groups customers, and changes in the level of oil and natural gas exploration and development;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results of operations and financial condition of the SLB Groups customers and suppliers;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SLB Groups inability to achieve its financial and performance targets and other forecasts and expectations;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SLB Groups inability to achieve its net-zero carbon emissions goals or interim emissions reduction goals;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general economic, geopolitical and business conditions in key regions of the world;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ongoing conflict in Ukraine;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foreign currency risk;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inflation;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changes in monetary policy by governments;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pricing pressure;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weather and seasonal factors;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unfavorable effects of health pandemics;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availability and cost of raw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operational modifications, delays or cancellations;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challenges in the SLB Groups supply chain;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production declines;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extent of future charges;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the SLB Groups inability to recognize efficiencies and other intended benefits from its business strategies and initiatives, such as digital or new energy, as well as its cost reduction strategies;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changes in government regulations and regulatory requirements, including those related to offshore oil and gas exploration, radioactive sources, explosives, chemicals and climate-related initiatives;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inability of technology to meet new challenges in exploration;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the competitiveness of alternative energy sources or product substitutes;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other risks and uncertainties detailed in the Guarantors filings with the SEC. </w:t>
            </w:r>
          </w:p>
        </w:tc>
      </w:tr>
    </w:tbl>
    <w:p>
      <w:pPr>
        <w:pStyle w:val="TextBody"/>
        <w:spacing w:before="240" w:after="0"/>
        <w:jc w:val="left"/>
        <w:rPr>
          <w:rFonts w:ascii="ARIAL" w:hAnsi="ARIAL"/>
          <w:sz w:val="20"/>
        </w:rPr>
      </w:pPr>
      <w:r>
        <w:rPr>
          <w:rFonts w:ascii="ARIAL" w:hAnsi="ARIAL"/>
          <w:sz w:val="20"/>
        </w:rPr>
        <w:t xml:space="preserve">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1" w:name="toc410295_5"/>
      <w:bookmarkEnd w:id="21"/>
      <w:r>
        <w:rPr>
          <w:rFonts w:ascii="ARIAL" w:hAnsi="ARIAL"/>
          <w:b/>
          <w:sz w:val="20"/>
        </w:rPr>
        <w:t xml:space="preserve">Risk Factors </w:t>
      </w:r>
    </w:p>
    <w:p>
      <w:pPr>
        <w:pStyle w:val="TextBody"/>
        <w:spacing w:before="240" w:after="0"/>
        <w:jc w:val="left"/>
        <w:rPr>
          <w:rFonts w:ascii="ARIAL" w:hAnsi="ARIAL"/>
          <w:sz w:val="20"/>
        </w:rPr>
      </w:pPr>
      <w:r>
        <w:rPr>
          <w:rFonts w:ascii="ARIAL" w:hAnsi="ARIAL"/>
          <w:sz w:val="20"/>
        </w:rPr>
        <w:t xml:space="preserve">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2022 and the Guarantors Quarterly Report on Form 10-Q for the fiscal quarter ended March 31, 2023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 </w:t>
      </w:r>
    </w:p>
    <w:p>
      <w:pPr>
        <w:pStyle w:val="TextBody"/>
        <w:spacing w:before="480" w:after="0"/>
        <w:jc w:val="center"/>
        <w:rPr>
          <w:rFonts w:ascii="ARIAL" w:hAnsi="ARIAL"/>
          <w:b/>
          <w:sz w:val="20"/>
        </w:rPr>
      </w:pPr>
      <w:bookmarkStart w:id="22" w:name="toc410295_6"/>
      <w:bookmarkEnd w:id="22"/>
      <w:r>
        <w:rPr>
          <w:rFonts w:ascii="ARIAL" w:hAnsi="ARIAL"/>
          <w:b/>
          <w:sz w:val="20"/>
        </w:rPr>
        <w:t xml:space="preserve">Where You Can Find More Information </w:t>
      </w:r>
    </w:p>
    <w:p>
      <w:pPr>
        <w:pStyle w:val="TextBody"/>
        <w:spacing w:before="240" w:after="0"/>
        <w:jc w:val="left"/>
        <w:rPr>
          <w:rFonts w:ascii="ARIAL" w:hAnsi="ARIAL"/>
          <w:sz w:val="20"/>
        </w:rPr>
      </w:pPr>
      <w:r>
        <w:rPr>
          <w:rFonts w:ascii="ARIAL" w:hAnsi="ARIAL"/>
          <w:sz w:val="20"/>
        </w:rPr>
        <w:t xml:space="preserve">The Guarantor files annual, quarterly and current reports, proxy statements and other information with the SEC. You may read and download its filings over the Internet from several commercial document retrieval services, as well as at the SECs website at www.sec.gov. </w:t>
      </w:r>
    </w:p>
    <w:p>
      <w:pPr>
        <w:pStyle w:val="TextBody"/>
        <w:spacing w:before="240" w:after="0"/>
        <w:jc w:val="left"/>
        <w:rPr>
          <w:rFonts w:ascii="ARIAL" w:hAnsi="ARIAL"/>
          <w:sz w:val="20"/>
        </w:rPr>
      </w:pPr>
      <w:r>
        <w:rPr>
          <w:rFonts w:ascii="ARIAL" w:hAnsi="ARIAL"/>
          <w:sz w:val="20"/>
        </w:rPr>
        <w:t xml:space="preserve">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 </w:t>
      </w:r>
    </w:p>
    <w:p>
      <w:pPr>
        <w:pStyle w:val="TextBody"/>
        <w:spacing w:before="240" w:after="0"/>
        <w:jc w:val="left"/>
        <w:rPr>
          <w:rFonts w:ascii="ARIAL" w:hAnsi="ARIAL"/>
          <w:sz w:val="20"/>
        </w:rPr>
      </w:pPr>
      <w:r>
        <w:rPr>
          <w:rFonts w:ascii="ARIAL" w:hAnsi="ARIAL"/>
          <w:sz w:val="20"/>
        </w:rPr>
        <w:t xml:space="preserve">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 </w:t>
      </w:r>
    </w:p>
    <w:p>
      <w:pPr>
        <w:pStyle w:val="TextBody"/>
        <w:spacing w:before="480" w:after="0"/>
        <w:jc w:val="center"/>
        <w:rPr>
          <w:rFonts w:ascii="ARIAL" w:hAnsi="ARIAL"/>
          <w:b/>
          <w:sz w:val="20"/>
        </w:rPr>
      </w:pPr>
      <w:bookmarkStart w:id="23" w:name="toc410295_7"/>
      <w:bookmarkEnd w:id="23"/>
      <w:r>
        <w:rPr>
          <w:rFonts w:ascii="ARIAL" w:hAnsi="ARIAL"/>
          <w:b/>
          <w:sz w:val="20"/>
        </w:rPr>
        <w:t xml:space="preserve">Incorporation of Documents by Reference </w:t>
      </w:r>
    </w:p>
    <w:p>
      <w:pPr>
        <w:pStyle w:val="TextBody"/>
        <w:spacing w:before="240" w:after="0"/>
        <w:jc w:val="left"/>
        <w:rPr>
          <w:rFonts w:ascii="ARIAL" w:hAnsi="ARIAL"/>
          <w:sz w:val="20"/>
        </w:rPr>
      </w:pPr>
      <w:r>
        <w:rPr>
          <w:rFonts w:ascii="ARIAL" w:hAnsi="ARIAL"/>
          <w:sz w:val="20"/>
        </w:rPr>
        <w:t xml:space="preserve">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SLB Group and its financial condition, business and results. </w:t>
      </w:r>
    </w:p>
    <w:p>
      <w:pPr>
        <w:pStyle w:val="TextBody"/>
        <w:spacing w:before="240" w:after="0"/>
        <w:jc w:val="left"/>
        <w:rPr>
          <w:rFonts w:ascii="ARIAL" w:hAnsi="ARIAL"/>
          <w:sz w:val="20"/>
        </w:rPr>
      </w:pPr>
      <w:r>
        <w:rPr>
          <w:rFonts w:ascii="ARIAL" w:hAnsi="ARIAL"/>
          <w:sz w:val="20"/>
        </w:rPr>
        <w:t xml:space="preserve">We are incorporating by reference into this prospectus the following documents listed below and any other filings made by the Guarantor under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ARIAL" w:hAnsi="ARIAL"/>
                <w:sz w:val="20"/>
              </w:rPr>
              <w:t xml:space="preserve">the Guarantors </w:t>
            </w:r>
            <w:hyperlink r:id="rId10">
              <w:r>
                <w:rPr>
                  <w:rStyle w:val="InternetLink"/>
                  <w:rFonts w:ascii="ARIAL" w:hAnsi="ARIAL"/>
                  <w:sz w:val="20"/>
                </w:rPr>
                <w:t>Annual Report on Form 10-K for the fiscal year ended December 31, 2022</w:t>
              </w:r>
            </w:hyperlink>
            <w:r>
              <w:rPr>
                <w:rFonts w:ascii="ARIAL" w:hAnsi="ARIAL"/>
                <w:sz w:val="20"/>
              </w:rPr>
              <w:t xml:space="preserve">, as filed with the SEC on January  25, 2023 (including the </w:t>
            </w:r>
            <w:hyperlink r:id="rId11">
              <w:r>
                <w:rPr>
                  <w:rStyle w:val="InternetLink"/>
                  <w:rFonts w:ascii="ARIAL" w:hAnsi="ARIAL"/>
                  <w:sz w:val="20"/>
                </w:rPr>
                <w:t>portions of our proxy statement for our 2023 annual meeting of shareholders</w:t>
              </w:r>
            </w:hyperlink>
            <w:r>
              <w:rPr>
                <w:rFonts w:ascii="ARIAL" w:hAnsi="ARIAL"/>
                <w:sz w:val="20"/>
              </w:rPr>
              <w:t xml:space="preserve"> incorporated by reference therein);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ARIAL" w:hAnsi="ARIAL"/>
                <w:sz w:val="20"/>
              </w:rPr>
              <w:t xml:space="preserve">the Guarantors Quarterly Report on Form 10-Q for the fiscal quarter ended </w:t>
            </w:r>
            <w:hyperlink r:id="rId12">
              <w:r>
                <w:rPr>
                  <w:rStyle w:val="InternetLink"/>
                  <w:rFonts w:ascii="ARIAL" w:hAnsi="ARIAL"/>
                  <w:sz w:val="20"/>
                </w:rPr>
                <w:t>March 31, 2023</w:t>
              </w:r>
            </w:hyperlink>
            <w:r>
              <w:rPr>
                <w:rFonts w:ascii="ARIAL" w:hAnsi="ARIAL"/>
                <w:sz w:val="20"/>
              </w:rPr>
              <w:t xml:space="preserve">, as filed with the SEC on April 26, 2023; and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ARIAL" w:hAnsi="ARIAL"/>
                <w:sz w:val="20"/>
              </w:rPr>
              <w:t xml:space="preserve">the Guarantors Current Reports on Form 8-K as filed with the SEC on </w:t>
            </w:r>
            <w:hyperlink r:id="rId13">
              <w:r>
                <w:rPr>
                  <w:rStyle w:val="InternetLink"/>
                  <w:rFonts w:ascii="ARIAL" w:hAnsi="ARIAL"/>
                  <w:sz w:val="20"/>
                </w:rPr>
                <w:t>April  6, 2023</w:t>
              </w:r>
            </w:hyperlink>
            <w:r>
              <w:rPr>
                <w:rFonts w:ascii="ARIAL" w:hAnsi="ARIAL"/>
                <w:sz w:val="20"/>
              </w:rPr>
              <w:t xml:space="preserve">, </w:t>
            </w:r>
            <w:hyperlink r:id="rId14">
              <w:r>
                <w:rPr>
                  <w:rStyle w:val="InternetLink"/>
                  <w:rFonts w:ascii="ARIAL" w:hAnsi="ARIAL"/>
                  <w:sz w:val="20"/>
                </w:rPr>
                <w:t>April  17, 2023</w:t>
              </w:r>
            </w:hyperlink>
            <w:r>
              <w:rPr>
                <w:rFonts w:ascii="ARIAL" w:hAnsi="ARIAL"/>
                <w:sz w:val="20"/>
              </w:rPr>
              <w:t xml:space="preserve">, and </w:t>
            </w:r>
            <w:hyperlink r:id="rId15">
              <w:r>
                <w:rPr>
                  <w:rStyle w:val="InternetLink"/>
                  <w:rFonts w:ascii="ARIAL" w:hAnsi="ARIAL"/>
                  <w:sz w:val="20"/>
                </w:rPr>
                <w:t>April 21, 2023</w:t>
              </w:r>
            </w:hyperlink>
            <w:r>
              <w:rPr>
                <w:rFonts w:ascii="ARIAL" w:hAnsi="ARIAL"/>
                <w:sz w:val="20"/>
              </w:rPr>
              <w:t xml:space="preserve"> (Items 5.03 and 5.05 only). </w:t>
            </w:r>
          </w:p>
        </w:tc>
      </w:tr>
    </w:tbl>
    <w:p>
      <w:pPr>
        <w:pStyle w:val="TextBody"/>
        <w:spacing w:before="240" w:after="0"/>
        <w:jc w:val="left"/>
        <w:rPr>
          <w:rFonts w:ascii="ARIAL" w:hAnsi="ARIAL"/>
          <w:sz w:val="20"/>
        </w:rPr>
      </w:pPr>
      <w:r>
        <w:rPr>
          <w:rFonts w:ascii="ARIAL" w:hAnsi="ARIAL"/>
          <w:sz w:val="20"/>
        </w:rPr>
        <w:t xml:space="preserve">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 </w:t>
      </w:r>
    </w:p>
    <w:p>
      <w:pPr>
        <w:pStyle w:val="TextBody"/>
        <w:spacing w:before="240" w:after="0"/>
        <w:jc w:val="left"/>
        <w:rPr>
          <w:rFonts w:ascii="ARIAL" w:hAnsi="ARIAL"/>
          <w:sz w:val="20"/>
        </w:rPr>
      </w:pPr>
      <w:r>
        <w:rPr>
          <w:rFonts w:ascii="ARIAL" w:hAnsi="ARIAL"/>
          <w:sz w:val="20"/>
        </w:rPr>
        <w:t xml:space="preserve">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 </w:t>
      </w:r>
    </w:p>
    <w:p>
      <w:pPr>
        <w:pStyle w:val="TextBody"/>
        <w:spacing w:before="240" w:after="0"/>
        <w:jc w:val="left"/>
        <w:rPr>
          <w:rFonts w:ascii="ARIAL" w:hAnsi="ARIAL"/>
          <w:sz w:val="20"/>
        </w:rPr>
      </w:pPr>
      <w:r>
        <w:rPr>
          <w:rFonts w:ascii="ARIAL" w:hAnsi="ARIAL"/>
          <w:sz w:val="20"/>
        </w:rPr>
        <w:t xml:space="preserve">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 </w:t>
      </w:r>
    </w:p>
    <w:p>
      <w:pPr>
        <w:pStyle w:val="TextBody"/>
        <w:spacing w:before="240" w:after="0"/>
        <w:jc w:val="center"/>
        <w:rPr>
          <w:rFonts w:ascii="ARIAL" w:hAnsi="ARIAL"/>
          <w:sz w:val="20"/>
        </w:rPr>
      </w:pPr>
      <w:r>
        <w:rPr>
          <w:rFonts w:ascii="ARIAL" w:hAnsi="ARIAL"/>
          <w:sz w:val="20"/>
        </w:rPr>
        <w:t xml:space="preserve">Schlumberger Limited </w:t>
      </w:r>
    </w:p>
    <w:p>
      <w:pPr>
        <w:pStyle w:val="TextBody"/>
        <w:spacing w:before="0" w:after="0"/>
        <w:jc w:val="center"/>
        <w:rPr>
          <w:rFonts w:ascii="ARIAL" w:hAnsi="ARIAL"/>
          <w:sz w:val="20"/>
        </w:rPr>
      </w:pPr>
      <w:r>
        <w:rPr>
          <w:rFonts w:ascii="ARIAL" w:hAnsi="ARIAL"/>
          <w:sz w:val="20"/>
        </w:rPr>
        <w:t xml:space="preserve">5599 San Felipe </w:t>
      </w:r>
    </w:p>
    <w:p>
      <w:pPr>
        <w:pStyle w:val="TextBody"/>
        <w:spacing w:before="0" w:after="0"/>
        <w:jc w:val="center"/>
        <w:rPr>
          <w:rFonts w:ascii="ARIAL" w:hAnsi="ARIAL"/>
          <w:sz w:val="20"/>
        </w:rPr>
      </w:pPr>
      <w:r>
        <w:rPr>
          <w:rFonts w:ascii="ARIAL" w:hAnsi="ARIAL"/>
          <w:sz w:val="20"/>
        </w:rPr>
        <w:t xml:space="preserve">Houston, Texas 77056 </w:t>
      </w:r>
    </w:p>
    <w:p>
      <w:pPr>
        <w:pStyle w:val="TextBody"/>
        <w:spacing w:before="0" w:after="0"/>
        <w:jc w:val="center"/>
        <w:rPr>
          <w:rFonts w:ascii="ARIAL" w:hAnsi="ARIAL"/>
          <w:sz w:val="20"/>
        </w:rPr>
      </w:pPr>
      <w:r>
        <w:rPr>
          <w:rFonts w:ascii="ARIAL" w:hAnsi="ARIAL"/>
          <w:sz w:val="20"/>
        </w:rPr>
        <w:t xml:space="preserve">(713) 375-3535 </w:t>
      </w:r>
    </w:p>
    <w:p>
      <w:pPr>
        <w:pStyle w:val="TextBody"/>
        <w:spacing w:before="0" w:after="0"/>
        <w:jc w:val="center"/>
        <w:rPr>
          <w:rFonts w:ascii="ARIAL" w:hAnsi="ARIAL"/>
          <w:sz w:val="20"/>
        </w:rPr>
      </w:pPr>
      <w:r>
        <w:rPr>
          <w:rFonts w:ascii="ARIAL" w:hAnsi="ARIAL"/>
          <w:sz w:val="20"/>
        </w:rPr>
        <w:t xml:space="preserve">Attention: Investor Relations </w:t>
      </w:r>
    </w:p>
    <w:p>
      <w:pPr>
        <w:pStyle w:val="TextBody"/>
        <w:spacing w:before="240" w:after="0"/>
        <w:jc w:val="left"/>
        <w:rPr>
          <w:rFonts w:ascii="ARIAL" w:hAnsi="ARIAL"/>
          <w:sz w:val="20"/>
        </w:rPr>
      </w:pPr>
      <w:r>
        <w:rPr>
          <w:rFonts w:ascii="ARIAL" w:hAnsi="ARIAL"/>
          <w:sz w:val="20"/>
        </w:rPr>
        <w:t xml:space="preserve">Except as provided above, no other information (including information on our website) is incorporated by reference into this prospectus. </w:t>
      </w:r>
    </w:p>
    <w:p>
      <w:pPr>
        <w:pStyle w:val="TextBody"/>
        <w:spacing w:before="480" w:after="0"/>
        <w:jc w:val="center"/>
        <w:rPr>
          <w:rFonts w:ascii="ARIAL" w:hAnsi="ARIAL"/>
          <w:b/>
          <w:sz w:val="20"/>
        </w:rPr>
      </w:pPr>
      <w:bookmarkStart w:id="24" w:name="toc410295_8"/>
      <w:bookmarkEnd w:id="24"/>
      <w:r>
        <w:rPr>
          <w:rFonts w:ascii="ARIAL" w:hAnsi="ARIAL"/>
          <w:b/>
          <w:sz w:val="20"/>
        </w:rPr>
        <w:t xml:space="preserve">Use of Proceeds </w:t>
      </w:r>
    </w:p>
    <w:p>
      <w:pPr>
        <w:pStyle w:val="TextBody"/>
        <w:spacing w:before="240" w:after="0"/>
        <w:jc w:val="left"/>
        <w:rPr>
          <w:rFonts w:ascii="ARIAL" w:hAnsi="ARIAL"/>
          <w:sz w:val="20"/>
        </w:rPr>
      </w:pPr>
      <w:r>
        <w:rPr>
          <w:rFonts w:ascii="ARIAL" w:hAnsi="ARIAL"/>
          <w:sz w:val="20"/>
        </w:rPr>
        <w:t xml:space="preserve">Unless we otherwise state in a prospectus supplement or pricing supplement, we will use the net proceeds from the sale of the offered securities for general corporate purposes of the SLB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5" w:name="toc410295_9"/>
      <w:bookmarkEnd w:id="25"/>
      <w:r>
        <w:rPr>
          <w:rFonts w:ascii="ARIAL" w:hAnsi="ARIAL"/>
          <w:b/>
          <w:sz w:val="20"/>
        </w:rPr>
        <w:t xml:space="preserve">Description of Debt Securities </w:t>
      </w:r>
    </w:p>
    <w:p>
      <w:pPr>
        <w:pStyle w:val="TextBody"/>
        <w:spacing w:before="240" w:after="0"/>
        <w:jc w:val="left"/>
        <w:rPr>
          <w:rFonts w:ascii="ARIAL" w:hAnsi="ARIAL"/>
          <w:sz w:val="20"/>
        </w:rPr>
      </w:pPr>
      <w:r>
        <w:rPr>
          <w:rFonts w:ascii="ARIAL" w:hAnsi="ARIAL"/>
          <w:sz w:val="20"/>
        </w:rPr>
        <w:t xml:space="preserve">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 </w:t>
      </w:r>
    </w:p>
    <w:p>
      <w:pPr>
        <w:pStyle w:val="TextBody"/>
        <w:spacing w:before="240" w:after="0"/>
        <w:jc w:val="left"/>
        <w:rPr>
          <w:rFonts w:ascii="ARIAL" w:hAnsi="ARIAL"/>
          <w:sz w:val="20"/>
        </w:rPr>
      </w:pPr>
      <w:r>
        <w:rPr>
          <w:rFonts w:ascii="ARIAL" w:hAnsi="ARIAL"/>
          <w:sz w:val="20"/>
        </w:rPr>
        <w:t xml:space="preserve">As used in this Description of Debt Securities, the terms we, us and our and similar expressions refer to the Company and not to any of its consolidated subsidiaries; and the term Guarantor refers to our parent company, Schlumberger Limited, and not to any of its subsidiaries, in each case unless otherwise stated or the context otherwise requires. </w:t>
      </w:r>
    </w:p>
    <w:p>
      <w:pPr>
        <w:pStyle w:val="TextBody"/>
        <w:spacing w:before="240" w:after="0"/>
        <w:jc w:val="left"/>
        <w:rPr>
          <w:rFonts w:ascii="ARIAL" w:hAnsi="ARIAL"/>
          <w:sz w:val="20"/>
        </w:rPr>
      </w:pPr>
      <w:r>
        <w:rPr>
          <w:rFonts w:ascii="ARIAL" w:hAnsi="ARIAL"/>
          <w:sz w:val="20"/>
        </w:rPr>
        <w:t xml:space="preserve">Certain defined terms used in this description but not defined below have the meanings assigned to them in the indenture (as defined below). </w:t>
      </w:r>
    </w:p>
    <w:p>
      <w:pPr>
        <w:pStyle w:val="TextBody"/>
        <w:spacing w:before="360" w:after="0"/>
        <w:jc w:val="left"/>
        <w:rPr>
          <w:rFonts w:ascii="ARIAL" w:hAnsi="ARIAL"/>
          <w:b/>
          <w:sz w:val="20"/>
        </w:rPr>
      </w:pPr>
      <w:r>
        <w:rPr>
          <w:rFonts w:ascii="ARIAL" w:hAnsi="ARIAL"/>
          <w:b/>
          <w:sz w:val="20"/>
        </w:rPr>
        <w:t xml:space="preserve">General </w:t>
      </w:r>
    </w:p>
    <w:p>
      <w:pPr>
        <w:pStyle w:val="TextBody"/>
        <w:spacing w:before="120" w:after="0"/>
        <w:jc w:val="left"/>
        <w:rPr>
          <w:rFonts w:ascii="ARIAL" w:hAnsi="ARIAL"/>
          <w:sz w:val="20"/>
        </w:rPr>
      </w:pPr>
      <w:r>
        <w:rPr>
          <w:rFonts w:ascii="ARIAL" w:hAnsi="ARIAL"/>
          <w:sz w:val="20"/>
        </w:rPr>
        <w:t xml:space="preserve">The debt securities that we may issue will be senior debt securities that will be issued under an indenture, dated December 3, 2013, among us, Schlumberger Limited, as guarantor, and The Bank of New York Mellon, as trustee, as amended by the second supplemental indenture dated June 26, 2020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 (the Trust Indenture Act). </w:t>
      </w:r>
    </w:p>
    <w:p>
      <w:pPr>
        <w:pStyle w:val="TextBody"/>
        <w:spacing w:before="240" w:after="0"/>
        <w:jc w:val="left"/>
        <w:rPr>
          <w:rFonts w:ascii="ARIAL" w:hAnsi="ARIAL"/>
          <w:sz w:val="20"/>
        </w:rPr>
      </w:pPr>
      <w:r>
        <w:rPr>
          <w:rFonts w:ascii="ARIAL" w:hAnsi="ARIAL"/>
          <w:sz w:val="20"/>
        </w:rPr>
        <w:t xml:space="preserve">Any debt securities that we may issue will be our unsubordinated obligations. They will rank equally with each other and all of our other unsubordinated debt, unless otherwise indicated in the applicable prospectus supplement. </w:t>
      </w:r>
    </w:p>
    <w:p>
      <w:pPr>
        <w:pStyle w:val="TextBody"/>
        <w:spacing w:before="240" w:after="0"/>
        <w:jc w:val="left"/>
        <w:rPr>
          <w:rFonts w:ascii="ARIAL" w:hAnsi="ARIAL"/>
          <w:sz w:val="20"/>
        </w:rPr>
      </w:pPr>
      <w:r>
        <w:rPr>
          <w:rFonts w:ascii="ARIAL" w:hAnsi="ARIAL"/>
          <w:sz w:val="20"/>
        </w:rPr>
        <w:t xml:space="preserve">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 </w:t>
      </w:r>
    </w:p>
    <w:p>
      <w:pPr>
        <w:pStyle w:val="TextBody"/>
        <w:spacing w:before="240" w:after="0"/>
        <w:jc w:val="left"/>
        <w:rPr>
          <w:rFonts w:ascii="ARIAL" w:hAnsi="ARIAL"/>
          <w:sz w:val="20"/>
        </w:rPr>
      </w:pPr>
      <w:r>
        <w:rPr>
          <w:rFonts w:ascii="ARIAL" w:hAnsi="ARIAL"/>
          <w:sz w:val="20"/>
        </w:rPr>
        <w:t xml:space="preserve">Reference is made to the prospectus supplement for the following and other possible terms of each series of the debt securities with respect to which this prospectus is being delivered: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title of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aggregate principal amount of the debt securities of the series to be issued;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date or dates on which the principal and premium, if any, of the debt securities of the series is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date or dates from which such interest will accrue, the dates on which such interest will be payable or the manner of determination of such dates, and the record date for the determination of holders to whom interest is payable on any such 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trustees, authenticating agents or paying agents with respect to such series, if different from those set forth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right, if any, to extend the interest payment periods or defer the payment of interest and the duration of such extension or deferral;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period or periods within which, the price or prices at which and the terms and conditions upon which, debt securities of the series may be redeemed by us, in whole or in part, at our option;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form of the debt securities of the series including the form of the trustees certificate of authentication for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if other than denominations of $2,000 or integral multiples of $1,000 in excess thereof, the denominations in which the debt securities of the series will be issuable;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the currency or currencies in which payment of the principal of, premium, if any, and interest on, debt securities of the series will be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if other than the principal amount thereof, the portion of the principal amount of the debt securities of the series that will be payable upon declaration of acceleration of the maturity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the terms of any repurchase or remarketing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if the debt securities of the series will be issued in whole or in part in the form of a global security or securities, the type of global security to be issued; the terms and conditions, if different from those contained in the indenture, upon which such global security or securities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283"/>
              <w:rPr/>
            </w:pPr>
            <w:r>
              <w:rPr/>
              <w:t> </w:t>
            </w:r>
          </w:p>
        </w:tc>
        <w:tc>
          <w:tcPr>
            <w:tcW w:w="9287" w:type="dxa"/>
            <w:tcBorders/>
            <w:shd w:fill="auto" w:val="clear"/>
          </w:tcPr>
          <w:p>
            <w:pPr>
              <w:pStyle w:val="TableContents"/>
              <w:spacing w:before="0" w:after="0"/>
              <w:rPr>
                <w:rFonts w:ascii="ARIAL" w:hAnsi="ARIAL"/>
                <w:sz w:val="20"/>
              </w:rPr>
            </w:pPr>
            <w:r>
              <w:rPr>
                <w:rFonts w:ascii="ARIAL" w:hAnsi="ARIAL"/>
                <w:sz w:val="20"/>
              </w:rPr>
              <w:t xml:space="preserve">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provisions granting special rights to holders when a specified event occurs;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if the amount of principal or any premium or interest on debt securities of a series may be determined with reference to an index or pursuant to a formula, the manner in which such amounts will be determined;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special tax implications of the debt securities, including provisions for original issue discount securities, if offered;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whether and upon what terms debt securities of a series may be defeased if different from the provisions set forth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whether the debt securities of the series will be issued as unrestricted securities or restricted securities, and, if issued as restricted securities, the rule or regulation promulgated under the Securities Act in reliance on which they will be sold;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guarantees on the debt securities of the series, if different from the provisions set forth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provisions, if any, relating to any security provided for the debt securities of the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depositaries, interest rate calculation agents, exchange rate calculation agents or other agents with respect to debt securities of such series if other than those appointed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with regard to the debt securities of any series that do not bear interest, the dates for certain required reports to the trustee. </w:t>
            </w:r>
          </w:p>
        </w:tc>
      </w:tr>
    </w:tbl>
    <w:p>
      <w:pPr>
        <w:pStyle w:val="TextBody"/>
        <w:spacing w:before="240" w:after="0"/>
        <w:jc w:val="left"/>
        <w:rPr>
          <w:rFonts w:ascii="ARIAL" w:hAnsi="ARIAL"/>
          <w:sz w:val="20"/>
        </w:rPr>
      </w:pPr>
      <w:r>
        <w:rPr>
          <w:rFonts w:ascii="ARIAL" w:hAnsi="ARIAL"/>
          <w:sz w:val="20"/>
        </w:rPr>
        <w:t xml:space="preserve">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Unless otherwise described in a prospectus supplement relating to any debt securities, there are no covenants or provisions contained in the indenture that may afford the holders of debt securities protection in the event that we enter into a highly leveraged transaction. </w:t>
      </w:r>
    </w:p>
    <w:p>
      <w:pPr>
        <w:pStyle w:val="TextBody"/>
        <w:spacing w:before="240" w:after="0"/>
        <w:jc w:val="left"/>
        <w:rPr>
          <w:rFonts w:ascii="ARIAL" w:hAnsi="ARIAL"/>
          <w:sz w:val="20"/>
        </w:rPr>
      </w:pPr>
      <w:r>
        <w:rPr>
          <w:rFonts w:ascii="ARIAL" w:hAnsi="ARIAL"/>
          <w:sz w:val="20"/>
        </w:rPr>
        <w:t xml:space="preserve">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 </w:t>
      </w:r>
    </w:p>
    <w:p>
      <w:pPr>
        <w:pStyle w:val="TextBody"/>
        <w:spacing w:before="360" w:after="0"/>
        <w:jc w:val="left"/>
        <w:rPr>
          <w:rFonts w:ascii="ARIAL" w:hAnsi="ARIAL"/>
          <w:b/>
          <w:sz w:val="20"/>
        </w:rPr>
      </w:pPr>
      <w:r>
        <w:rPr>
          <w:rFonts w:ascii="ARIAL" w:hAnsi="ARIAL"/>
          <w:b/>
          <w:sz w:val="20"/>
        </w:rPr>
        <w:t xml:space="preserve">Guarantees </w:t>
      </w:r>
    </w:p>
    <w:p>
      <w:pPr>
        <w:pStyle w:val="TextBody"/>
        <w:spacing w:before="120" w:after="0"/>
        <w:jc w:val="left"/>
        <w:rPr>
          <w:rFonts w:ascii="ARIAL" w:hAnsi="ARIAL"/>
          <w:sz w:val="20"/>
        </w:rPr>
      </w:pPr>
      <w:r>
        <w:rPr>
          <w:rFonts w:ascii="ARIAL" w:hAnsi="ARIAL"/>
          <w:sz w:val="20"/>
        </w:rPr>
        <w:t xml:space="preserve">Schlumberger Limited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 </w:t>
      </w:r>
    </w:p>
    <w:p>
      <w:pPr>
        <w:pStyle w:val="TextBody"/>
        <w:spacing w:before="240" w:after="0"/>
        <w:jc w:val="left"/>
        <w:rPr>
          <w:rFonts w:ascii="ARIAL" w:hAnsi="ARIAL"/>
          <w:sz w:val="20"/>
        </w:rPr>
      </w:pPr>
      <w:r>
        <w:rPr>
          <w:rFonts w:ascii="ARIAL" w:hAnsi="ARIAL"/>
          <w:sz w:val="20"/>
        </w:rPr>
        <w:t xml:space="preserve">The Guarantor will: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waive its right to require the trustee or the holders of any of the debt securities to pursue or exhaust their legal or equitable remedies against the Company before exercising their rights under the guarantees. </w:t>
            </w:r>
          </w:p>
        </w:tc>
      </w:tr>
    </w:tbl>
    <w:p>
      <w:pPr>
        <w:pStyle w:val="TextBody"/>
        <w:spacing w:before="360" w:after="0"/>
        <w:jc w:val="left"/>
        <w:rPr>
          <w:rFonts w:ascii="ARIAL" w:hAnsi="ARIAL"/>
          <w:b/>
          <w:sz w:val="20"/>
        </w:rPr>
      </w:pPr>
      <w:r>
        <w:rPr>
          <w:rFonts w:ascii="ARIAL" w:hAnsi="ARIAL"/>
          <w:b/>
          <w:sz w:val="20"/>
        </w:rPr>
        <w:t xml:space="preserve">Ranking of the Debt Securities and the Guarantee </w:t>
      </w:r>
    </w:p>
    <w:p>
      <w:pPr>
        <w:pStyle w:val="TextBody"/>
        <w:spacing w:before="120" w:after="0"/>
        <w:jc w:val="left"/>
        <w:rPr>
          <w:rFonts w:ascii="ARIAL" w:hAnsi="ARIAL"/>
          <w:sz w:val="20"/>
        </w:rPr>
      </w:pPr>
      <w:r>
        <w:rPr>
          <w:rFonts w:ascii="ARIAL" w:hAnsi="ARIAL"/>
          <w:sz w:val="20"/>
        </w:rPr>
        <w:t xml:space="preserve">The debt securities of any series will be: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senior unsecured obligations of the Company and will rank equally and ratably with all of Companys other unsecured and unsubordinated indebtedness;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guaranteed on a senior unsecured basis by the Guarantor, which Guarantee will rank equally and ratably with all other unsecured and unsubordinated indebtedness of the Guarantor. </w:t>
            </w:r>
          </w:p>
        </w:tc>
      </w:tr>
    </w:tbl>
    <w:p>
      <w:pPr>
        <w:pStyle w:val="TextBody"/>
        <w:spacing w:before="360" w:after="0"/>
        <w:jc w:val="left"/>
        <w:rPr>
          <w:rFonts w:ascii="ARIAL" w:hAnsi="ARIAL"/>
          <w:b/>
          <w:sz w:val="20"/>
        </w:rPr>
      </w:pPr>
      <w:r>
        <w:rPr>
          <w:rFonts w:ascii="ARIAL" w:hAnsi="ARIAL"/>
          <w:b/>
          <w:sz w:val="20"/>
        </w:rPr>
        <w:t xml:space="preserve">Additional Amounts </w:t>
      </w:r>
    </w:p>
    <w:p>
      <w:pPr>
        <w:pStyle w:val="TextBody"/>
        <w:spacing w:before="120" w:after="0"/>
        <w:jc w:val="left"/>
        <w:rPr>
          <w:rFonts w:ascii="ARIAL" w:hAnsi="ARIAL"/>
          <w:sz w:val="20"/>
        </w:rPr>
      </w:pPr>
      <w:r>
        <w:rPr>
          <w:rFonts w:ascii="ARIAL" w:hAnsi="ARIAL"/>
          <w:sz w:val="20"/>
        </w:rPr>
        <w:t xml:space="preserve">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estate, inheritance, gift, sales, transfer, personal property or similar Taxes;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Taxes imposed on or with respect to a payment made to a holder of such debt securities who would have been able to avoid such withholding or deduction by presenting such debt securities (where presentation is required) to another paying agent;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Taxes payable other than by deduction or withholding from payments under, or with respect to, such debt securities or the Guarantee;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(8)</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(9)</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combination of items (1) through (8) above. </w:t>
            </w:r>
          </w:p>
        </w:tc>
      </w:tr>
    </w:tbl>
    <w:p>
      <w:pPr>
        <w:pStyle w:val="TextBody"/>
        <w:spacing w:before="240" w:after="0"/>
        <w:jc w:val="left"/>
        <w:rPr>
          <w:rFonts w:ascii="ARIAL" w:hAnsi="ARIAL"/>
          <w:sz w:val="20"/>
        </w:rPr>
      </w:pPr>
      <w:r>
        <w:rPr>
          <w:rFonts w:ascii="ARIAL" w:hAnsi="ARIAL"/>
          <w:sz w:val="20"/>
        </w:rPr>
        <w:t xml:space="preserve">In addition to the foregoing, the Company and the Guarantor, as the case may be, will also pay and indemnify the holder for any present or future stamp, issue, registration, court or documentary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 </w:t>
      </w:r>
    </w:p>
    <w:p>
      <w:pPr>
        <w:pStyle w:val="TextBody"/>
        <w:spacing w:before="240" w:after="0"/>
        <w:jc w:val="left"/>
        <w:rPr>
          <w:rFonts w:ascii="ARIAL" w:hAnsi="ARIAL"/>
          <w:sz w:val="20"/>
        </w:rPr>
      </w:pPr>
      <w:r>
        <w:rPr>
          <w:rFonts w:ascii="ARIAL" w:hAnsi="ARIAL"/>
          <w:sz w:val="20"/>
        </w:rPr>
        <w:t xml:space="preserve">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 </w:t>
      </w:r>
    </w:p>
    <w:p>
      <w:pPr>
        <w:pStyle w:val="TextBody"/>
        <w:spacing w:before="240" w:after="0"/>
        <w:jc w:val="left"/>
        <w:rPr>
          <w:rFonts w:ascii="ARIAL" w:hAnsi="ARIAL"/>
          <w:sz w:val="20"/>
        </w:rPr>
      </w:pPr>
      <w:r>
        <w:rPr>
          <w:rFonts w:ascii="ARIAL" w:hAnsi="ARIAL"/>
          <w:sz w:val="20"/>
        </w:rPr>
        <w:t xml:space="preserve">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w:t>
      </w:r>
    </w:p>
    <w:p>
      <w:pPr>
        <w:pStyle w:val="TextBody"/>
        <w:spacing w:before="240" w:after="0"/>
        <w:jc w:val="left"/>
        <w:rPr>
          <w:rFonts w:ascii="ARIAL" w:hAnsi="ARIAL"/>
          <w:sz w:val="20"/>
        </w:rPr>
      </w:pPr>
      <w:r>
        <w:rPr>
          <w:rFonts w:ascii="ARIAL" w:hAnsi="ARIAL"/>
          <w:sz w:val="20"/>
        </w:rPr>
        <w:t xml:space="preserve">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 </w:t>
      </w:r>
    </w:p>
    <w:p>
      <w:pPr>
        <w:pStyle w:val="TextBody"/>
        <w:spacing w:before="240" w:after="0"/>
        <w:jc w:val="left"/>
        <w:rPr>
          <w:rFonts w:ascii="ARIAL" w:hAnsi="ARIAL"/>
          <w:sz w:val="20"/>
        </w:rPr>
      </w:pPr>
      <w:r>
        <w:rPr>
          <w:rFonts w:ascii="ARIAL" w:hAnsi="ARIAL"/>
          <w:sz w:val="20"/>
        </w:rPr>
        <w:t xml:space="preserve">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 </w:t>
      </w:r>
    </w:p>
    <w:p>
      <w:pPr>
        <w:pStyle w:val="TextBody"/>
        <w:spacing w:before="240" w:after="0"/>
        <w:jc w:val="left"/>
        <w:rPr>
          <w:rFonts w:ascii="ARIAL" w:hAnsi="ARIAL"/>
          <w:sz w:val="20"/>
        </w:rPr>
      </w:pPr>
      <w:r>
        <w:rPr>
          <w:rFonts w:ascii="ARIAL" w:hAnsi="ARIAL"/>
          <w:sz w:val="20"/>
        </w:rPr>
        <w:t xml:space="preserve">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 </w:t>
      </w:r>
    </w:p>
    <w:p>
      <w:pPr>
        <w:pStyle w:val="TextBody"/>
        <w:spacing w:before="360" w:after="0"/>
        <w:jc w:val="left"/>
        <w:rPr>
          <w:rFonts w:ascii="ARIAL" w:hAnsi="ARIAL"/>
          <w:b/>
          <w:sz w:val="20"/>
        </w:rPr>
      </w:pPr>
      <w:r>
        <w:rPr>
          <w:rFonts w:ascii="ARIAL" w:hAnsi="ARIAL"/>
          <w:b/>
          <w:sz w:val="20"/>
        </w:rPr>
        <w:t xml:space="preserve">Optional Redemption </w:t>
      </w:r>
    </w:p>
    <w:p>
      <w:pPr>
        <w:pStyle w:val="TextBody"/>
        <w:spacing w:before="120" w:after="0"/>
        <w:jc w:val="left"/>
        <w:rPr>
          <w:rFonts w:ascii="ARIAL" w:hAnsi="ARIAL"/>
          <w:sz w:val="20"/>
        </w:rPr>
      </w:pPr>
      <w:r>
        <w:rPr>
          <w:rFonts w:ascii="ARIAL" w:hAnsi="ARIAL"/>
          <w:sz w:val="20"/>
        </w:rPr>
        <w:t xml:space="preserve">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Redemption Upon Changes in Tax Law </w:t>
      </w:r>
    </w:p>
    <w:p>
      <w:pPr>
        <w:pStyle w:val="TextBody"/>
        <w:spacing w:before="120" w:after="0"/>
        <w:jc w:val="left"/>
        <w:rPr>
          <w:rFonts w:ascii="ARIAL" w:hAnsi="ARIAL"/>
          <w:sz w:val="20"/>
        </w:rPr>
      </w:pPr>
      <w:r>
        <w:rPr>
          <w:rFonts w:ascii="ARIAL" w:hAnsi="ARIAL"/>
          <w:sz w:val="20"/>
        </w:rPr>
        <w:t xml:space="preserve">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Issue Date, such later date). </w:t>
            </w:r>
          </w:p>
        </w:tc>
      </w:tr>
    </w:tbl>
    <w:p>
      <w:pPr>
        <w:pStyle w:val="TextBody"/>
        <w:spacing w:before="240" w:after="0"/>
        <w:jc w:val="left"/>
        <w:rPr>
          <w:rFonts w:ascii="ARIAL" w:hAnsi="ARIAL"/>
          <w:sz w:val="20"/>
        </w:rPr>
      </w:pPr>
      <w:r>
        <w:rPr>
          <w:rFonts w:ascii="ARIAL" w:hAnsi="ARIAL"/>
          <w:sz w:val="20"/>
        </w:rPr>
        <w:t xml:space="preserve">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 </w:t>
      </w:r>
    </w:p>
    <w:p>
      <w:pPr>
        <w:pStyle w:val="TextBody"/>
        <w:spacing w:before="240" w:after="0"/>
        <w:jc w:val="left"/>
        <w:rPr>
          <w:rFonts w:ascii="ARIAL" w:hAnsi="ARIAL"/>
          <w:sz w:val="20"/>
        </w:rPr>
      </w:pPr>
      <w:r>
        <w:rPr>
          <w:rFonts w:ascii="ARIAL" w:hAnsi="ARIAL"/>
          <w:sz w:val="20"/>
        </w:rPr>
        <w:t xml:space="preserve">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 </w:t>
      </w:r>
    </w:p>
    <w:p>
      <w:pPr>
        <w:pStyle w:val="TextBody"/>
        <w:spacing w:before="240" w:after="0"/>
        <w:jc w:val="left"/>
        <w:rPr>
          <w:rFonts w:ascii="ARIAL" w:hAnsi="ARIAL"/>
          <w:sz w:val="20"/>
        </w:rPr>
      </w:pPr>
      <w:r>
        <w:rPr>
          <w:rFonts w:ascii="ARIAL" w:hAnsi="ARIAL"/>
          <w:sz w:val="20"/>
        </w:rPr>
        <w:t xml:space="preserve">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 </w:t>
      </w:r>
    </w:p>
    <w:p>
      <w:pPr>
        <w:pStyle w:val="TextBody"/>
        <w:spacing w:before="360" w:after="0"/>
        <w:jc w:val="left"/>
        <w:rPr>
          <w:rFonts w:ascii="ARIAL" w:hAnsi="ARIAL"/>
          <w:b/>
          <w:sz w:val="20"/>
        </w:rPr>
      </w:pPr>
      <w:r>
        <w:rPr>
          <w:rFonts w:ascii="ARIAL" w:hAnsi="ARIAL"/>
          <w:b/>
          <w:sz w:val="20"/>
        </w:rPr>
        <w:t xml:space="preserve">Selection and Notice </w:t>
      </w:r>
    </w:p>
    <w:p>
      <w:pPr>
        <w:pStyle w:val="TextBody"/>
        <w:spacing w:before="120" w:after="0"/>
        <w:jc w:val="left"/>
        <w:rPr>
          <w:rFonts w:ascii="ARIAL" w:hAnsi="ARIAL"/>
          <w:sz w:val="20"/>
        </w:rPr>
      </w:pPr>
      <w:r>
        <w:rPr>
          <w:rFonts w:ascii="ARIAL" w:hAnsi="ARIAL"/>
          <w:sz w:val="20"/>
        </w:rPr>
        <w:t xml:space="preserve">If fewer than all of the debt securities of a series are to be redeemed at any time, the trustee will select the debt securities of such series in definitive, non-global form for redemption on a pro rata basis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 </w:t>
      </w:r>
    </w:p>
    <w:p>
      <w:pPr>
        <w:pStyle w:val="TextBody"/>
        <w:spacing w:before="240" w:after="0"/>
        <w:jc w:val="left"/>
        <w:rPr>
          <w:rFonts w:ascii="ARIAL" w:hAnsi="ARIAL"/>
          <w:sz w:val="20"/>
        </w:rPr>
      </w:pPr>
      <w:r>
        <w:rPr>
          <w:rFonts w:ascii="ARIAL" w:hAnsi="ARIAL"/>
          <w:sz w:val="20"/>
        </w:rPr>
        <w:t xml:space="preserve">No debt securities in principal amount of less than the minimum authorized denomination can be redeemed in part. Unless otherwise described in a prospectus supplement relating to any debt securities, notices of redemption will be delivered at least 30 but not more than 60 days before the redemption date to each holder of debt securities of such series to be redeemed, except that redemption notices may be delivered more than 60 days prior to a redemption date if the notice is issued in connection with a defeasance of the debt securities of such series or a satisfaction and discharge of the indenture. </w:t>
      </w:r>
    </w:p>
    <w:p>
      <w:pPr>
        <w:pStyle w:val="TextBody"/>
        <w:spacing w:before="240" w:after="0"/>
        <w:jc w:val="left"/>
        <w:rPr>
          <w:rFonts w:ascii="ARIAL" w:hAnsi="ARIAL"/>
          <w:sz w:val="20"/>
        </w:rPr>
      </w:pPr>
      <w:r>
        <w:rPr>
          <w:rFonts w:ascii="ARIAL" w:hAnsi="ARIAL"/>
          <w:sz w:val="20"/>
        </w:rPr>
        <w:t xml:space="preserve">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 </w:t>
      </w:r>
    </w:p>
    <w:p>
      <w:pPr>
        <w:pStyle w:val="TextBody"/>
        <w:spacing w:before="240" w:after="0"/>
        <w:jc w:val="left"/>
        <w:rPr>
          <w:rFonts w:ascii="ARIAL" w:hAnsi="ARIAL"/>
          <w:sz w:val="20"/>
        </w:rPr>
      </w:pPr>
      <w:r>
        <w:rPr>
          <w:rFonts w:ascii="ARIAL" w:hAnsi="ARIAL"/>
          <w:sz w:val="20"/>
        </w:rPr>
        <w:t xml:space="preserve">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 </w:t>
      </w:r>
    </w:p>
    <w:p>
      <w:pPr>
        <w:pStyle w:val="TextBody"/>
        <w:spacing w:before="360" w:after="0"/>
        <w:jc w:val="left"/>
        <w:rPr>
          <w:rFonts w:ascii="ARIAL" w:hAnsi="ARIAL"/>
          <w:b/>
          <w:sz w:val="20"/>
        </w:rPr>
      </w:pPr>
      <w:r>
        <w:rPr>
          <w:rFonts w:ascii="ARIAL" w:hAnsi="ARIAL"/>
          <w:b/>
          <w:sz w:val="20"/>
        </w:rPr>
        <w:t xml:space="preserve">Reports </w:t>
      </w:r>
    </w:p>
    <w:p>
      <w:pPr>
        <w:pStyle w:val="TextBody"/>
        <w:spacing w:before="120" w:after="0"/>
        <w:jc w:val="left"/>
        <w:rPr>
          <w:rFonts w:ascii="ARIAL" w:hAnsi="ARIAL"/>
          <w:sz w:val="20"/>
        </w:rPr>
      </w:pPr>
      <w:r>
        <w:rPr>
          <w:rFonts w:ascii="ARIAL" w:hAnsi="ARIAL"/>
          <w:sz w:val="20"/>
        </w:rPr>
        <w:t xml:space="preserve">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 The indenture governing the debt securities will not obligate us to provide, and we do not intend to provide, holders of the debt securities with financial statements of the Company that are separate from the Guarantors. </w:t>
      </w:r>
    </w:p>
    <w:p>
      <w:pPr>
        <w:pStyle w:val="TextBody"/>
        <w:spacing w:before="360" w:after="0"/>
        <w:jc w:val="left"/>
        <w:rPr>
          <w:rFonts w:ascii="ARIAL" w:hAnsi="ARIAL"/>
          <w:b/>
          <w:sz w:val="20"/>
        </w:rPr>
      </w:pPr>
      <w:r>
        <w:rPr>
          <w:rFonts w:ascii="ARIAL" w:hAnsi="ARIAL"/>
          <w:b/>
          <w:sz w:val="20"/>
        </w:rPr>
        <w:t xml:space="preserve">Certain Covenants </w:t>
      </w:r>
    </w:p>
    <w:p>
      <w:pPr>
        <w:pStyle w:val="TextBody"/>
        <w:spacing w:before="120" w:after="0"/>
        <w:jc w:val="left"/>
        <w:rPr>
          <w:rFonts w:ascii="ARIAL" w:hAnsi="ARIAL"/>
          <w:sz w:val="20"/>
        </w:rPr>
      </w:pPr>
      <w:r>
        <w:rPr>
          <w:rFonts w:ascii="ARIAL" w:hAnsi="ARIAL"/>
          <w:sz w:val="20"/>
        </w:rPr>
        <w:t xml:space="preserve">Other than the restrictions on liens described below, the indenture and the debt securities will not contain any covenants or other provisions designed to protect holders of the debt securities in the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 </w:t>
      </w:r>
    </w:p>
    <w:p>
      <w:pPr>
        <w:pStyle w:val="TextBody"/>
        <w:spacing w:before="360" w:after="0"/>
        <w:jc w:val="left"/>
        <w:rPr>
          <w:rFonts w:ascii="ARIAL" w:hAnsi="ARIAL"/>
          <w:b/>
          <w:sz w:val="20"/>
        </w:rPr>
      </w:pPr>
      <w:r>
        <w:rPr>
          <w:rFonts w:ascii="ARIAL" w:hAnsi="ARIAL"/>
          <w:b/>
          <w:sz w:val="20"/>
        </w:rPr>
        <w:t xml:space="preserve">Limitation on Liens </w:t>
      </w:r>
    </w:p>
    <w:p>
      <w:pPr>
        <w:pStyle w:val="TextBody"/>
        <w:spacing w:before="120" w:after="0"/>
        <w:jc w:val="left"/>
        <w:rPr>
          <w:rFonts w:ascii="ARIAL" w:hAnsi="ARIAL"/>
          <w:sz w:val="20"/>
        </w:rPr>
      </w:pPr>
      <w:r>
        <w:rPr>
          <w:rFonts w:ascii="ARIAL" w:hAnsi="ARIAL"/>
          <w:sz w:val="20"/>
        </w:rPr>
        <w:t xml:space="preserve">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mortgages existing on the date of original issuance of any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mortgages on property or assets of, or on any shares of stock, ownership interests in or indebtedness of, any person existing at the time such person becomes a subsidiary (including a restricted subsidiary) of the Company or the Guarantor;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mortgages in favor of the Company, the Guarantor or any other subsidiary of the Guarantor;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the mortgage of any property or assets to secure indebtedness of the pollution control, industrial revenue or other revenue bond type;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(7)</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(8)</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mortgages arising by operation of law, including but not limited to mortgages for taxes, assessments or similar charges that are not yet due or the validity of which is being contested in good faith by appropriate proceedings;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(9)</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mortgages created in connection with the acquisition of property or assets, or a project financed with, non-recourse debt;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(10)</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 </w:t>
            </w:r>
          </w:p>
        </w:tc>
      </w:tr>
    </w:tbl>
    <w:p>
      <w:pPr>
        <w:pStyle w:val="TextBody"/>
        <w:spacing w:before="240" w:after="0"/>
        <w:jc w:val="left"/>
        <w:rPr>
          <w:rFonts w:ascii="ARIAL" w:hAnsi="ARIAL"/>
          <w:sz w:val="20"/>
        </w:rPr>
      </w:pPr>
      <w:r>
        <w:rPr>
          <w:rFonts w:ascii="ARIAL" w:hAnsi="ARIAL"/>
          <w:sz w:val="20"/>
        </w:rPr>
        <w:t xml:space="preserve">The foregoing covenant and certain other provisions of the indenture use the following defined terms. </w:t>
      </w:r>
    </w:p>
    <w:p>
      <w:pPr>
        <w:pStyle w:val="TextBody"/>
        <w:spacing w:before="240" w:after="0"/>
        <w:jc w:val="left"/>
        <w:rPr>
          <w:rFonts w:ascii="ARIAL" w:hAnsi="ARIAL"/>
          <w:sz w:val="20"/>
        </w:rPr>
      </w:pPr>
      <w:r>
        <w:rPr>
          <w:rFonts w:ascii="ARIAL" w:hAnsi="ARIAL"/>
          <w:sz w:val="20"/>
        </w:rPr>
        <w:t xml:space="preserve">capital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p>
    <w:p>
      <w:pPr>
        <w:pStyle w:val="TextBody"/>
        <w:spacing w:before="240" w:after="0"/>
        <w:jc w:val="left"/>
        <w:rPr>
          <w:rFonts w:ascii="ARIAL" w:hAnsi="ARIAL"/>
          <w:sz w:val="20"/>
        </w:rPr>
      </w:pPr>
      <w:r>
        <w:rPr>
          <w:rFonts w:ascii="ARIAL" w:hAnsi="ARIAL"/>
          <w:sz w:val="20"/>
        </w:rPr>
        <w:t xml:space="preserve">consolidated net worth means the amount of total stockholders equity shown in the Guarantors most recent quarterly consolidated statement of financial position. </w:t>
      </w:r>
    </w:p>
    <w:p>
      <w:pPr>
        <w:pStyle w:val="TextBody"/>
        <w:spacing w:before="240" w:after="0"/>
        <w:jc w:val="left"/>
        <w:rPr>
          <w:rFonts w:ascii="ARIAL" w:hAnsi="ARIAL"/>
          <w:sz w:val="20"/>
        </w:rPr>
      </w:pPr>
      <w:r>
        <w:rPr>
          <w:rFonts w:ascii="ARIAL" w:hAnsi="ARIAL"/>
          <w:sz w:val="20"/>
        </w:rPr>
        <w:t xml:space="preserve">mortgage means and includes any mortgage, pledge, lien, security interest, conditional sale or other title retention agreement or other similar encumbrance. </w:t>
      </w:r>
    </w:p>
    <w:p>
      <w:pPr>
        <w:pStyle w:val="TextBody"/>
        <w:spacing w:before="240" w:after="0"/>
        <w:jc w:val="left"/>
        <w:rPr>
          <w:rFonts w:ascii="ARIAL" w:hAnsi="ARIAL"/>
          <w:sz w:val="20"/>
        </w:rPr>
      </w:pPr>
      <w:r>
        <w:rPr>
          <w:rFonts w:ascii="ARIAL" w:hAnsi="ARIAL"/>
          <w:sz w:val="20"/>
        </w:rPr>
        <w:t xml:space="preserve">non-recourse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 </w:t>
      </w:r>
    </w:p>
    <w:p>
      <w:pPr>
        <w:pStyle w:val="TextBody"/>
        <w:spacing w:before="240" w:after="0"/>
        <w:jc w:val="left"/>
        <w:rPr>
          <w:rFonts w:ascii="ARIAL" w:hAnsi="ARIAL"/>
          <w:sz w:val="20"/>
        </w:rPr>
      </w:pPr>
      <w:r>
        <w:rPr>
          <w:rFonts w:ascii="ARIAL" w:hAnsi="ARIAL"/>
          <w:sz w:val="20"/>
        </w:rPr>
        <w:t xml:space="preserve">person means any individual, corporation, partnership, limited liability company, association, joint venture, trust, joint stock company or any other entity or organization, including a government or political subdivision or an agency or instrumentality thereof. </w:t>
      </w:r>
    </w:p>
    <w:p>
      <w:pPr>
        <w:pStyle w:val="TextBody"/>
        <w:spacing w:before="240" w:after="0"/>
        <w:jc w:val="left"/>
        <w:rPr>
          <w:rFonts w:ascii="ARIAL" w:hAnsi="ARIAL"/>
          <w:sz w:val="20"/>
        </w:rPr>
      </w:pPr>
      <w:r>
        <w:rPr>
          <w:rFonts w:ascii="ARIAL" w:hAnsi="ARIAL"/>
          <w:sz w:val="20"/>
        </w:rPr>
        <w:t xml:space="preserve">restricted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 </w:t>
      </w:r>
    </w:p>
    <w:p>
      <w:pPr>
        <w:pStyle w:val="TextBody"/>
        <w:spacing w:before="240" w:after="0"/>
        <w:jc w:val="left"/>
        <w:rPr>
          <w:rFonts w:ascii="ARIAL" w:hAnsi="ARIAL"/>
          <w:sz w:val="20"/>
        </w:rPr>
      </w:pPr>
      <w:r>
        <w:rPr>
          <w:rFonts w:ascii="ARIAL" w:hAnsi="ARIAL"/>
          <w:sz w:val="20"/>
        </w:rPr>
        <w:t xml:space="preserve">restricted subsidiary means any subsidiary of the Guarantor which owns a restricted property. </w:t>
      </w:r>
    </w:p>
    <w:p>
      <w:pPr>
        <w:pStyle w:val="TextBody"/>
        <w:spacing w:before="240" w:after="0"/>
        <w:jc w:val="left"/>
        <w:rPr>
          <w:rFonts w:ascii="ARIAL" w:hAnsi="ARIAL"/>
          <w:sz w:val="20"/>
        </w:rPr>
      </w:pPr>
      <w:r>
        <w:rPr>
          <w:rFonts w:ascii="ARIAL" w:hAnsi="ARIAL"/>
          <w:sz w:val="20"/>
        </w:rPr>
        <w:t xml:space="preserve">subsidiary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w:t>
      </w:r>
    </w:p>
    <w:p>
      <w:pPr>
        <w:pStyle w:val="TextBody"/>
        <w:spacing w:before="360" w:after="0"/>
        <w:jc w:val="left"/>
        <w:rPr>
          <w:rFonts w:ascii="ARIAL" w:hAnsi="ARIAL"/>
          <w:b/>
          <w:sz w:val="20"/>
        </w:rPr>
      </w:pPr>
      <w:r>
        <w:rPr>
          <w:rFonts w:ascii="ARIAL" w:hAnsi="ARIAL"/>
          <w:b/>
          <w:sz w:val="20"/>
        </w:rPr>
        <w:t xml:space="preserve">Consolidation, Merger and Sale of Assets </w:t>
      </w:r>
    </w:p>
    <w:p>
      <w:pPr>
        <w:pStyle w:val="TextBody"/>
        <w:spacing w:before="120" w:after="0"/>
        <w:jc w:val="left"/>
        <w:rPr>
          <w:rFonts w:ascii="ARIAL" w:hAnsi="ARIAL"/>
          <w:sz w:val="20"/>
        </w:rPr>
      </w:pPr>
      <w:r>
        <w:rPr>
          <w:rFonts w:ascii="ARIAL" w:hAnsi="ARIAL"/>
          <w:sz w:val="20"/>
        </w:rPr>
        <w:t xml:space="preserve">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 </w:t>
      </w:r>
    </w:p>
    <w:p>
      <w:pPr>
        <w:pStyle w:val="TextBody"/>
        <w:spacing w:before="360" w:after="0"/>
        <w:jc w:val="left"/>
        <w:rPr>
          <w:rFonts w:ascii="ARIAL" w:hAnsi="ARIAL"/>
          <w:b/>
          <w:sz w:val="20"/>
        </w:rPr>
      </w:pPr>
      <w:r>
        <w:rPr>
          <w:rFonts w:ascii="ARIAL" w:hAnsi="ARIAL"/>
          <w:b/>
          <w:sz w:val="20"/>
        </w:rPr>
        <w:t xml:space="preserve">Assumption by a Subsidiary </w:t>
      </w:r>
    </w:p>
    <w:p>
      <w:pPr>
        <w:pStyle w:val="TextBody"/>
        <w:spacing w:before="120" w:after="0"/>
        <w:jc w:val="left"/>
        <w:rPr>
          <w:rFonts w:ascii="ARIAL" w:hAnsi="ARIAL"/>
          <w:sz w:val="20"/>
        </w:rPr>
      </w:pPr>
      <w:r>
        <w:rPr>
          <w:rFonts w:ascii="ARIAL" w:hAnsi="ARIAL"/>
          <w:sz w:val="20"/>
        </w:rPr>
        <w:t xml:space="preserve">Any subsidiary of the Guarantor may, at its option, assume the obligations of the Company under the indenture and the debt securities, provided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such subsidiary expressly assumes such obligations in an assumption agreement or supplemental indenture duly executed and delivered to the trustee,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immediately after giving effect to such assumption, no event of default and no event which, after notice or lapse of time or both, would become an event of default, shall have occurred and be continuing. </w:t>
            </w:r>
          </w:p>
        </w:tc>
      </w:tr>
    </w:tbl>
    <w:p>
      <w:pPr>
        <w:pStyle w:val="TextBody"/>
        <w:spacing w:before="240" w:after="0"/>
        <w:jc w:val="left"/>
        <w:rPr>
          <w:rFonts w:ascii="ARIAL" w:hAnsi="ARIAL"/>
          <w:sz w:val="20"/>
        </w:rPr>
      </w:pPr>
      <w:r>
        <w:rPr>
          <w:rFonts w:ascii="ARIAL" w:hAnsi="ARIAL"/>
          <w:sz w:val="20"/>
        </w:rPr>
        <w:t xml:space="preserve">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 </w:t>
      </w:r>
    </w:p>
    <w:p>
      <w:pPr>
        <w:pStyle w:val="TextBody"/>
        <w:spacing w:before="360" w:after="0"/>
        <w:jc w:val="left"/>
        <w:rPr>
          <w:rFonts w:ascii="ARIAL" w:hAnsi="ARIAL"/>
          <w:i/>
          <w:sz w:val="20"/>
        </w:rPr>
      </w:pPr>
      <w:r>
        <w:rPr>
          <w:rFonts w:ascii="ARIAL" w:hAnsi="ARIAL"/>
          <w:i/>
          <w:sz w:val="20"/>
        </w:rPr>
        <w:t xml:space="preserve">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 </w:t>
      </w:r>
    </w:p>
    <w:p>
      <w:pPr>
        <w:pStyle w:val="TextBody"/>
        <w:spacing w:before="360" w:after="0"/>
        <w:jc w:val="left"/>
        <w:rPr>
          <w:rFonts w:ascii="ARIAL" w:hAnsi="ARIAL"/>
          <w:b/>
          <w:sz w:val="20"/>
        </w:rPr>
      </w:pPr>
      <w:r>
        <w:rPr>
          <w:rFonts w:ascii="ARIAL" w:hAnsi="ARIAL"/>
          <w:b/>
          <w:sz w:val="20"/>
        </w:rPr>
        <w:t xml:space="preserve">Events of Default </w:t>
      </w:r>
    </w:p>
    <w:p>
      <w:pPr>
        <w:pStyle w:val="TextBody"/>
        <w:spacing w:before="120" w:after="0"/>
        <w:jc w:val="left"/>
        <w:rPr>
          <w:rFonts w:ascii="ARIAL" w:hAnsi="ARIAL"/>
          <w:sz w:val="20"/>
        </w:rPr>
      </w:pPr>
      <w:r>
        <w:rPr>
          <w:rFonts w:ascii="ARIAL" w:hAnsi="ARIAL"/>
          <w:sz w:val="20"/>
        </w:rPr>
        <w:t xml:space="preserve">The following are Events of Default with respect to debt securities of a particular series, except to the extent provided in the officers certificate, supplemental indenture or resolution of the board of directors pursuant to which a series of debt securities is issued: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Companys failure to pay any interest on any of the debt securities of such series within 30 days after such interest becomes due and payable;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Companys failure to pay principal on any of the debt securities of such series at maturity, or if applicable, the redemption price, when the same become due and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Companys failure to pay any sinking fund installment as and when the same becomes due and payable by the terms of the debt securities of such series, and continuance of such default for a period of 30 days;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certain events involving bankruptcy, insolvency or reorganization of the Company or the Guarantor. </w:t>
            </w:r>
          </w:p>
        </w:tc>
      </w:tr>
    </w:tbl>
    <w:p>
      <w:pPr>
        <w:pStyle w:val="TextBody"/>
        <w:spacing w:before="240" w:after="0"/>
        <w:jc w:val="left"/>
        <w:rPr>
          <w:rFonts w:ascii="ARIAL" w:hAnsi="ARIAL"/>
          <w:sz w:val="20"/>
        </w:rPr>
      </w:pPr>
      <w:r>
        <w:rPr>
          <w:rFonts w:ascii="ARIAL" w:hAnsi="ARIAL"/>
          <w:sz w:val="20"/>
        </w:rPr>
        <w:t xml:space="preserve">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 </w:t>
      </w:r>
    </w:p>
    <w:p>
      <w:pPr>
        <w:pStyle w:val="TextBody"/>
        <w:spacing w:before="240" w:after="0"/>
        <w:jc w:val="left"/>
        <w:rPr>
          <w:rFonts w:ascii="ARIAL" w:hAnsi="ARIAL"/>
          <w:sz w:val="20"/>
        </w:rPr>
      </w:pPr>
      <w:r>
        <w:rPr>
          <w:rFonts w:ascii="ARIAL" w:hAnsi="ARIAL"/>
          <w:sz w:val="20"/>
        </w:rPr>
        <w:t xml:space="preserve">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 </w:t>
      </w:r>
    </w:p>
    <w:p>
      <w:pPr>
        <w:pStyle w:val="TextBody"/>
        <w:spacing w:before="240" w:after="0"/>
        <w:jc w:val="left"/>
        <w:rPr>
          <w:rFonts w:ascii="ARIAL" w:hAnsi="ARIAL"/>
          <w:sz w:val="20"/>
        </w:rPr>
      </w:pPr>
      <w:r>
        <w:rPr>
          <w:rFonts w:ascii="ARIAL" w:hAnsi="ARIAL"/>
          <w:sz w:val="20"/>
        </w:rPr>
        <w:t xml:space="preserve">A holder of debt securities of any series may pursue any remedy under the indenture applicable to the debt securities of that series only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the holder gives the trustee written notice of a continuing event of default for such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the holders of at least 25% in principal amount of the debt securities of such series then outstanding make a written request to the trustee to pursue the remedy;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the holder furnishes to the trustee indemnity reasonably satisfactory to the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the trustee fails to act for a period of 60 days after receipt of notice and furnishing of indemnity;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during that 60-day period, the holders of a majority in principal amount of the outstanding debt securities of that series do not give the trustee a direction inconsistent with the request.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This provision does not, however, affect the right of any holder to sue for enforcement of any overdue payment with respect to the debt securities of such series. </w:t>
      </w:r>
    </w:p>
    <w:p>
      <w:pPr>
        <w:pStyle w:val="TextBody"/>
        <w:spacing w:before="240" w:after="0"/>
        <w:jc w:val="left"/>
        <w:rPr>
          <w:rFonts w:ascii="ARIAL" w:hAnsi="ARIAL"/>
          <w:sz w:val="20"/>
        </w:rPr>
      </w:pPr>
      <w:r>
        <w:rPr>
          <w:rFonts w:ascii="ARIAL" w:hAnsi="ARIAL"/>
          <w:sz w:val="20"/>
        </w:rPr>
        <w:t xml:space="preserve">In most cases, holders of a majority in principal amount of the outstanding debt securities of any series issued by the Company (or of all outstanding debt securities affected, voting as one class) may direct the time, method and place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conducting any proceeding for any remedy available to the trustee with respect to the debt securities of such series;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exercising any trust or power conferred on the trustee not relating to or arising under an event of default with respect to the debt securities of such series. </w:t>
            </w:r>
          </w:p>
        </w:tc>
      </w:tr>
    </w:tbl>
    <w:p>
      <w:pPr>
        <w:pStyle w:val="TextBody"/>
        <w:spacing w:before="240" w:after="0"/>
        <w:jc w:val="left"/>
        <w:rPr>
          <w:rFonts w:ascii="ARIAL" w:hAnsi="ARIAL"/>
          <w:sz w:val="20"/>
        </w:rPr>
      </w:pPr>
      <w:r>
        <w:rPr>
          <w:rFonts w:ascii="ARIAL" w:hAnsi="ARIAL"/>
          <w:sz w:val="20"/>
        </w:rPr>
        <w:t xml:space="preserve">The indenture requires the Company to file with the trustee each year a written statement as to its compliance with the covenants contained in the indenture. </w:t>
      </w:r>
    </w:p>
    <w:p>
      <w:pPr>
        <w:pStyle w:val="TextBody"/>
        <w:spacing w:before="360" w:after="0"/>
        <w:jc w:val="left"/>
        <w:rPr>
          <w:rFonts w:ascii="ARIAL" w:hAnsi="ARIAL"/>
          <w:b/>
          <w:sz w:val="20"/>
        </w:rPr>
      </w:pPr>
      <w:r>
        <w:rPr>
          <w:rFonts w:ascii="ARIAL" w:hAnsi="ARIAL"/>
          <w:b/>
          <w:sz w:val="20"/>
        </w:rPr>
        <w:t xml:space="preserve">Modification and Waiver </w:t>
      </w:r>
    </w:p>
    <w:p>
      <w:pPr>
        <w:pStyle w:val="TextBody"/>
        <w:spacing w:before="120" w:after="0"/>
        <w:jc w:val="left"/>
        <w:rPr>
          <w:rFonts w:ascii="ARIAL" w:hAnsi="ARIAL"/>
          <w:sz w:val="20"/>
        </w:rPr>
      </w:pPr>
      <w:r>
        <w:rPr>
          <w:rFonts w:ascii="ARIAL" w:hAnsi="ARIAL"/>
          <w:sz w:val="20"/>
        </w:rPr>
        <w:t xml:space="preserve">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w:t>
      </w:r>
    </w:p>
    <w:p>
      <w:pPr>
        <w:pStyle w:val="TextBody"/>
        <w:spacing w:before="240" w:after="0"/>
        <w:jc w:val="left"/>
        <w:rPr>
          <w:rFonts w:ascii="ARIAL" w:hAnsi="ARIAL"/>
          <w:sz w:val="20"/>
        </w:rPr>
      </w:pPr>
      <w:r>
        <w:rPr>
          <w:rFonts w:ascii="ARIAL" w:hAnsi="ARIAL"/>
          <w:sz w:val="20"/>
        </w:rPr>
        <w:t xml:space="preserve">Without the consent of each holder of outstanding debt securities of any series, an amendment, supplement or waiver may not (with respect to any debt securities held by a non-consenting holder):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reduce the amount of debt securities of such series whose holders must consent to an amendment, supplement or waiver;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reduce the rate of or change the time for payment of interest on the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reduce the principal or change the stated maturity of any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reduce any premium payable on the redemption of any debt security of such series or change the time at which any debt security of such series may or must be redeemed;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change any obligation to pay Additional Amounts on the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make payments on any debt security of such series payable in currency other than as originally stated in such debt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impair the holders right to institute suit for the enforcement of any payment on any debt security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make any change in the percentage of principal amount of the debt securities of such series necessary to waive compliance with certain provisions of the indenture the debt securities of such series were issued under or to make any change in this provision for modification;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waive a continuing default or Event of Default regarding any payment on the debt securities.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Notwithstanding the preceding, without the consent of any holder of debt securities of any series, the Company, the Guarantor and the trustee may amend or supplement the indenture, the applicable debt securities of any series or the Guarantee in certain circumstances,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to cure any ambiguity, omission, defect or inconsistency;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to provide for the assumption of the Companys or the Guarantors obligations under the indenture, and such series of debt securities or the Guarantee, as applicable, by a successor upon any merger, consolidation or asset transfer in accordance with the requirements under Consolidation, Merger and Sale of Assets or to provide for the assumption of the Companys obligations under the indenture by a subsidiary of the Guarantor in accordance with the requirements under Assumption by a Subsidiary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to provide for uncertificated debt securities of any series in addition to or in place of certificated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to provide any security for or guarantees of the debt securities or for the addition of an additional obligor on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to comply with any requirement to effect or maintain the qualification of the indenture under the Trust Indenture Act, if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to add covenants that would benefit the holders of any outstanding series of debt securities or to surrender any rights the Company has under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to provide for the issuance of and establish forms and terms and conditions of a new series of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to issue additional debt securities of any series; provided that such additional debt securities have the same terms as, and be deemed part of the same series as, the applicable series of debt securities to the extent required under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to add additional Events of Default with respect to any series of debt securities;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to make any change that does not adversely affect any of its outstanding debt securities of such series in any material respect. </w:t>
            </w:r>
          </w:p>
        </w:tc>
      </w:tr>
    </w:tbl>
    <w:p>
      <w:pPr>
        <w:pStyle w:val="TextBody"/>
        <w:spacing w:before="360" w:after="0"/>
        <w:jc w:val="left"/>
        <w:rPr>
          <w:rFonts w:ascii="ARIAL" w:hAnsi="ARIAL"/>
          <w:b/>
          <w:sz w:val="20"/>
        </w:rPr>
      </w:pPr>
      <w:r>
        <w:rPr>
          <w:rFonts w:ascii="ARIAL" w:hAnsi="ARIAL"/>
          <w:b/>
          <w:sz w:val="20"/>
        </w:rPr>
        <w:t xml:space="preserve">No Personal Liability of Directors, Officers, Employees, Stockholders and Certain Others </w:t>
      </w:r>
    </w:p>
    <w:p>
      <w:pPr>
        <w:pStyle w:val="TextBody"/>
        <w:spacing w:before="120" w:after="0"/>
        <w:jc w:val="left"/>
        <w:rPr>
          <w:rFonts w:ascii="ARIAL" w:hAnsi="ARIAL"/>
          <w:sz w:val="20"/>
        </w:rPr>
      </w:pPr>
      <w:r>
        <w:rPr>
          <w:rFonts w:ascii="ARIAL" w:hAnsi="ARIAL"/>
          <w:sz w:val="20"/>
        </w:rPr>
        <w:t xml:space="preserve">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sz w:val="20"/>
        </w:rPr>
      </w:pPr>
      <w:r>
        <w:rPr>
          <w:rFonts w:ascii="ARIAL" w:hAnsi="ARIAL"/>
          <w:b/>
          <w:sz w:val="20"/>
        </w:rPr>
        <w:t xml:space="preserve">Defeasance </w:t>
      </w:r>
    </w:p>
    <w:p>
      <w:pPr>
        <w:pStyle w:val="TextBody"/>
        <w:spacing w:before="120" w:after="0"/>
        <w:jc w:val="left"/>
        <w:rPr>
          <w:rFonts w:ascii="ARIAL" w:hAnsi="ARIAL"/>
          <w:sz w:val="20"/>
        </w:rPr>
      </w:pPr>
      <w:r>
        <w:rPr>
          <w:rFonts w:ascii="ARIAL" w:hAnsi="ARIAL"/>
          <w:sz w:val="20"/>
        </w:rPr>
        <w:t xml:space="preserve">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it will be discharged from its obligations with respect to the debt securities of such series, except as described in the paragraph immediately below (legal defeasance);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it will no longer have any obligation to comply with the restrictive covenants under the indenture with respect to the debt securities of such series, and the related Events of Default will no longer apply to the Company (covenant defeasance). </w:t>
            </w:r>
          </w:p>
        </w:tc>
      </w:tr>
    </w:tbl>
    <w:p>
      <w:pPr>
        <w:pStyle w:val="TextBody"/>
        <w:spacing w:before="240" w:after="0"/>
        <w:jc w:val="left"/>
        <w:rPr>
          <w:rFonts w:ascii="ARIAL" w:hAnsi="ARIAL"/>
          <w:sz w:val="20"/>
        </w:rPr>
      </w:pPr>
      <w:r>
        <w:rPr>
          <w:rFonts w:ascii="ARIAL" w:hAnsi="ARIAL"/>
          <w:sz w:val="20"/>
        </w:rPr>
        <w:t xml:space="preserve">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pay Additional Amounts, maintain paying agencies and hold moneys for payment in trust and to compensate and indemnify the trustee. In the case of covenant defeasance, the Companys obligation to pay principal, premium and interest on the debt securities of such series will also survive. </w:t>
      </w:r>
    </w:p>
    <w:p>
      <w:pPr>
        <w:pStyle w:val="TextBody"/>
        <w:spacing w:before="240" w:after="0"/>
        <w:jc w:val="left"/>
        <w:rPr>
          <w:rFonts w:ascii="ARIAL" w:hAnsi="ARIAL"/>
          <w:sz w:val="20"/>
        </w:rPr>
      </w:pPr>
      <w:r>
        <w:rPr>
          <w:rFonts w:ascii="ARIAL" w:hAnsi="ARIAL"/>
          <w:sz w:val="20"/>
        </w:rPr>
        <w:t xml:space="preserve">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U.S. Internal Revenue Service addressed to the Company or trustee or a change in law to that effect. </w:t>
      </w:r>
    </w:p>
    <w:p>
      <w:pPr>
        <w:pStyle w:val="TextBody"/>
        <w:spacing w:before="360" w:after="0"/>
        <w:jc w:val="left"/>
        <w:rPr>
          <w:rFonts w:ascii="ARIAL" w:hAnsi="ARIAL"/>
          <w:b/>
          <w:sz w:val="20"/>
        </w:rPr>
      </w:pPr>
      <w:r>
        <w:rPr>
          <w:rFonts w:ascii="ARIAL" w:hAnsi="ARIAL"/>
          <w:b/>
          <w:sz w:val="20"/>
        </w:rPr>
        <w:t xml:space="preserve">Concerning the Trustee </w:t>
      </w:r>
    </w:p>
    <w:p>
      <w:pPr>
        <w:pStyle w:val="TextBody"/>
        <w:spacing w:before="120" w:after="0"/>
        <w:jc w:val="left"/>
        <w:rPr>
          <w:rFonts w:ascii="ARIAL" w:hAnsi="ARIAL"/>
          <w:sz w:val="20"/>
        </w:rPr>
      </w:pPr>
      <w:r>
        <w:rPr>
          <w:rFonts w:ascii="ARIAL" w:hAnsi="ARIAL"/>
          <w:sz w:val="20"/>
        </w:rPr>
        <w:t xml:space="preserve">The Bank of New York Mellon is trustee under the indenture. The trustee performs services for the Guarantor and its subsidiaries in the ordinary course of business. </w:t>
      </w:r>
    </w:p>
    <w:p>
      <w:pPr>
        <w:pStyle w:val="TextBody"/>
        <w:spacing w:before="240" w:after="0"/>
        <w:jc w:val="left"/>
        <w:rPr>
          <w:rFonts w:ascii="ARIAL" w:hAnsi="ARIAL"/>
          <w:sz w:val="20"/>
        </w:rPr>
      </w:pPr>
      <w:r>
        <w:rPr>
          <w:rFonts w:ascii="ARIAL" w:hAnsi="ARIAL"/>
          <w:sz w:val="20"/>
        </w:rPr>
        <w:t xml:space="preserve">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reasonably satisfactory to it. </w:t>
      </w:r>
    </w:p>
    <w:p>
      <w:pPr>
        <w:pStyle w:val="TextBody"/>
        <w:spacing w:before="240" w:after="0"/>
        <w:jc w:val="left"/>
        <w:rPr>
          <w:rFonts w:ascii="ARIAL" w:hAnsi="ARIAL"/>
          <w:sz w:val="20"/>
        </w:rPr>
      </w:pPr>
      <w:r>
        <w:rPr>
          <w:rFonts w:ascii="ARIAL" w:hAnsi="ARIAL"/>
          <w:sz w:val="20"/>
        </w:rPr>
        <w:t xml:space="preserve">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 </w:t>
      </w:r>
    </w:p>
    <w:p>
      <w:pPr>
        <w:pStyle w:val="TextBody"/>
        <w:spacing w:before="360" w:after="0"/>
        <w:jc w:val="left"/>
        <w:rPr>
          <w:rFonts w:ascii="ARIAL" w:hAnsi="ARIAL"/>
          <w:b/>
          <w:sz w:val="20"/>
        </w:rPr>
      </w:pPr>
      <w:r>
        <w:rPr>
          <w:rFonts w:ascii="ARIAL" w:hAnsi="ARIAL"/>
          <w:b/>
          <w:sz w:val="20"/>
        </w:rPr>
        <w:t xml:space="preserve">Paying Agent and Registrar for the Debt Securities </w:t>
      </w:r>
    </w:p>
    <w:p>
      <w:pPr>
        <w:pStyle w:val="TextBody"/>
        <w:spacing w:before="120" w:after="0"/>
        <w:jc w:val="left"/>
        <w:rPr>
          <w:rFonts w:ascii="ARIAL" w:hAnsi="ARIAL"/>
          <w:sz w:val="20"/>
        </w:rPr>
      </w:pPr>
      <w:r>
        <w:rPr>
          <w:rFonts w:ascii="ARIAL" w:hAnsi="ARIAL"/>
          <w:sz w:val="20"/>
        </w:rPr>
        <w:t xml:space="preserve">We will maintain one or more paying agents (each, a Paying Agent) for any debt securities we issue in the Borough of Manhattan, City of New York. We will also maintain a Paying Agent in a member state of the European Union that is not obligated to withhold or deduct tax pursuant to the European Union Directive 2003/48/EC or any other directive implementing the conclusions of the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 </w:t>
      </w:r>
    </w:p>
    <w:p>
      <w:pPr>
        <w:pStyle w:val="TextBody"/>
        <w:spacing w:before="240" w:after="0"/>
        <w:jc w:val="left"/>
        <w:rPr>
          <w:rFonts w:ascii="ARIAL" w:hAnsi="ARIAL"/>
          <w:sz w:val="20"/>
        </w:rPr>
      </w:pPr>
      <w:r>
        <w:rPr>
          <w:rFonts w:ascii="ARIAL" w:hAnsi="ARIAL"/>
          <w:sz w:val="20"/>
        </w:rPr>
        <w:t xml:space="preserve">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 </w:t>
      </w:r>
    </w:p>
    <w:p>
      <w:pPr>
        <w:pStyle w:val="TextBody"/>
        <w:spacing w:before="240" w:after="0"/>
        <w:jc w:val="left"/>
        <w:rPr>
          <w:rFonts w:ascii="ARIAL" w:hAnsi="ARIAL"/>
          <w:sz w:val="20"/>
        </w:rPr>
      </w:pPr>
      <w:r>
        <w:rPr>
          <w:rFonts w:ascii="ARIAL" w:hAnsi="ARIAL"/>
          <w:sz w:val="20"/>
        </w:rPr>
        <w:t xml:space="preserve">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 </w:t>
      </w:r>
    </w:p>
    <w:p>
      <w:pPr>
        <w:pStyle w:val="TextBody"/>
        <w:spacing w:before="240" w:after="0"/>
        <w:jc w:val="left"/>
        <w:rPr>
          <w:rFonts w:ascii="ARIAL" w:hAnsi="ARIAL"/>
          <w:sz w:val="20"/>
        </w:rPr>
      </w:pPr>
      <w:r>
        <w:rPr>
          <w:rFonts w:ascii="ARIAL" w:hAnsi="ARIAL"/>
          <w:sz w:val="20"/>
        </w:rPr>
        <w:t xml:space="preserve">The Registrar will maintain a register reflecting ownership of debt securities outstanding from time to time and the Paying Agent will make payments on and facilitate transfer of debt securities on our behalf. </w:t>
      </w:r>
    </w:p>
    <w:p>
      <w:pPr>
        <w:pStyle w:val="TextBody"/>
        <w:spacing w:before="240" w:after="0"/>
        <w:jc w:val="left"/>
        <w:rPr>
          <w:rFonts w:ascii="ARIAL" w:hAnsi="ARIAL"/>
          <w:sz w:val="20"/>
        </w:rPr>
      </w:pPr>
      <w:r>
        <w:rPr>
          <w:rFonts w:ascii="ARIAL" w:hAnsi="ARIAL"/>
          <w:sz w:val="20"/>
        </w:rPr>
        <w:t xml:space="preserve">We may change any Paying Agents, Registrars or transfer agents without prior notice to the holders of debt securities. </w:t>
      </w:r>
    </w:p>
    <w:p>
      <w:pPr>
        <w:pStyle w:val="TextBody"/>
        <w:spacing w:before="360" w:after="0"/>
        <w:jc w:val="left"/>
        <w:rPr>
          <w:rFonts w:ascii="ARIAL" w:hAnsi="ARIAL"/>
          <w:b/>
          <w:sz w:val="20"/>
        </w:rPr>
      </w:pPr>
      <w:r>
        <w:rPr>
          <w:rFonts w:ascii="ARIAL" w:hAnsi="ARIAL"/>
          <w:b/>
          <w:sz w:val="20"/>
        </w:rPr>
        <w:t xml:space="preserve">Book-Entry, Delivery and Form </w:t>
      </w:r>
    </w:p>
    <w:p>
      <w:pPr>
        <w:pStyle w:val="TextBody"/>
        <w:spacing w:before="120" w:after="0"/>
        <w:jc w:val="left"/>
        <w:rPr>
          <w:rFonts w:ascii="ARIAL" w:hAnsi="ARIAL"/>
          <w:sz w:val="20"/>
        </w:rPr>
      </w:pPr>
      <w:r>
        <w:rPr>
          <w:rFonts w:ascii="ARIAL" w:hAnsi="ARIAL"/>
          <w:sz w:val="20"/>
        </w:rPr>
        <w:t xml:space="preserve">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 </w:t>
      </w:r>
    </w:p>
    <w:p>
      <w:pPr>
        <w:pStyle w:val="TextBody"/>
        <w:spacing w:before="240" w:after="0"/>
        <w:jc w:val="left"/>
        <w:rPr>
          <w:rFonts w:ascii="ARIAL" w:hAnsi="ARIAL"/>
          <w:sz w:val="20"/>
        </w:rPr>
      </w:pPr>
      <w:r>
        <w:rPr>
          <w:rFonts w:ascii="ARIAL" w:hAnsi="ARIAL"/>
          <w:sz w:val="20"/>
        </w:rPr>
        <w:t xml:space="preserve">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 </w:t>
      </w:r>
    </w:p>
    <w:p>
      <w:pPr>
        <w:pStyle w:val="TextBody"/>
        <w:spacing w:before="240" w:after="0"/>
        <w:jc w:val="left"/>
        <w:rPr>
          <w:rFonts w:ascii="ARIAL" w:hAnsi="ARIAL"/>
          <w:sz w:val="20"/>
        </w:rPr>
      </w:pPr>
      <w:r>
        <w:rPr>
          <w:rFonts w:ascii="ARIAL" w:hAnsi="ARIAL"/>
          <w:sz w:val="20"/>
        </w:rPr>
        <w:t xml:space="preserve">Beneficial interests in the global securities will be represented through book-entry accounts of financial institutions acting on behalf of beneficial owners as direct or indirect participants in DTC. </w:t>
      </w:r>
    </w:p>
    <w:p>
      <w:pPr>
        <w:pStyle w:val="TextBody"/>
        <w:spacing w:before="240" w:after="0"/>
        <w:jc w:val="left"/>
        <w:rPr>
          <w:rFonts w:ascii="ARIAL" w:hAnsi="ARIAL"/>
          <w:sz w:val="20"/>
        </w:rPr>
      </w:pPr>
      <w:r>
        <w:rPr>
          <w:rFonts w:ascii="ARIAL" w:hAnsi="ARIAL"/>
          <w:sz w:val="20"/>
        </w:rPr>
        <w:t xml:space="preserve">Investors may elect to hold their interests in the global securities in DTC (in the United States) through its direct and indirect participants, including Euroclear Bank SA/NV, or Euroclear, and Clearstream Banking S.A., or Clearstream. Investors may hold their interests in the global securities directly if they are participants of such systems, or indirectly through organizations that are participants in these systems. Clearstream and Euroclear will hold interests on behalf of their participants through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 </w:t>
      </w:r>
    </w:p>
    <w:p>
      <w:pPr>
        <w:pStyle w:val="TextBody"/>
        <w:spacing w:before="240" w:after="0"/>
        <w:jc w:val="left"/>
        <w:rPr>
          <w:rFonts w:ascii="ARIAL" w:hAnsi="ARIAL"/>
          <w:sz w:val="20"/>
        </w:rPr>
      </w:pPr>
      <w:r>
        <w:rPr>
          <w:rFonts w:ascii="ARIAL" w:hAnsi="ARIAL"/>
          <w:sz w:val="20"/>
        </w:rPr>
        <w:t xml:space="preserve">Debt securities represented by a global security can be exchanged for definitive securities in registered form only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DTC notifies us that it is unwilling or unable to continue as Debt Depository for that global security and we do not appoint a successor Debt Depository within 90 days after receiving that notice;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ARIAL" w:hAnsi="ARIAL"/>
                <w:sz w:val="20"/>
              </w:rPr>
            </w:pPr>
            <w:r>
              <w:rPr>
                <w:rFonts w:ascii="ARIAL" w:hAnsi="ARIAL"/>
                <w:sz w:val="20"/>
              </w:rPr>
              <w:t xml:space="preserve">we determine that that global security will be exchangeable for definitive securities in registered form and notify the trustee of such decision in writing. </w:t>
            </w:r>
          </w:p>
        </w:tc>
      </w:tr>
    </w:tbl>
    <w:p>
      <w:pPr>
        <w:pStyle w:val="TextBody"/>
        <w:spacing w:before="240" w:after="0"/>
        <w:jc w:val="left"/>
        <w:rPr>
          <w:rFonts w:ascii="ARIAL" w:hAnsi="ARIAL"/>
          <w:sz w:val="20"/>
        </w:rPr>
      </w:pPr>
      <w:r>
        <w:rPr>
          <w:rFonts w:ascii="ARIAL" w:hAnsi="ARIAL"/>
          <w:sz w:val="20"/>
        </w:rPr>
        <w:t xml:space="preserve">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 </w:t>
      </w:r>
    </w:p>
    <w:p>
      <w:pPr>
        <w:pStyle w:val="TextBody"/>
        <w:spacing w:before="240" w:after="0"/>
        <w:jc w:val="left"/>
        <w:rPr>
          <w:rFonts w:ascii="ARIAL" w:hAnsi="ARIAL"/>
          <w:sz w:val="20"/>
        </w:rPr>
      </w:pPr>
      <w:r>
        <w:rPr>
          <w:rFonts w:ascii="ARIAL" w:hAnsi="ARIAL"/>
          <w:sz w:val="20"/>
        </w:rPr>
        <w:t xml:space="preserve">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ARIAL" w:hAnsi="ARIAL"/>
                <w:sz w:val="20"/>
              </w:rPr>
            </w:pPr>
            <w:r>
              <w:rPr>
                <w:rFonts w:ascii="ARIAL" w:hAnsi="ARIAL"/>
                <w:sz w:val="20"/>
              </w:rPr>
              <w:t xml:space="preserve">any aspect of DTCs records relating to, or payments made on account of, beneficial ownership interests in a debt security represented by a global security;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 </w:t>
            </w:r>
          </w:p>
        </w:tc>
      </w:tr>
    </w:tbl>
    <w:p>
      <w:pPr>
        <w:pStyle w:val="TextBody"/>
        <w:spacing w:before="240" w:after="0"/>
        <w:jc w:val="left"/>
        <w:rPr>
          <w:rFonts w:ascii="ARIAL" w:hAnsi="ARIAL"/>
          <w:sz w:val="20"/>
        </w:rPr>
      </w:pPr>
      <w:r>
        <w:rPr>
          <w:rFonts w:ascii="ARIAL" w:hAnsi="ARIAL"/>
          <w:sz w:val="20"/>
        </w:rPr>
        <w:t xml:space="preserve">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 </w:t>
      </w:r>
    </w:p>
    <w:p>
      <w:pPr>
        <w:pStyle w:val="TextBody"/>
        <w:spacing w:before="360" w:after="0"/>
        <w:jc w:val="left"/>
        <w:rPr>
          <w:rFonts w:ascii="ARIAL" w:hAnsi="ARIAL"/>
          <w:b/>
          <w:i/>
          <w:sz w:val="20"/>
        </w:rPr>
      </w:pPr>
      <w:r>
        <w:rPr>
          <w:rFonts w:ascii="ARIAL" w:hAnsi="ARIAL"/>
          <w:b/>
          <w:i/>
          <w:sz w:val="20"/>
        </w:rPr>
        <w:t xml:space="preserve">DTC </w:t>
      </w:r>
    </w:p>
    <w:p>
      <w:pPr>
        <w:pStyle w:val="TextBody"/>
        <w:spacing w:before="120" w:after="0"/>
        <w:jc w:val="left"/>
        <w:rPr>
          <w:rFonts w:ascii="ARIAL" w:hAnsi="ARIAL"/>
          <w:sz w:val="20"/>
        </w:rPr>
      </w:pPr>
      <w:r>
        <w:rPr>
          <w:rFonts w:ascii="ARIAL" w:hAnsi="ARIAL"/>
          <w:sz w:val="20"/>
        </w:rPr>
        <w:t xml:space="preserve">So long as DTC or its nominee is the registered owner of a global security, DTC or its nominee, as the case may be, will be considered the sole owner and holder of the debt securities represented by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 </w:t>
      </w:r>
    </w:p>
    <w:p>
      <w:pPr>
        <w:pStyle w:val="TextBody"/>
        <w:spacing w:before="240" w:after="0"/>
        <w:jc w:val="left"/>
        <w:rPr>
          <w:rFonts w:ascii="ARIAL" w:hAnsi="ARIAL"/>
          <w:sz w:val="20"/>
        </w:rPr>
      </w:pPr>
      <w:r>
        <w:rPr>
          <w:rFonts w:ascii="ARIAL" w:hAnsi="ARIAL"/>
          <w:sz w:val="20"/>
        </w:rPr>
        <w:t xml:space="preserve">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 </w:t>
      </w:r>
    </w:p>
    <w:p>
      <w:pPr>
        <w:pStyle w:val="TextBody"/>
        <w:spacing w:before="240" w:after="0"/>
        <w:jc w:val="left"/>
        <w:rPr>
          <w:rFonts w:ascii="ARIAL" w:hAnsi="ARIAL"/>
          <w:sz w:val="20"/>
        </w:rPr>
      </w:pPr>
      <w:r>
        <w:rPr>
          <w:rFonts w:ascii="ARIAL" w:hAnsi="ARIAL"/>
          <w:sz w:val="20"/>
        </w:rPr>
        <w:t xml:space="preserve">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 </w:t>
      </w:r>
    </w:p>
    <w:p>
      <w:pPr>
        <w:pStyle w:val="TextBody"/>
        <w:spacing w:before="240" w:after="0"/>
        <w:jc w:val="left"/>
        <w:rPr>
          <w:rFonts w:ascii="ARIAL" w:hAnsi="ARIAL"/>
          <w:sz w:val="20"/>
        </w:rPr>
      </w:pPr>
      <w:r>
        <w:rPr>
          <w:rFonts w:ascii="ARIAL" w:hAnsi="ARIAL"/>
          <w:sz w:val="20"/>
        </w:rPr>
        <w:t xml:space="preserve">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 </w:t>
      </w:r>
    </w:p>
    <w:p>
      <w:pPr>
        <w:pStyle w:val="TextBody"/>
        <w:spacing w:before="240" w:after="0"/>
        <w:jc w:val="left"/>
        <w:rPr>
          <w:rFonts w:ascii="ARIAL" w:hAnsi="ARIAL"/>
          <w:sz w:val="20"/>
        </w:rPr>
      </w:pPr>
      <w:r>
        <w:rPr>
          <w:rFonts w:ascii="ARIAL" w:hAnsi="ARIAL"/>
          <w:sz w:val="20"/>
        </w:rPr>
        <w:t xml:space="preserve">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 </w:t>
      </w:r>
    </w:p>
    <w:p>
      <w:pPr>
        <w:pStyle w:val="TextBody"/>
        <w:spacing w:before="240" w:after="0"/>
        <w:jc w:val="left"/>
        <w:rPr>
          <w:rFonts w:ascii="ARIAL" w:hAnsi="ARIAL"/>
          <w:sz w:val="20"/>
        </w:rPr>
      </w:pPr>
      <w:r>
        <w:rPr>
          <w:rFonts w:ascii="ARIAL" w:hAnsi="ARIAL"/>
          <w:sz w:val="20"/>
        </w:rPr>
        <w:t xml:space="preserve">The information in this section concerning DTC and DTCs book-entry system has been obtained from sources that we believe to be reliable, but none of us, the trustee or any of our respective agents takes any responsibility for the accuracy thereof. </w:t>
      </w:r>
    </w:p>
    <w:p>
      <w:pPr>
        <w:pStyle w:val="TextBody"/>
        <w:spacing w:before="360" w:after="0"/>
        <w:jc w:val="left"/>
        <w:rPr>
          <w:rFonts w:ascii="ARIAL" w:hAnsi="ARIAL"/>
          <w:b/>
          <w:i/>
          <w:sz w:val="20"/>
        </w:rPr>
      </w:pPr>
      <w:r>
        <w:rPr>
          <w:rFonts w:ascii="ARIAL" w:hAnsi="ARIAL"/>
          <w:b/>
          <w:i/>
          <w:sz w:val="20"/>
        </w:rPr>
        <w:t xml:space="preserve">Clearstream </w:t>
      </w:r>
    </w:p>
    <w:p>
      <w:pPr>
        <w:pStyle w:val="TextBody"/>
        <w:spacing w:before="120" w:after="0"/>
        <w:jc w:val="left"/>
        <w:rPr>
          <w:rFonts w:ascii="ARIAL" w:hAnsi="ARIAL"/>
          <w:sz w:val="20"/>
        </w:rPr>
      </w:pPr>
      <w:r>
        <w:rPr>
          <w:rFonts w:ascii="ARIAL" w:hAnsi="ARIAL"/>
          <w:sz w:val="20"/>
        </w:rPr>
        <w:t xml:space="preserve">Clearstream has advised us that it is incorporated under the laws of Luxembourg as a professional depositary. Clearstream holds securities for its participating organizations, or Clearstream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 </w:t>
      </w:r>
    </w:p>
    <w:p>
      <w:pPr>
        <w:pStyle w:val="TextBody"/>
        <w:spacing w:before="240" w:after="0"/>
        <w:jc w:val="left"/>
        <w:rPr>
          <w:rFonts w:ascii="ARIAL" w:hAnsi="ARIAL"/>
          <w:sz w:val="20"/>
        </w:rPr>
      </w:pPr>
      <w:r>
        <w:rPr>
          <w:rFonts w:ascii="ARIAL" w:hAnsi="ARIAL"/>
          <w:sz w:val="20"/>
        </w:rPr>
        <w:t xml:space="preserve">Distributions with respect to debt securities held beneficially through Clearstream will be credited to cash accounts of Clearstream Participants in accordance with its rules and procedures, to the extent received by the U.S. depositary for Clearstream. </w:t>
      </w:r>
    </w:p>
    <w:p>
      <w:pPr>
        <w:pStyle w:val="TextBody"/>
        <w:spacing w:before="360" w:after="0"/>
        <w:jc w:val="left"/>
        <w:rPr>
          <w:rFonts w:ascii="ARIAL" w:hAnsi="ARIAL"/>
          <w:b/>
          <w:i/>
          <w:sz w:val="20"/>
        </w:rPr>
      </w:pPr>
      <w:r>
        <w:rPr>
          <w:rFonts w:ascii="ARIAL" w:hAnsi="ARIAL"/>
          <w:b/>
          <w:i/>
          <w:sz w:val="20"/>
        </w:rPr>
        <w:t xml:space="preserve">Euroclear </w:t>
      </w:r>
    </w:p>
    <w:p>
      <w:pPr>
        <w:pStyle w:val="TextBody"/>
        <w:spacing w:before="120" w:after="0"/>
        <w:jc w:val="left"/>
        <w:rPr>
          <w:rFonts w:ascii="ARIAL" w:hAnsi="ARIAL"/>
          <w:sz w:val="20"/>
        </w:rPr>
      </w:pPr>
      <w:r>
        <w:rPr>
          <w:rFonts w:ascii="ARIAL" w:hAnsi="ARIAL"/>
          <w:sz w:val="20"/>
        </w:rPr>
        <w:t xml:space="preserve">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w:t>
      </w:r>
    </w:p>
    <w:p>
      <w:pPr>
        <w:pStyle w:val="TextBody"/>
        <w:spacing w:before="240" w:after="0"/>
        <w:jc w:val="left"/>
        <w:rPr>
          <w:rFonts w:ascii="ARIAL" w:hAnsi="ARIAL"/>
          <w:sz w:val="20"/>
        </w:rPr>
      </w:pPr>
      <w:r>
        <w:rPr>
          <w:rFonts w:ascii="ARIAL" w:hAnsi="ARIAL"/>
          <w:sz w:val="20"/>
        </w:rPr>
        <w:t xml:space="preserve">The Euroclear Operator advises us that it is regulated and examined by the Belgian banking and Finance Commission and the National Bank of Belgium. </w:t>
      </w:r>
    </w:p>
    <w:p>
      <w:pPr>
        <w:pStyle w:val="TextBody"/>
        <w:spacing w:before="240" w:after="0"/>
        <w:jc w:val="left"/>
        <w:rPr>
          <w:rFonts w:ascii="ARIAL" w:hAnsi="ARIAL"/>
          <w:sz w:val="20"/>
        </w:rPr>
      </w:pPr>
      <w:r>
        <w:rPr>
          <w:rFonts w:ascii="ARIAL" w:hAnsi="ARIAL"/>
          <w:sz w:val="20"/>
        </w:rPr>
        <w:t xml:space="preserve">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spacing w:before="240" w:after="0"/>
        <w:jc w:val="left"/>
        <w:rPr>
          <w:rFonts w:ascii="ARIAL" w:hAnsi="ARIAL"/>
          <w:sz w:val="20"/>
        </w:rPr>
      </w:pPr>
      <w:r>
        <w:rPr>
          <w:rFonts w:ascii="ARIAL" w:hAnsi="ARIAL"/>
          <w:sz w:val="20"/>
        </w:rPr>
        <w:t xml:space="preserve">Distributions with respect to debt securities held beneficially through Euroclear will be credited to the cash accounts of Euroclear Participants in accordance with the Terms and Conditions, to the extent received by the U.S. depositary for Euroclear.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 </w:t>
      </w:r>
    </w:p>
    <w:p>
      <w:pPr>
        <w:pStyle w:val="TextBody"/>
        <w:spacing w:before="360" w:after="0"/>
        <w:jc w:val="left"/>
        <w:rPr>
          <w:rFonts w:ascii="ARIAL" w:hAnsi="ARIAL"/>
          <w:b/>
          <w:sz w:val="20"/>
        </w:rPr>
      </w:pPr>
      <w:r>
        <w:rPr>
          <w:rFonts w:ascii="ARIAL" w:hAnsi="ARIAL"/>
          <w:b/>
          <w:sz w:val="20"/>
        </w:rPr>
        <w:t xml:space="preserve">Global Clearance and Settlement Procedures </w:t>
      </w:r>
    </w:p>
    <w:p>
      <w:pPr>
        <w:pStyle w:val="TextBody"/>
        <w:spacing w:before="120" w:after="0"/>
        <w:jc w:val="left"/>
        <w:rPr>
          <w:rFonts w:ascii="ARIAL" w:hAnsi="ARIAL"/>
          <w:sz w:val="20"/>
        </w:rPr>
      </w:pPr>
      <w:r>
        <w:rPr>
          <w:rFonts w:ascii="ARIAL" w:hAnsi="ARIAL"/>
          <w:sz w:val="20"/>
        </w:rPr>
        <w:t xml:space="preserve">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 </w:t>
      </w:r>
    </w:p>
    <w:p>
      <w:pPr>
        <w:pStyle w:val="TextBody"/>
        <w:spacing w:before="240" w:after="0"/>
        <w:jc w:val="left"/>
        <w:rPr>
          <w:rFonts w:ascii="ARIAL" w:hAnsi="ARIAL"/>
          <w:sz w:val="20"/>
        </w:rPr>
      </w:pPr>
      <w:r>
        <w:rPr>
          <w:rFonts w:ascii="ARIAL" w:hAnsi="ARIAL"/>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spacing w:before="240" w:after="0"/>
        <w:jc w:val="left"/>
        <w:rPr>
          <w:rFonts w:ascii="ARIAL" w:hAnsi="ARIAL"/>
          <w:sz w:val="20"/>
        </w:rPr>
      </w:pPr>
      <w:r>
        <w:rPr>
          <w:rFonts w:ascii="ARIAL" w:hAnsi="ARIAL"/>
          <w:sz w:val="20"/>
        </w:rPr>
        <w:t xml:space="preserve">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 </w:t>
      </w:r>
    </w:p>
    <w:p>
      <w:pPr>
        <w:pStyle w:val="TextBody"/>
        <w:spacing w:before="240" w:after="0"/>
        <w:jc w:val="left"/>
        <w:rPr>
          <w:rFonts w:ascii="ARIAL" w:hAnsi="ARIAL"/>
          <w:sz w:val="20"/>
        </w:rPr>
      </w:pPr>
      <w:r>
        <w:rPr>
          <w:rFonts w:ascii="ARIAL" w:hAnsi="ARIAL"/>
          <w:sz w:val="20"/>
        </w:rPr>
        <w:t xml:space="preserve">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6" w:name="toc410295_10"/>
      <w:bookmarkEnd w:id="26"/>
      <w:r>
        <w:rPr>
          <w:rFonts w:ascii="ARIAL" w:hAnsi="ARIAL"/>
          <w:b/>
          <w:sz w:val="20"/>
        </w:rPr>
        <w:t xml:space="preserve">Plan of Distribution </w:t>
      </w:r>
    </w:p>
    <w:p>
      <w:pPr>
        <w:pStyle w:val="TextBody"/>
        <w:spacing w:before="240" w:after="0"/>
        <w:jc w:val="left"/>
        <w:rPr>
          <w:rFonts w:ascii="ARIAL" w:hAnsi="ARIAL"/>
          <w:sz w:val="20"/>
        </w:rPr>
      </w:pPr>
      <w:r>
        <w:rPr>
          <w:rFonts w:ascii="ARIAL" w:hAnsi="ARIAL"/>
          <w:sz w:val="20"/>
        </w:rPr>
        <w:t xml:space="preserve">We may sell the securities offered pursuant to this prospectus in any of the following ways: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directly to one or more purchasers;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through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ARIAL" w:hAnsi="ARIAL"/>
                <w:sz w:val="20"/>
              </w:rPr>
            </w:pPr>
            <w:r>
              <w:rPr>
                <w:rFonts w:ascii="ARIAL" w:hAnsi="ARIAL"/>
                <w:sz w:val="20"/>
              </w:rPr>
              <w:t xml:space="preserve">through underwriters, brokers or 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ARIAL" w:hAnsi="ARIAL"/>
                <w:sz w:val="20"/>
              </w:rPr>
            </w:pPr>
            <w:r>
              <w:rPr>
                <w:rFonts w:ascii="ARIAL" w:hAnsi="ARIAL"/>
                <w:sz w:val="20"/>
              </w:rPr>
              <w:t xml:space="preserve">through a combination of any of these methods of sale;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ARIAL" w:hAnsi="ARIAL"/>
                <w:sz w:val="20"/>
              </w:rPr>
            </w:pPr>
            <w:r>
              <w:rPr>
                <w:rFonts w:ascii="ARIAL" w:hAnsi="ARIAL"/>
                <w:sz w:val="20"/>
              </w:rPr>
              <w:t xml:space="preserve">through any other methods described in a prospectus supplement. </w:t>
            </w:r>
          </w:p>
        </w:tc>
      </w:tr>
    </w:tbl>
    <w:p>
      <w:pPr>
        <w:pStyle w:val="TextBody"/>
        <w:spacing w:before="240" w:after="0"/>
        <w:jc w:val="left"/>
        <w:rPr>
          <w:rFonts w:ascii="ARIAL" w:hAnsi="ARIAL"/>
          <w:sz w:val="20"/>
        </w:rPr>
      </w:pPr>
      <w:r>
        <w:rPr>
          <w:rFonts w:ascii="ARIAL" w:hAnsi="ARIAL"/>
          <w:sz w:val="20"/>
        </w:rPr>
        <w:t xml:space="preserve">We will identify the specific plan of distribution, including any underwriters, brokers, dealers, agents or direct purchasers and their compensation in a prospectus supplement. </w:t>
      </w:r>
    </w:p>
    <w:p>
      <w:pPr>
        <w:pStyle w:val="TextBody"/>
        <w:spacing w:before="240" w:after="0"/>
        <w:jc w:val="left"/>
        <w:rPr>
          <w:rFonts w:ascii="ARIAL" w:hAnsi="ARIAL"/>
          <w:sz w:val="20"/>
        </w:rPr>
      </w:pPr>
      <w:r>
        <w:rPr>
          <w:rFonts w:ascii="ARIAL" w:hAnsi="ARIAL"/>
          <w:sz w:val="20"/>
        </w:rPr>
        <w:t xml:space="preserve">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20"/>
        </w:rPr>
      </w:pPr>
      <w:bookmarkStart w:id="27" w:name="toc410295_11"/>
      <w:bookmarkEnd w:id="27"/>
      <w:r>
        <w:rPr>
          <w:rFonts w:ascii="ARIAL" w:hAnsi="ARIAL"/>
          <w:b/>
          <w:sz w:val="20"/>
        </w:rPr>
        <w:t xml:space="preserve">Validity of the Securities </w:t>
      </w:r>
    </w:p>
    <w:p>
      <w:pPr>
        <w:pStyle w:val="TextBody"/>
        <w:spacing w:before="240" w:after="0"/>
        <w:jc w:val="left"/>
        <w:rPr>
          <w:rFonts w:ascii="ARIAL" w:hAnsi="ARIAL"/>
          <w:sz w:val="20"/>
        </w:rPr>
      </w:pPr>
      <w:r>
        <w:rPr>
          <w:rFonts w:ascii="ARIAL" w:hAnsi="ARIAL"/>
          <w:sz w:val="20"/>
        </w:rPr>
        <w:t xml:space="preserve">The validity of the debt securities and guarantees offered hereby will be passed upon for us by Gibson, Dunn &amp; Crutcher LLP, New York, New York. Certain matters of Luxembourg law will be passed upon by Loyens &amp; Loeff Luxembourg SARL, Luxembourg, Grand Duchy of Luxembourg; and certain matters of Curaçao will be passed upon by STvB Advocaten (Europe) N.V., Amsterdam, The Netherlands. </w:t>
      </w:r>
    </w:p>
    <w:p>
      <w:pPr>
        <w:pStyle w:val="TextBody"/>
        <w:spacing w:before="480" w:after="0"/>
        <w:jc w:val="center"/>
        <w:rPr>
          <w:rFonts w:ascii="ARIAL" w:hAnsi="ARIAL"/>
          <w:b/>
          <w:sz w:val="20"/>
        </w:rPr>
      </w:pPr>
      <w:bookmarkStart w:id="28" w:name="toc410295_12"/>
      <w:bookmarkEnd w:id="28"/>
      <w:r>
        <w:rPr>
          <w:rFonts w:ascii="ARIAL" w:hAnsi="ARIAL"/>
          <w:b/>
          <w:sz w:val="20"/>
        </w:rPr>
        <w:t xml:space="preserve">Experts </w:t>
      </w:r>
    </w:p>
    <w:p>
      <w:pPr>
        <w:pStyle w:val="TextBody"/>
        <w:spacing w:before="240" w:after="0"/>
        <w:jc w:val="left"/>
        <w:rPr>
          <w:rFonts w:ascii="ARIAL" w:hAnsi="ARIAL"/>
          <w:sz w:val="20"/>
        </w:rPr>
      </w:pPr>
      <w:r>
        <w:rPr>
          <w:rFonts w:ascii="ARIAL" w:hAnsi="ARIAL"/>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480" w:after="0"/>
        <w:jc w:val="center"/>
        <w:rPr>
          <w:rFonts w:ascii="ARIAL" w:hAnsi="ARIAL"/>
          <w:b/>
          <w:sz w:val="32"/>
        </w:rPr>
      </w:pPr>
      <w:r>
        <w:rPr>
          <w:rFonts w:ascii="ARIAL" w:hAnsi="ARIAL"/>
          <w:b/>
          <w:sz w:val="32"/>
        </w:rPr>
        <w:t xml:space="preserve">Schlumberger Investment S.A. </w:t>
      </w:r>
    </w:p>
    <w:p>
      <w:pPr>
        <w:pStyle w:val="TextBody"/>
        <w:spacing w:before="480" w:after="0"/>
        <w:jc w:val="center"/>
        <w:rPr>
          <w:rFonts w:ascii="ARIAL" w:hAnsi="ARIAL"/>
          <w:b/>
          <w:sz w:val="32"/>
        </w:rPr>
      </w:pPr>
      <w:r>
        <w:rPr>
          <w:rFonts w:ascii="ARIAL" w:hAnsi="ARIAL"/>
          <w:b/>
          <w:sz w:val="32"/>
        </w:rPr>
        <w:t xml:space="preserve">$500,000,000 4.500% Senior Notes due 2028 </w:t>
      </w:r>
    </w:p>
    <w:p>
      <w:pPr>
        <w:pStyle w:val="TextBody"/>
        <w:spacing w:before="0" w:after="0"/>
        <w:jc w:val="center"/>
        <w:rPr>
          <w:rFonts w:ascii="ARIAL" w:hAnsi="ARIAL"/>
          <w:b/>
          <w:sz w:val="32"/>
        </w:rPr>
      </w:pPr>
      <w:r>
        <w:rPr>
          <w:rFonts w:ascii="ARIAL" w:hAnsi="ARIAL"/>
          <w:b/>
          <w:sz w:val="32"/>
        </w:rPr>
        <w:t xml:space="preserve">$500,000,000 4.850% Senior Notes due 2033 </w:t>
      </w:r>
    </w:p>
    <w:p>
      <w:pPr>
        <w:pStyle w:val="TextBody"/>
        <w:spacing w:before="720" w:after="0"/>
        <w:jc w:val="center"/>
        <w:rPr>
          <w:rFonts w:ascii="ARIAL" w:hAnsi="ARIAL"/>
          <w:b/>
          <w:sz w:val="28"/>
        </w:rPr>
      </w:pPr>
      <w:r>
        <w:rPr>
          <w:rFonts w:ascii="ARIAL" w:hAnsi="ARIAL"/>
          <w:b/>
          <w:sz w:val="28"/>
        </w:rPr>
        <w:t xml:space="preserve">Fully and unconditionally guaranteed by </w:t>
      </w:r>
    </w:p>
    <w:p>
      <w:pPr>
        <w:pStyle w:val="TextBody"/>
        <w:spacing w:before="0" w:after="0"/>
        <w:jc w:val="center"/>
        <w:rPr>
          <w:rFonts w:ascii="ARIAL" w:hAnsi="ARIAL"/>
          <w:b/>
          <w:sz w:val="28"/>
        </w:rPr>
      </w:pPr>
      <w:r>
        <w:rPr>
          <w:rFonts w:ascii="ARIAL" w:hAnsi="ARIAL"/>
          <w:b/>
          <w:sz w:val="28"/>
        </w:rPr>
        <w:t xml:space="preserve">Schlumberger Limited </w:t>
      </w:r>
    </w:p>
    <w:p>
      <w:pPr>
        <w:pStyle w:val="TextBody"/>
        <w:spacing w:before="0" w:after="0"/>
        <w:jc w:val="left"/>
        <w:rPr/>
      </w:pPr>
      <w:r>
        <w:rPr/>
        <w:t> </w:t>
      </w:r>
    </w:p>
    <w:p>
      <w:pPr>
        <w:pStyle w:val="TextBody"/>
        <w:spacing w:before="0" w:after="0"/>
        <w:jc w:val="center"/>
        <w:rPr/>
      </w:pPr>
      <w:r>
        <w:rPr/>
        <w:drawing>
          <wp:inline distT="0" distB="0" distL="0" distR="0">
            <wp:extent cx="136525" cy="819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36525" cy="81915"/>
                    </a:xfrm>
                    <a:prstGeom prst="rect">
                      <a:avLst/>
                    </a:prstGeom>
                  </pic:spPr>
                </pic:pic>
              </a:graphicData>
            </a:graphic>
          </wp:inline>
        </w:drawing>
      </w:r>
      <w:r>
        <w:rPr/>
        <w:t xml:space="preserv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ARIAL" w:hAnsi="ARIAL"/>
          <w:b/>
          <w:sz w:val="24"/>
        </w:rPr>
      </w:pPr>
      <w:r>
        <w:rPr>
          <w:rFonts w:ascii="ARIAL" w:hAnsi="ARIAL"/>
          <w:b/>
          <w:sz w:val="24"/>
        </w:rPr>
        <w:t xml:space="preserve">PROSPECTUS SUPPLEMENT </w:t>
      </w:r>
    </w:p>
    <w:p>
      <w:pPr>
        <w:pStyle w:val="TextBody"/>
        <w:spacing w:before="480" w:after="0"/>
        <w:jc w:val="center"/>
        <w:rPr>
          <w:rFonts w:ascii="ARIAL" w:hAnsi="ARIAL"/>
          <w:b/>
          <w:sz w:val="20"/>
        </w:rPr>
      </w:pPr>
      <w:r>
        <w:rPr>
          <w:rFonts w:ascii="ARIAL" w:hAnsi="ARIAL"/>
          <w:b/>
          <w:sz w:val="20"/>
        </w:rPr>
        <w:t xml:space="preserve">May 8, 2023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ARIAL" w:hAnsi="ARIAL"/>
          <w:b/>
          <w:i/>
          <w:sz w:val="24"/>
        </w:rPr>
      </w:pPr>
      <w:r>
        <w:rPr>
          <w:rFonts w:ascii="ARIAL" w:hAnsi="ARIAL"/>
          <w:b/>
          <w:i/>
          <w:sz w:val="24"/>
        </w:rPr>
        <w:t xml:space="preserve">Joint Book-Running Managers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59"/>
        <w:gridCol w:w="102"/>
        <w:gridCol w:w="5307"/>
        <w:gridCol w:w="101"/>
        <w:gridCol w:w="1736"/>
      </w:tblGrid>
      <w:tr>
        <w:trPr/>
        <w:tc>
          <w:tcPr>
            <w:tcW w:w="295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3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r>
      <w:tr>
        <w:trPr/>
        <w:tc>
          <w:tcPr>
            <w:tcW w:w="2959" w:type="dxa"/>
            <w:tcBorders/>
            <w:shd w:fill="auto" w:val="clear"/>
          </w:tcPr>
          <w:p>
            <w:pPr>
              <w:pStyle w:val="TableContents"/>
              <w:spacing w:before="0" w:after="283"/>
              <w:jc w:val="center"/>
              <w:rPr>
                <w:b/>
              </w:rPr>
            </w:pPr>
            <w:r>
              <w:rPr>
                <w:b/>
              </w:rPr>
              <w:t>BofA Securities</w:t>
            </w:r>
          </w:p>
        </w:tc>
        <w:tc>
          <w:tcPr>
            <w:tcW w:w="102" w:type="dxa"/>
            <w:tcBorders/>
            <w:shd w:fill="auto" w:val="clear"/>
            <w:vAlign w:val="bottom"/>
          </w:tcPr>
          <w:p>
            <w:pPr>
              <w:pStyle w:val="TableContents"/>
              <w:spacing w:before="0" w:after="283"/>
              <w:rPr/>
            </w:pPr>
            <w:r>
              <w:rPr/>
              <w:t> </w:t>
            </w:r>
          </w:p>
        </w:tc>
        <w:tc>
          <w:tcPr>
            <w:tcW w:w="5307" w:type="dxa"/>
            <w:tcBorders/>
            <w:shd w:fill="auto" w:val="clear"/>
          </w:tcPr>
          <w:p>
            <w:pPr>
              <w:pStyle w:val="TableContents"/>
              <w:spacing w:before="0" w:after="283"/>
              <w:jc w:val="center"/>
              <w:rPr>
                <w:b/>
              </w:rPr>
            </w:pPr>
            <w:r>
              <w:rPr>
                <w:b/>
              </w:rPr>
              <w:t>Deutsche Bank Securities</w:t>
            </w:r>
          </w:p>
        </w:tc>
        <w:tc>
          <w:tcPr>
            <w:tcW w:w="101" w:type="dxa"/>
            <w:tcBorders/>
            <w:shd w:fill="auto" w:val="clear"/>
            <w:vAlign w:val="bottom"/>
          </w:tcPr>
          <w:p>
            <w:pPr>
              <w:pStyle w:val="TableContents"/>
              <w:spacing w:before="0" w:after="283"/>
              <w:rPr/>
            </w:pPr>
            <w:r>
              <w:rPr/>
              <w:t> </w:t>
            </w:r>
          </w:p>
        </w:tc>
        <w:tc>
          <w:tcPr>
            <w:tcW w:w="1736" w:type="dxa"/>
            <w:tcBorders/>
            <w:shd w:fill="auto" w:val="clear"/>
          </w:tcPr>
          <w:p>
            <w:pPr>
              <w:pStyle w:val="TableContents"/>
              <w:spacing w:before="0" w:after="283"/>
              <w:jc w:val="center"/>
              <w:rPr>
                <w:b/>
              </w:rPr>
            </w:pPr>
            <w:r>
              <w:rPr>
                <w:b/>
              </w:rPr>
              <w:t>MUFG</w:t>
            </w:r>
          </w:p>
        </w:tc>
      </w:tr>
    </w:tbl>
    <w:tbl>
      <w:tblPr>
        <w:tblW w:w="5000" w:type="pct"/>
        <w:jc w:val="center"/>
        <w:tblInd w:w="0" w:type="dxa"/>
        <w:tblCellMar>
          <w:top w:w="0" w:type="dxa"/>
          <w:left w:w="0" w:type="dxa"/>
          <w:bottom w:w="0" w:type="dxa"/>
          <w:right w:w="0" w:type="dxa"/>
        </w:tblCellMar>
      </w:tblPr>
      <w:tblGrid>
        <w:gridCol w:w="1122"/>
        <w:gridCol w:w="101"/>
        <w:gridCol w:w="2960"/>
        <w:gridCol w:w="102"/>
        <w:gridCol w:w="2551"/>
        <w:gridCol w:w="101"/>
        <w:gridCol w:w="3268"/>
      </w:tblGrid>
      <w:tr>
        <w:trPr/>
        <w:tc>
          <w:tcPr>
            <w:tcW w:w="112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122" w:type="dxa"/>
            <w:tcBorders/>
            <w:shd w:fill="auto" w:val="clear"/>
            <w:vAlign w:val="center"/>
          </w:tcPr>
          <w:p>
            <w:pPr>
              <w:pStyle w:val="TableContents"/>
              <w:spacing w:before="0" w:after="283"/>
              <w:rPr>
                <w:sz w:val="4"/>
                <w:szCs w:val="4"/>
              </w:rPr>
            </w:pPr>
            <w:r>
              <w:rPr>
                <w:sz w:val="4"/>
                <w:szCs w:val="4"/>
              </w:rPr>
            </w:r>
          </w:p>
        </w:tc>
        <w:tc>
          <w:tcPr>
            <w:tcW w:w="3061" w:type="dxa"/>
            <w:gridSpan w:val="2"/>
            <w:tcBorders/>
            <w:shd w:fill="auto" w:val="clear"/>
            <w:vAlign w:val="center"/>
          </w:tcPr>
          <w:p>
            <w:pPr>
              <w:pStyle w:val="TableContents"/>
              <w:spacing w:before="0" w:after="283"/>
              <w:rPr>
                <w:sz w:val="4"/>
                <w:szCs w:val="4"/>
              </w:rPr>
            </w:pPr>
            <w:r>
              <w:rPr>
                <w:sz w:val="4"/>
                <w:szCs w:val="4"/>
              </w:rPr>
            </w:r>
          </w:p>
        </w:tc>
        <w:tc>
          <w:tcPr>
            <w:tcW w:w="2653" w:type="dxa"/>
            <w:gridSpan w:val="2"/>
            <w:tcBorders/>
            <w:shd w:fill="auto" w:val="clear"/>
            <w:vAlign w:val="center"/>
          </w:tcPr>
          <w:p>
            <w:pPr>
              <w:pStyle w:val="TableContents"/>
              <w:spacing w:before="0" w:after="283"/>
              <w:rPr>
                <w:sz w:val="4"/>
                <w:szCs w:val="4"/>
              </w:rPr>
            </w:pPr>
            <w:r>
              <w:rPr>
                <w:sz w:val="4"/>
                <w:szCs w:val="4"/>
              </w:rPr>
            </w:r>
          </w:p>
        </w:tc>
        <w:tc>
          <w:tcPr>
            <w:tcW w:w="3369" w:type="dxa"/>
            <w:gridSpan w:val="2"/>
            <w:tcBorders/>
            <w:shd w:fill="auto" w:val="clear"/>
            <w:vAlign w:val="center"/>
          </w:tcPr>
          <w:p>
            <w:pPr>
              <w:pStyle w:val="TableContents"/>
              <w:spacing w:before="0" w:after="283"/>
              <w:rPr>
                <w:sz w:val="4"/>
                <w:szCs w:val="4"/>
              </w:rPr>
            </w:pPr>
            <w:r>
              <w:rPr>
                <w:sz w:val="4"/>
                <w:szCs w:val="4"/>
              </w:rPr>
            </w:r>
          </w:p>
        </w:tc>
      </w:tr>
      <w:tr>
        <w:trPr/>
        <w:tc>
          <w:tcPr>
            <w:tcW w:w="1122" w:type="dxa"/>
            <w:tcBorders/>
            <w:shd w:fill="auto" w:val="clear"/>
          </w:tcPr>
          <w:p>
            <w:pPr>
              <w:pStyle w:val="TableContents"/>
              <w:spacing w:before="0" w:after="283"/>
              <w:jc w:val="center"/>
              <w:rPr>
                <w:b/>
              </w:rPr>
            </w:pPr>
            <w:r>
              <w:rPr>
                <w:b/>
              </w:rPr>
              <w:t>BBVA</w:t>
            </w:r>
          </w:p>
        </w:tc>
        <w:tc>
          <w:tcPr>
            <w:tcW w:w="101"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jc w:val="center"/>
              <w:rPr>
                <w:b/>
              </w:rPr>
            </w:pPr>
            <w:r>
              <w:rPr>
                <w:b/>
              </w:rPr>
              <w:t>BNP PARIBAS</w:t>
            </w:r>
          </w:p>
        </w:tc>
        <w:tc>
          <w:tcPr>
            <w:tcW w:w="102"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center"/>
              <w:rPr>
                <w:b/>
              </w:rPr>
            </w:pPr>
            <w:r>
              <w:rPr>
                <w:b/>
              </w:rPr>
              <w:t>J.P. Morgan</w:t>
            </w:r>
          </w:p>
        </w:tc>
        <w:tc>
          <w:tcPr>
            <w:tcW w:w="101"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b/>
              </w:rPr>
            </w:pPr>
            <w:r>
              <w:rPr>
                <w:b/>
              </w:rPr>
              <w:t>SOCIETE GENERALE</w:t>
            </w:r>
          </w:p>
        </w:tc>
      </w:tr>
    </w:tbl>
    <w:tbl>
      <w:tblPr>
        <w:tblW w:w="5000" w:type="pct"/>
        <w:jc w:val="left"/>
        <w:tblInd w:w="0" w:type="dxa"/>
        <w:tblCellMar>
          <w:top w:w="0" w:type="dxa"/>
          <w:left w:w="0" w:type="dxa"/>
          <w:bottom w:w="0" w:type="dxa"/>
          <w:right w:w="0" w:type="dxa"/>
        </w:tblCellMar>
      </w:tblPr>
      <w:tblGrid>
        <w:gridCol w:w="1144"/>
        <w:gridCol w:w="195"/>
        <w:gridCol w:w="2000"/>
        <w:gridCol w:w="195"/>
        <w:gridCol w:w="3425"/>
        <w:gridCol w:w="195"/>
        <w:gridCol w:w="3051"/>
      </w:tblGrid>
      <w:tr>
        <w:trPr/>
        <w:tc>
          <w:tcPr>
            <w:tcW w:w="114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342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3051" w:type="dxa"/>
            <w:tcBorders/>
            <w:shd w:fill="auto" w:val="clear"/>
            <w:vAlign w:val="center"/>
          </w:tcPr>
          <w:p>
            <w:pPr>
              <w:pStyle w:val="TableContents"/>
              <w:spacing w:before="0" w:after="283"/>
              <w:rPr>
                <w:sz w:val="4"/>
                <w:szCs w:val="4"/>
              </w:rPr>
            </w:pPr>
            <w:r>
              <w:rPr>
                <w:sz w:val="4"/>
                <w:szCs w:val="4"/>
              </w:rPr>
            </w:r>
          </w:p>
        </w:tc>
      </w:tr>
      <w:tr>
        <w:trPr>
          <w:trHeight w:val="48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shd w:fill="auto" w:val="clear"/>
          </w:tcPr>
          <w:p>
            <w:pPr>
              <w:pStyle w:val="TableContents"/>
              <w:spacing w:before="0" w:after="283"/>
              <w:jc w:val="center"/>
              <w:rPr>
                <w:b/>
                <w:i/>
              </w:rPr>
            </w:pPr>
            <w:r>
              <w:rPr>
                <w:b/>
                <w:i/>
              </w:rPr>
              <w:t>Co-Managers</w:t>
            </w:r>
          </w:p>
        </w:tc>
      </w:tr>
    </w:tbl>
    <w:tbl>
      <w:tblPr>
        <w:tblW w:w="5000" w:type="pct"/>
        <w:jc w:val="center"/>
        <w:tblInd w:w="0" w:type="dxa"/>
        <w:tblCellMar>
          <w:top w:w="0" w:type="dxa"/>
          <w:left w:w="0" w:type="dxa"/>
          <w:bottom w:w="0" w:type="dxa"/>
          <w:right w:w="0" w:type="dxa"/>
        </w:tblCellMar>
      </w:tblPr>
      <w:tblGrid>
        <w:gridCol w:w="1019"/>
        <w:gridCol w:w="102"/>
        <w:gridCol w:w="1837"/>
        <w:gridCol w:w="101"/>
        <w:gridCol w:w="3777"/>
        <w:gridCol w:w="102"/>
        <w:gridCol w:w="3267"/>
      </w:tblGrid>
      <w:tr>
        <w:trPr/>
        <w:tc>
          <w:tcPr>
            <w:tcW w:w="101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1019" w:type="dxa"/>
            <w:tcBorders/>
            <w:shd w:fill="auto" w:val="clear"/>
          </w:tcPr>
          <w:p>
            <w:pPr>
              <w:pStyle w:val="TableContents"/>
              <w:spacing w:before="0" w:after="283"/>
              <w:jc w:val="center"/>
              <w:rPr>
                <w:b/>
              </w:rPr>
            </w:pPr>
            <w:r>
              <w:rPr>
                <w:b/>
              </w:rPr>
              <w:t>HSBC</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b/>
              </w:rPr>
            </w:pPr>
            <w:r>
              <w:rPr>
                <w:b/>
              </w:rPr>
              <w:t>Natixis</w:t>
            </w:r>
          </w:p>
        </w:tc>
        <w:tc>
          <w:tcPr>
            <w:tcW w:w="101"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jc w:val="center"/>
              <w:rPr>
                <w:b/>
              </w:rPr>
            </w:pPr>
            <w:r>
              <w:rPr>
                <w:b/>
              </w:rPr>
              <w:t>Standard Chartered Bank</w:t>
            </w:r>
          </w:p>
        </w:tc>
        <w:tc>
          <w:tcPr>
            <w:tcW w:w="102"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UniCredit Capital Markets</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16" w:space="1" w:color="000000"/>
        </w:pBdr>
        <w:spacing w:lineRule="atLeast" w:line="141" w:before="0" w:after="40"/>
        <w:jc w:val="left"/>
        <w:rPr/>
      </w:pPr>
      <w:r>
        <w:rPr/>
        <w:t> </w:t>
      </w:r>
      <w:r>
        <w:br w:type="page"/>
      </w:r>
    </w:p>
    <w:p>
      <w:pPr>
        <w:pStyle w:val="TextBody"/>
        <w:spacing w:before="0" w:after="0"/>
        <w:jc w:val="right"/>
        <w:rPr>
          <w:rFonts w:ascii="ARIAL" w:hAnsi="ARIAL"/>
          <w:b/>
          <w:sz w:val="20"/>
        </w:rPr>
      </w:pPr>
      <w:bookmarkStart w:id="29" w:name="d411946dexfilingfees.htm"/>
      <w:bookmarkStart w:id="30" w:name="ksd411946dexfilingfees"/>
      <w:bookmarkEnd w:id="29"/>
      <w:bookmarkEnd w:id="30"/>
      <w:r>
        <w:rPr>
          <w:rFonts w:ascii="ARIAL" w:hAnsi="ARIAL"/>
          <w:b/>
          <w:sz w:val="20"/>
        </w:rPr>
        <w:t xml:space="preserve">Exhibit 107 </w:t>
      </w:r>
    </w:p>
    <w:p>
      <w:pPr>
        <w:pStyle w:val="TextBody"/>
        <w:spacing w:before="240" w:after="0"/>
        <w:jc w:val="center"/>
        <w:rPr>
          <w:rFonts w:ascii="ARIAL" w:hAnsi="ARIAL"/>
          <w:b/>
          <w:sz w:val="16"/>
        </w:rPr>
      </w:pPr>
      <w:r>
        <w:rPr>
          <w:rFonts w:ascii="ARIAL" w:hAnsi="ARIAL"/>
          <w:b/>
          <w:sz w:val="16"/>
        </w:rPr>
        <w:t xml:space="preserve">Calculation of Filing Fee Tables </w:t>
      </w:r>
    </w:p>
    <w:p>
      <w:pPr>
        <w:pStyle w:val="TextBody"/>
        <w:spacing w:before="120" w:after="0"/>
        <w:jc w:val="center"/>
        <w:rPr>
          <w:rFonts w:ascii="ARIAL" w:hAnsi="ARIAL"/>
          <w:b/>
          <w:sz w:val="16"/>
        </w:rPr>
      </w:pPr>
      <w:r>
        <w:rPr>
          <w:rFonts w:ascii="ARIAL" w:hAnsi="ARIAL"/>
          <w:b/>
          <w:sz w:val="16"/>
        </w:rPr>
        <w:t xml:space="preserve">424(b)(5) </w:t>
      </w:r>
    </w:p>
    <w:p>
      <w:pPr>
        <w:pStyle w:val="TextBody"/>
        <w:spacing w:before="120" w:after="0"/>
        <w:jc w:val="center"/>
        <w:rPr>
          <w:rFonts w:ascii="ARIAL" w:hAnsi="ARIAL"/>
          <w:sz w:val="16"/>
        </w:rPr>
      </w:pPr>
      <w:r>
        <w:rPr>
          <w:rFonts w:ascii="ARIAL" w:hAnsi="ARIAL"/>
          <w:sz w:val="16"/>
        </w:rPr>
        <w:t xml:space="preserve">(Form Type) </w:t>
      </w:r>
    </w:p>
    <w:p>
      <w:pPr>
        <w:pStyle w:val="TextBody"/>
        <w:spacing w:before="120" w:after="0"/>
        <w:jc w:val="center"/>
        <w:rPr>
          <w:rFonts w:ascii="ARIAL" w:hAnsi="ARIAL"/>
          <w:b/>
          <w:sz w:val="24"/>
        </w:rPr>
      </w:pPr>
      <w:r>
        <w:rPr>
          <w:rFonts w:ascii="ARIAL" w:hAnsi="ARIAL"/>
          <w:b/>
          <w:sz w:val="24"/>
        </w:rPr>
        <w:t xml:space="preserve">SCHLUMBERGER N.V. </w:t>
      </w:r>
    </w:p>
    <w:p>
      <w:pPr>
        <w:pStyle w:val="TextBody"/>
        <w:spacing w:before="0" w:after="0"/>
        <w:jc w:val="center"/>
        <w:rPr>
          <w:rFonts w:ascii="ARIAL" w:hAnsi="ARIAL"/>
          <w:b/>
          <w:sz w:val="24"/>
        </w:rPr>
      </w:pPr>
      <w:r>
        <w:rPr>
          <w:rFonts w:ascii="ARIAL" w:hAnsi="ARIAL"/>
          <w:b/>
          <w:sz w:val="24"/>
        </w:rPr>
        <w:t xml:space="preserve">(SCHLUMBERGER LIMITED) </w:t>
      </w:r>
    </w:p>
    <w:p>
      <w:pPr>
        <w:pStyle w:val="TextBody"/>
        <w:spacing w:before="0" w:after="0"/>
        <w:jc w:val="center"/>
        <w:rPr>
          <w:rFonts w:ascii="ARIAL" w:hAnsi="ARIAL"/>
          <w:b/>
          <w:sz w:val="24"/>
        </w:rPr>
      </w:pPr>
      <w:r>
        <w:rPr>
          <w:rFonts w:ascii="ARIAL" w:hAnsi="ARIAL"/>
          <w:b/>
          <w:sz w:val="24"/>
        </w:rPr>
        <w:t xml:space="preserve">SCHLUMBERGER INVESTMENT SA </w:t>
      </w:r>
    </w:p>
    <w:p>
      <w:pPr>
        <w:pStyle w:val="TextBody"/>
        <w:spacing w:before="0" w:after="0"/>
        <w:jc w:val="center"/>
        <w:rPr>
          <w:rFonts w:ascii="ARIAL" w:hAnsi="ARIAL"/>
          <w:sz w:val="16"/>
        </w:rPr>
      </w:pPr>
      <w:r>
        <w:rPr>
          <w:rFonts w:ascii="ARIAL" w:hAnsi="ARIAL"/>
          <w:sz w:val="16"/>
        </w:rPr>
        <w:t xml:space="preserve">(Exact Name of Registrant as Specified in its Charter) </w:t>
      </w:r>
    </w:p>
    <w:p>
      <w:pPr>
        <w:pStyle w:val="TextBody"/>
        <w:spacing w:before="0" w:after="0"/>
        <w:jc w:val="center"/>
        <w:rPr>
          <w:rFonts w:ascii="ARIAL" w:hAnsi="ARIAL"/>
          <w:b/>
          <w:sz w:val="16"/>
        </w:rPr>
      </w:pPr>
      <w:r>
        <w:rPr>
          <w:rFonts w:ascii="ARIAL" w:hAnsi="ARIAL"/>
          <w:b/>
          <w:sz w:val="16"/>
        </w:rPr>
        <w:t xml:space="preserve">Table 1: Newly Registered and Carry Forward Securities </w:t>
      </w:r>
    </w:p>
    <w:p>
      <w:pPr>
        <w:pStyle w:val="TextBody"/>
        <w:spacing w:before="0" w:after="0"/>
        <w:jc w:val="left"/>
        <w:rPr/>
      </w:pPr>
      <w:r>
        <w:rPr/>
        <w:t> </w:t>
      </w:r>
    </w:p>
    <w:tbl>
      <w:tblPr>
        <w:tblW w:w="14570" w:type="dxa"/>
        <w:jc w:val="center"/>
        <w:tblInd w:w="0" w:type="dxa"/>
        <w:tblCellMar>
          <w:top w:w="0" w:type="dxa"/>
          <w:left w:w="0" w:type="dxa"/>
          <w:bottom w:w="0" w:type="dxa"/>
          <w:right w:w="0" w:type="dxa"/>
        </w:tblCellMar>
      </w:tblPr>
      <w:tblGrid>
        <w:gridCol w:w="680"/>
        <w:gridCol w:w="60"/>
        <w:gridCol w:w="980"/>
        <w:gridCol w:w="60"/>
        <w:gridCol w:w="1370"/>
        <w:gridCol w:w="60"/>
        <w:gridCol w:w="1325"/>
        <w:gridCol w:w="60"/>
        <w:gridCol w:w="1400"/>
        <w:gridCol w:w="60"/>
        <w:gridCol w:w="1040"/>
        <w:gridCol w:w="60"/>
        <w:gridCol w:w="1400"/>
        <w:gridCol w:w="60"/>
        <w:gridCol w:w="1220"/>
        <w:gridCol w:w="60"/>
        <w:gridCol w:w="1220"/>
        <w:gridCol w:w="60"/>
        <w:gridCol w:w="710"/>
        <w:gridCol w:w="60"/>
        <w:gridCol w:w="710"/>
        <w:gridCol w:w="60"/>
        <w:gridCol w:w="710"/>
        <w:gridCol w:w="60"/>
        <w:gridCol w:w="1085"/>
      </w:tblGrid>
      <w:tr>
        <w:trPr/>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6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43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138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77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77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145" w:type="dxa"/>
            <w:gridSpan w:val="2"/>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r>
      <w:tr>
        <w:trPr/>
        <w:tc>
          <w:tcPr>
            <w:tcW w:w="680" w:type="dxa"/>
            <w:tcBorders>
              <w:left w:val="single" w:sz="2" w:space="0" w:color="000000"/>
              <w:bottom w:val="single" w:sz="2" w:space="0" w:color="000000"/>
            </w:tcBorders>
            <w:shd w:fill="auto" w:val="clear"/>
            <w:tcMar>
              <w:left w:w="160" w:type="dxa"/>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40" w:type="dxa"/>
              <w:right w:w="28" w:type="dxa"/>
            </w:tcMar>
            <w:vAlign w:val="center"/>
          </w:tcPr>
          <w:p>
            <w:pPr>
              <w:pStyle w:val="TableContents"/>
              <w:jc w:val="center"/>
              <w:rPr>
                <w:b/>
              </w:rPr>
            </w:pPr>
            <w:r>
              <w:rPr>
                <w:b/>
              </w:rPr>
              <w:t>Security  </w:t>
            </w:r>
          </w:p>
          <w:p>
            <w:pPr>
              <w:pStyle w:val="TableContents"/>
              <w:spacing w:before="0" w:after="20"/>
              <w:jc w:val="center"/>
              <w:rPr>
                <w:rFonts w:ascii="ARIAL" w:hAnsi="ARIAL"/>
                <w:b/>
                <w:sz w:val="14"/>
              </w:rPr>
            </w:pPr>
            <w:r>
              <w:rPr>
                <w:rFonts w:ascii="ARIAL" w:hAnsi="ARIAL"/>
                <w:b/>
                <w:sz w:val="14"/>
              </w:rPr>
              <w:t>Type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370" w:type="dxa"/>
            <w:tcBorders>
              <w:bottom w:val="single" w:sz="2" w:space="0" w:color="000000"/>
            </w:tcBorders>
            <w:shd w:fill="auto" w:val="clear"/>
            <w:tcMar>
              <w:bottom w:w="40" w:type="dxa"/>
            </w:tcMar>
            <w:vAlign w:val="center"/>
          </w:tcPr>
          <w:p>
            <w:pPr>
              <w:pStyle w:val="TableContents"/>
              <w:spacing w:before="0" w:after="283"/>
              <w:jc w:val="center"/>
              <w:rPr>
                <w:b/>
              </w:rPr>
            </w:pPr>
            <w:r>
              <w:rPr>
                <w:b/>
              </w:rPr>
              <w:t>Security Class Title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325"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0"/>
              <w:jc w:val="center"/>
              <w:rPr>
                <w:rFonts w:ascii="ARIAL" w:hAnsi="ARIAL"/>
                <w:b/>
                <w:sz w:val="14"/>
              </w:rPr>
            </w:pPr>
            <w:r>
              <w:rPr>
                <w:rFonts w:ascii="ARIAL" w:hAnsi="ARIAL"/>
                <w:b/>
                <w:sz w:val="14"/>
              </w:rPr>
              <w:t>Fee Calculation or </w:t>
            </w:r>
          </w:p>
          <w:p>
            <w:pPr>
              <w:pStyle w:val="TableContents"/>
              <w:spacing w:before="0" w:after="20"/>
              <w:jc w:val="center"/>
              <w:rPr>
                <w:rFonts w:ascii="ARIAL" w:hAnsi="ARIAL"/>
                <w:b/>
                <w:sz w:val="14"/>
              </w:rPr>
            </w:pPr>
            <w:r>
              <w:rPr>
                <w:rFonts w:ascii="ARIAL" w:hAnsi="ARIAL"/>
                <w:b/>
                <w:sz w:val="14"/>
              </w:rPr>
              <w:t>Carry Forward Rule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40" w:type="dxa"/>
            </w:tcMar>
            <w:vAlign w:val="center"/>
          </w:tcPr>
          <w:p>
            <w:pPr>
              <w:pStyle w:val="TableContents"/>
              <w:spacing w:before="0" w:after="283"/>
              <w:jc w:val="center"/>
              <w:rPr>
                <w:b/>
              </w:rPr>
            </w:pPr>
            <w:r>
              <w:rPr>
                <w:b/>
              </w:rPr>
              <w:t>Amount</w:t>
              <w:br/>
              <w:t>Registered</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40" w:type="dxa"/>
              <w:right w:w="28" w:type="dxa"/>
            </w:tcMar>
            <w:vAlign w:val="center"/>
          </w:tcPr>
          <w:p>
            <w:pPr>
              <w:pStyle w:val="TableContents"/>
              <w:jc w:val="center"/>
              <w:rPr>
                <w:b/>
              </w:rPr>
            </w:pPr>
            <w:r>
              <w:rPr>
                <w:b/>
              </w:rPr>
              <w:t>Proposed </w:t>
            </w:r>
          </w:p>
          <w:p>
            <w:pPr>
              <w:pStyle w:val="TableContents"/>
              <w:spacing w:before="0" w:after="0"/>
              <w:jc w:val="center"/>
              <w:rPr>
                <w:rFonts w:ascii="ARIAL" w:hAnsi="ARIAL"/>
                <w:b/>
                <w:sz w:val="14"/>
              </w:rPr>
            </w:pPr>
            <w:r>
              <w:rPr>
                <w:rFonts w:ascii="ARIAL" w:hAnsi="ARIAL"/>
                <w:b/>
                <w:sz w:val="14"/>
              </w:rPr>
              <w:t>Maximum </w:t>
              <w:br/>
              <w:t>Offering </w:t>
            </w:r>
          </w:p>
          <w:p>
            <w:pPr>
              <w:pStyle w:val="TableContents"/>
              <w:spacing w:before="0" w:after="20"/>
              <w:jc w:val="center"/>
              <w:rPr>
                <w:rFonts w:ascii="ARIAL" w:hAnsi="ARIAL"/>
                <w:b/>
                <w:sz w:val="14"/>
              </w:rPr>
            </w:pPr>
            <w:r>
              <w:rPr>
                <w:rFonts w:ascii="ARIAL" w:hAnsi="ARIAL"/>
                <w:b/>
                <w:sz w:val="14"/>
              </w:rPr>
              <w:t>Price Per </w:t>
              <w:br/>
              <w:t>Unit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40" w:type="dxa"/>
            </w:tcMar>
            <w:vAlign w:val="center"/>
          </w:tcPr>
          <w:p>
            <w:pPr>
              <w:pStyle w:val="TableContents"/>
              <w:spacing w:before="0" w:after="283"/>
              <w:jc w:val="center"/>
              <w:rPr>
                <w:b/>
              </w:rPr>
            </w:pPr>
            <w:r>
              <w:rPr>
                <w:b/>
              </w:rPr>
              <w:t>Maximum</w:t>
              <w:br/>
              <w:t>Aggregate</w:t>
              <w:br/>
              <w:t>Offering</w:t>
              <w:br/>
              <w:t>Price</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283"/>
              <w:jc w:val="center"/>
              <w:rPr>
                <w:b/>
              </w:rPr>
            </w:pPr>
            <w:r>
              <w:rPr>
                <w:b/>
              </w:rPr>
              <w:t>Fee Rate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tcBorders>
            <w:shd w:fill="auto" w:val="clear"/>
            <w:tcMar>
              <w:bottom w:w="40" w:type="dxa"/>
            </w:tcMar>
            <w:vAlign w:val="center"/>
          </w:tcPr>
          <w:p>
            <w:pPr>
              <w:pStyle w:val="TableContents"/>
              <w:jc w:val="center"/>
              <w:rPr>
                <w:b/>
              </w:rPr>
            </w:pPr>
            <w:r>
              <w:rPr>
                <w:b/>
              </w:rPr>
              <w:t>Amount of </w:t>
            </w:r>
          </w:p>
          <w:p>
            <w:pPr>
              <w:pStyle w:val="TableContents"/>
              <w:spacing w:before="0" w:after="0"/>
              <w:jc w:val="center"/>
              <w:rPr>
                <w:rFonts w:ascii="ARIAL" w:hAnsi="ARIAL"/>
                <w:b/>
                <w:sz w:val="14"/>
              </w:rPr>
            </w:pPr>
            <w:r>
              <w:rPr>
                <w:rFonts w:ascii="ARIAL" w:hAnsi="ARIAL"/>
                <w:b/>
                <w:sz w:val="14"/>
              </w:rPr>
              <w:t>Registration </w:t>
            </w:r>
          </w:p>
          <w:p>
            <w:pPr>
              <w:pStyle w:val="TableContents"/>
              <w:spacing w:before="0" w:after="20"/>
              <w:jc w:val="center"/>
              <w:rPr>
                <w:rFonts w:ascii="ARIAL" w:hAnsi="ARIAL"/>
                <w:b/>
                <w:sz w:val="14"/>
              </w:rPr>
            </w:pPr>
            <w:r>
              <w:rPr>
                <w:rFonts w:ascii="ARIAL" w:hAnsi="ARIAL"/>
                <w:b/>
                <w:sz w:val="14"/>
              </w:rPr>
              <w:t>Fee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40" w:type="dxa"/>
              <w:right w:w="28" w:type="dxa"/>
            </w:tcMar>
            <w:vAlign w:val="center"/>
          </w:tcPr>
          <w:p>
            <w:pPr>
              <w:pStyle w:val="TableContents"/>
              <w:jc w:val="center"/>
              <w:rPr>
                <w:b/>
              </w:rPr>
            </w:pPr>
            <w:r>
              <w:rPr>
                <w:b/>
              </w:rPr>
              <w:t>Carry </w:t>
            </w:r>
          </w:p>
          <w:p>
            <w:pPr>
              <w:pStyle w:val="TableContents"/>
              <w:spacing w:before="0" w:after="0"/>
              <w:jc w:val="center"/>
              <w:rPr>
                <w:rFonts w:ascii="ARIAL" w:hAnsi="ARIAL"/>
                <w:b/>
                <w:sz w:val="14"/>
              </w:rPr>
            </w:pPr>
            <w:r>
              <w:rPr>
                <w:rFonts w:ascii="ARIAL" w:hAnsi="ARIAL"/>
                <w:b/>
                <w:sz w:val="14"/>
              </w:rPr>
              <w:t>Forward </w:t>
            </w:r>
          </w:p>
          <w:p>
            <w:pPr>
              <w:pStyle w:val="TableContents"/>
              <w:spacing w:before="0" w:after="0"/>
              <w:jc w:val="center"/>
              <w:rPr>
                <w:rFonts w:ascii="ARIAL" w:hAnsi="ARIAL"/>
                <w:b/>
                <w:sz w:val="14"/>
              </w:rPr>
            </w:pPr>
            <w:r>
              <w:rPr>
                <w:rFonts w:ascii="ARIAL" w:hAnsi="ARIAL"/>
                <w:b/>
                <w:sz w:val="14"/>
              </w:rPr>
              <w:t>Form </w:t>
            </w:r>
          </w:p>
          <w:p>
            <w:pPr>
              <w:pStyle w:val="TableContents"/>
              <w:spacing w:before="0" w:after="20"/>
              <w:jc w:val="center"/>
              <w:rPr>
                <w:rFonts w:ascii="ARIAL" w:hAnsi="ARIAL"/>
                <w:b/>
                <w:sz w:val="14"/>
              </w:rPr>
            </w:pPr>
            <w:r>
              <w:rPr>
                <w:rFonts w:ascii="ARIAL" w:hAnsi="ARIAL"/>
                <w:b/>
                <w:sz w:val="14"/>
              </w:rPr>
              <w:t>Type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710" w:type="dxa"/>
            <w:tcBorders>
              <w:bottom w:val="single" w:sz="2" w:space="0" w:color="000000"/>
            </w:tcBorders>
            <w:shd w:fill="auto" w:val="clear"/>
            <w:tcMar>
              <w:bottom w:w="40" w:type="dxa"/>
            </w:tcMar>
            <w:vAlign w:val="center"/>
          </w:tcPr>
          <w:p>
            <w:pPr>
              <w:pStyle w:val="TableContents"/>
              <w:jc w:val="center"/>
              <w:rPr>
                <w:b/>
              </w:rPr>
            </w:pPr>
            <w:r>
              <w:rPr>
                <w:b/>
              </w:rPr>
              <w:t>Carry </w:t>
            </w:r>
          </w:p>
          <w:p>
            <w:pPr>
              <w:pStyle w:val="TableContents"/>
              <w:spacing w:before="0" w:after="0"/>
              <w:jc w:val="center"/>
              <w:rPr>
                <w:rFonts w:ascii="ARIAL" w:hAnsi="ARIAL"/>
                <w:b/>
                <w:sz w:val="14"/>
              </w:rPr>
            </w:pPr>
            <w:r>
              <w:rPr>
                <w:rFonts w:ascii="ARIAL" w:hAnsi="ARIAL"/>
                <w:b/>
                <w:sz w:val="14"/>
              </w:rPr>
              <w:t>Forward </w:t>
            </w:r>
          </w:p>
          <w:p>
            <w:pPr>
              <w:pStyle w:val="TableContents"/>
              <w:spacing w:before="0" w:after="0"/>
              <w:jc w:val="center"/>
              <w:rPr>
                <w:rFonts w:ascii="ARIAL" w:hAnsi="ARIAL"/>
                <w:b/>
                <w:sz w:val="14"/>
              </w:rPr>
            </w:pPr>
            <w:r>
              <w:rPr>
                <w:rFonts w:ascii="ARIAL" w:hAnsi="ARIAL"/>
                <w:b/>
                <w:sz w:val="14"/>
              </w:rPr>
              <w:t>File </w:t>
            </w:r>
          </w:p>
          <w:p>
            <w:pPr>
              <w:pStyle w:val="TableContents"/>
              <w:spacing w:before="0" w:after="20"/>
              <w:jc w:val="center"/>
              <w:rPr>
                <w:rFonts w:ascii="ARIAL" w:hAnsi="ARIAL"/>
                <w:b/>
                <w:sz w:val="14"/>
              </w:rPr>
            </w:pPr>
            <w:r>
              <w:rPr>
                <w:rFonts w:ascii="ARIAL" w:hAnsi="ARIAL"/>
                <w:b/>
                <w:sz w:val="14"/>
              </w:rPr>
              <w:t>Number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40" w:type="dxa"/>
              <w:right w:w="28" w:type="dxa"/>
            </w:tcMar>
            <w:vAlign w:val="center"/>
          </w:tcPr>
          <w:p>
            <w:pPr>
              <w:pStyle w:val="TableContents"/>
              <w:jc w:val="center"/>
              <w:rPr>
                <w:b/>
              </w:rPr>
            </w:pPr>
            <w:r>
              <w:rPr>
                <w:b/>
              </w:rPr>
              <w:t>Carry </w:t>
            </w:r>
          </w:p>
          <w:p>
            <w:pPr>
              <w:pStyle w:val="TableContents"/>
              <w:spacing w:before="0" w:after="0"/>
              <w:jc w:val="center"/>
              <w:rPr>
                <w:rFonts w:ascii="ARIAL" w:hAnsi="ARIAL"/>
                <w:b/>
                <w:sz w:val="14"/>
              </w:rPr>
            </w:pPr>
            <w:r>
              <w:rPr>
                <w:rFonts w:ascii="ARIAL" w:hAnsi="ARIAL"/>
                <w:b/>
                <w:sz w:val="14"/>
              </w:rPr>
              <w:t>Forward </w:t>
            </w:r>
          </w:p>
          <w:p>
            <w:pPr>
              <w:pStyle w:val="TableContents"/>
              <w:spacing w:before="0" w:after="0"/>
              <w:jc w:val="center"/>
              <w:rPr>
                <w:rFonts w:ascii="ARIAL" w:hAnsi="ARIAL"/>
                <w:b/>
                <w:sz w:val="14"/>
              </w:rPr>
            </w:pPr>
            <w:r>
              <w:rPr>
                <w:rFonts w:ascii="ARIAL" w:hAnsi="ARIAL"/>
                <w:b/>
                <w:sz w:val="14"/>
              </w:rPr>
              <w:t>Initial </w:t>
            </w:r>
          </w:p>
          <w:p>
            <w:pPr>
              <w:pStyle w:val="TableContents"/>
              <w:spacing w:before="0" w:after="0"/>
              <w:jc w:val="center"/>
              <w:rPr>
                <w:rFonts w:ascii="ARIAL" w:hAnsi="ARIAL"/>
                <w:b/>
                <w:sz w:val="14"/>
              </w:rPr>
            </w:pPr>
            <w:r>
              <w:rPr>
                <w:rFonts w:ascii="ARIAL" w:hAnsi="ARIAL"/>
                <w:b/>
                <w:sz w:val="14"/>
              </w:rPr>
              <w:t>effective </w:t>
            </w:r>
          </w:p>
          <w:p>
            <w:pPr>
              <w:pStyle w:val="TableContents"/>
              <w:spacing w:before="0" w:after="20"/>
              <w:jc w:val="center"/>
              <w:rPr>
                <w:rFonts w:ascii="ARIAL" w:hAnsi="ARIAL"/>
                <w:b/>
                <w:sz w:val="14"/>
              </w:rPr>
            </w:pPr>
            <w:r>
              <w:rPr>
                <w:rFonts w:ascii="ARIAL" w:hAnsi="ARIAL"/>
                <w:b/>
                <w:sz w:val="14"/>
              </w:rPr>
              <w:t>date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85" w:type="dxa"/>
            <w:tcBorders>
              <w:bottom w:val="single" w:sz="2" w:space="0" w:color="000000"/>
              <w:right w:val="single" w:sz="2" w:space="0" w:color="000000"/>
            </w:tcBorders>
            <w:shd w:fill="auto" w:val="clear"/>
            <w:tcMar>
              <w:bottom w:w="40" w:type="dxa"/>
              <w:right w:w="28" w:type="dxa"/>
            </w:tcMar>
            <w:vAlign w:val="center"/>
          </w:tcPr>
          <w:p>
            <w:pPr>
              <w:pStyle w:val="TableContents"/>
              <w:jc w:val="center"/>
              <w:rPr>
                <w:b/>
              </w:rPr>
            </w:pPr>
            <w:r>
              <w:rPr>
                <w:b/>
              </w:rPr>
              <w:t>Filing Fee </w:t>
            </w:r>
          </w:p>
          <w:p>
            <w:pPr>
              <w:pStyle w:val="TableContents"/>
              <w:spacing w:before="0" w:after="0"/>
              <w:jc w:val="center"/>
              <w:rPr>
                <w:rFonts w:ascii="ARIAL" w:hAnsi="ARIAL"/>
                <w:b/>
                <w:sz w:val="14"/>
              </w:rPr>
            </w:pPr>
            <w:r>
              <w:rPr>
                <w:rFonts w:ascii="ARIAL" w:hAnsi="ARIAL"/>
                <w:b/>
                <w:sz w:val="14"/>
              </w:rPr>
              <w:t>Previously Paid </w:t>
            </w:r>
          </w:p>
          <w:p>
            <w:pPr>
              <w:pStyle w:val="TableContents"/>
              <w:spacing w:before="0" w:after="0"/>
              <w:jc w:val="center"/>
              <w:rPr>
                <w:rFonts w:ascii="ARIAL" w:hAnsi="ARIAL"/>
                <w:b/>
                <w:sz w:val="14"/>
              </w:rPr>
            </w:pPr>
            <w:r>
              <w:rPr>
                <w:rFonts w:ascii="ARIAL" w:hAnsi="ARIAL"/>
                <w:b/>
                <w:sz w:val="14"/>
              </w:rPr>
              <w:t>In Connection </w:t>
            </w:r>
          </w:p>
          <w:p>
            <w:pPr>
              <w:pStyle w:val="TableContents"/>
              <w:spacing w:before="0" w:after="0"/>
              <w:jc w:val="center"/>
              <w:rPr>
                <w:rFonts w:ascii="ARIAL" w:hAnsi="ARIAL"/>
                <w:b/>
                <w:sz w:val="14"/>
              </w:rPr>
            </w:pPr>
            <w:r>
              <w:rPr>
                <w:rFonts w:ascii="ARIAL" w:hAnsi="ARIAL"/>
                <w:b/>
                <w:sz w:val="14"/>
              </w:rPr>
              <w:t>with Unsold </w:t>
            </w:r>
          </w:p>
          <w:p>
            <w:pPr>
              <w:pStyle w:val="TableContents"/>
              <w:spacing w:before="0" w:after="0"/>
              <w:jc w:val="center"/>
              <w:rPr>
                <w:rFonts w:ascii="ARIAL" w:hAnsi="ARIAL"/>
                <w:b/>
                <w:sz w:val="14"/>
              </w:rPr>
            </w:pPr>
            <w:r>
              <w:rPr>
                <w:rFonts w:ascii="ARIAL" w:hAnsi="ARIAL"/>
                <w:b/>
                <w:sz w:val="14"/>
              </w:rPr>
              <w:t>Securities to be </w:t>
            </w:r>
          </w:p>
          <w:p>
            <w:pPr>
              <w:pStyle w:val="TableContents"/>
              <w:spacing w:before="0" w:after="0"/>
              <w:jc w:val="center"/>
              <w:rPr>
                <w:rFonts w:ascii="ARIAL" w:hAnsi="ARIAL"/>
                <w:b/>
                <w:sz w:val="14"/>
              </w:rPr>
            </w:pPr>
            <w:r>
              <w:rPr>
                <w:rFonts w:ascii="ARIAL" w:hAnsi="ARIAL"/>
                <w:b/>
                <w:sz w:val="14"/>
              </w:rPr>
              <w:t>Carried </w:t>
            </w:r>
          </w:p>
          <w:p>
            <w:pPr>
              <w:pStyle w:val="TableContents"/>
              <w:spacing w:before="0" w:after="20"/>
              <w:jc w:val="center"/>
              <w:rPr>
                <w:rFonts w:ascii="ARIAL" w:hAnsi="ARIAL"/>
                <w:b/>
                <w:sz w:val="14"/>
              </w:rPr>
            </w:pPr>
            <w:r>
              <w:rPr>
                <w:rFonts w:ascii="ARIAL" w:hAnsi="ARIAL"/>
                <w:b/>
                <w:sz w:val="14"/>
              </w:rPr>
              <w:t>Forward </w:t>
            </w:r>
          </w:p>
        </w:tc>
      </w:tr>
      <w:tr>
        <w:trPr>
          <w:trHeight w:val="75" w:hRule="atLeast"/>
        </w:trPr>
        <w:tc>
          <w:tcPr>
            <w:tcW w:w="14570" w:type="dxa"/>
            <w:gridSpan w:val="25"/>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14570" w:type="dxa"/>
            <w:gridSpan w:val="25"/>
            <w:tcBorders>
              <w:left w:val="single" w:sz="2" w:space="0" w:color="000000"/>
              <w:bottom w:val="single" w:sz="2" w:space="0" w:color="000000"/>
              <w:right w:val="single" w:sz="2" w:space="0" w:color="000000"/>
            </w:tcBorders>
            <w:shd w:fill="auto" w:val="clear"/>
            <w:tcMar>
              <w:left w:w="160" w:type="dxa"/>
              <w:bottom w:w="40" w:type="dxa"/>
              <w:right w:w="40" w:type="dxa"/>
            </w:tcMar>
            <w:vAlign w:val="center"/>
          </w:tcPr>
          <w:p>
            <w:pPr>
              <w:pStyle w:val="TableContents"/>
              <w:spacing w:before="0" w:after="283"/>
              <w:jc w:val="center"/>
              <w:rPr>
                <w:b/>
              </w:rPr>
            </w:pPr>
            <w:r>
              <w:rPr>
                <w:b/>
              </w:rPr>
              <w:t>Newly Registered Securities</w:t>
            </w:r>
          </w:p>
        </w:tc>
      </w:tr>
      <w:tr>
        <w:trPr>
          <w:trHeight w:val="75" w:hRule="atLeast"/>
        </w:trPr>
        <w:tc>
          <w:tcPr>
            <w:tcW w:w="680" w:type="dxa"/>
            <w:tcBorders>
              <w:left w:val="single" w:sz="2" w:space="0" w:color="000000"/>
            </w:tcBorders>
            <w:shd w:fill="auto" w:val="clear"/>
            <w:tcMar>
              <w:left w:w="160" w:type="dxa"/>
            </w:tcMar>
            <w:vAlign w:val="center"/>
          </w:tcPr>
          <w:p>
            <w:pPr>
              <w:pStyle w:val="TableContents"/>
              <w:spacing w:before="0" w:after="283"/>
              <w:rPr/>
            </w:pPr>
            <w:r>
              <w:rPr/>
              <w:t> </w:t>
            </w:r>
          </w:p>
        </w:tc>
        <w:tc>
          <w:tcPr>
            <w:tcW w:w="104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283"/>
              <w:rPr>
                <w:sz w:val="4"/>
                <w:szCs w:val="4"/>
              </w:rPr>
            </w:pPr>
            <w:r>
              <w:rPr>
                <w:sz w:val="4"/>
                <w:szCs w:val="4"/>
              </w:rPr>
            </w:r>
          </w:p>
        </w:tc>
        <w:tc>
          <w:tcPr>
            <w:tcW w:w="1385"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rPr>
                <w:sz w:val="4"/>
                <w:szCs w:val="4"/>
              </w:rPr>
            </w:pPr>
            <w:r>
              <w:rPr>
                <w:sz w:val="4"/>
                <w:szCs w:val="4"/>
              </w:rPr>
            </w:r>
          </w:p>
        </w:tc>
        <w:tc>
          <w:tcPr>
            <w:tcW w:w="110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rPr>
                <w:sz w:val="4"/>
                <w:szCs w:val="4"/>
              </w:rPr>
            </w:pPr>
            <w:r>
              <w:rPr>
                <w:sz w:val="4"/>
                <w:szCs w:val="4"/>
              </w:rPr>
            </w:r>
          </w:p>
        </w:tc>
        <w:tc>
          <w:tcPr>
            <w:tcW w:w="128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145"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680" w:type="dxa"/>
            <w:vMerge w:val="restart"/>
            <w:tcBorders>
              <w:left w:val="single" w:sz="2" w:space="0" w:color="000000"/>
              <w:bottom w:val="single" w:sz="2" w:space="0" w:color="000000"/>
            </w:tcBorders>
            <w:shd w:fill="auto" w:val="clear"/>
            <w:tcMar>
              <w:left w:w="160" w:type="dxa"/>
              <w:bottom w:w="40" w:type="dxa"/>
            </w:tcMar>
            <w:vAlign w:val="center"/>
          </w:tcPr>
          <w:p>
            <w:pPr>
              <w:pStyle w:val="TableContents"/>
              <w:spacing w:before="0" w:after="283"/>
              <w:jc w:val="center"/>
              <w:rPr/>
            </w:pPr>
            <w:r>
              <w:rPr/>
              <w:t>Fees to</w:t>
              <w:br/>
              <w:t>Be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right w:val="single" w:sz="2" w:space="0" w:color="000000"/>
            </w:tcBorders>
            <w:shd w:fill="auto" w:val="clear"/>
            <w:tcMar>
              <w:right w:w="28" w:type="dxa"/>
            </w:tcMar>
            <w:vAlign w:val="center"/>
          </w:tcPr>
          <w:p>
            <w:pPr>
              <w:pStyle w:val="TableContents"/>
              <w:spacing w:before="0" w:after="283"/>
              <w:jc w:val="center"/>
              <w:rPr/>
            </w:pPr>
            <w:r>
              <w:rPr/>
              <w:t>Debt</w:t>
            </w:r>
          </w:p>
        </w:tc>
        <w:tc>
          <w:tcPr>
            <w:tcW w:w="60" w:type="dxa"/>
            <w:tcBorders/>
            <w:shd w:fill="auto" w:val="clear"/>
            <w:vAlign w:val="bottom"/>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ARIAL" w:hAnsi="ARIAL"/>
                <w:sz w:val="14"/>
              </w:rPr>
            </w:pPr>
            <w:r>
              <w:rPr>
                <w:rFonts w:ascii="ARIAL" w:hAnsi="ARIAL"/>
                <w:sz w:val="14"/>
              </w:rPr>
              <w:t>4.500% Senior Notes </w:t>
            </w:r>
          </w:p>
          <w:p>
            <w:pPr>
              <w:pStyle w:val="TableContents"/>
              <w:spacing w:before="0" w:after="20"/>
              <w:jc w:val="center"/>
              <w:rPr>
                <w:rFonts w:ascii="ARIAL" w:hAnsi="ARIAL"/>
                <w:sz w:val="14"/>
              </w:rPr>
            </w:pPr>
            <w:r>
              <w:rPr>
                <w:rFonts w:ascii="ARIAL" w:hAnsi="ARIAL"/>
                <w:sz w:val="14"/>
              </w:rPr>
              <w:t>due 2028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25" w:type="dxa"/>
            <w:tcBorders>
              <w:right w:val="single" w:sz="2" w:space="0" w:color="000000"/>
            </w:tcBorders>
            <w:shd w:fill="auto" w:val="clear"/>
            <w:tcMar>
              <w:right w:w="28" w:type="dxa"/>
            </w:tcMar>
            <w:vAlign w:val="center"/>
          </w:tcPr>
          <w:p>
            <w:pPr>
              <w:pStyle w:val="TableContents"/>
              <w:spacing w:before="0" w:after="283"/>
              <w:jc w:val="center"/>
              <w:rPr/>
            </w:pPr>
            <w:r>
              <w:rPr/>
              <w:t>Rule 457(r)</w:t>
            </w:r>
          </w:p>
        </w:tc>
        <w:tc>
          <w:tcPr>
            <w:tcW w:w="60" w:type="dxa"/>
            <w:tcBorders/>
            <w:shd w:fill="auto" w:val="clear"/>
            <w:vAlign w:val="bottom"/>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$500,000,000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right w:val="single" w:sz="2" w:space="0" w:color="000000"/>
            </w:tcBorders>
            <w:shd w:fill="auto" w:val="clear"/>
            <w:tcMar>
              <w:right w:w="28" w:type="dxa"/>
            </w:tcMar>
            <w:vAlign w:val="center"/>
          </w:tcPr>
          <w:p>
            <w:pPr>
              <w:pStyle w:val="TableContents"/>
              <w:spacing w:before="0" w:after="283"/>
              <w:jc w:val="center"/>
              <w:rPr/>
            </w:pPr>
            <w:r>
              <w:rPr/>
              <w:t>99.810%</w:t>
            </w:r>
          </w:p>
        </w:tc>
        <w:tc>
          <w:tcPr>
            <w:tcW w:w="60" w:type="dxa"/>
            <w:tcBorders/>
            <w:shd w:fill="auto" w:val="clear"/>
            <w:vAlign w:val="bottom"/>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$499,050,000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28" w:type="dxa"/>
            </w:tcMar>
            <w:vAlign w:val="center"/>
          </w:tcPr>
          <w:p>
            <w:pPr>
              <w:pStyle w:val="TableContents"/>
              <w:spacing w:before="0" w:after="283"/>
              <w:jc w:val="center"/>
              <w:rPr/>
            </w:pPr>
            <w:r>
              <w:rPr/>
              <w:t>0.00011020 </w:t>
            </w:r>
          </w:p>
        </w:tc>
        <w:tc>
          <w:tcPr>
            <w:tcW w:w="60" w:type="dxa"/>
            <w:tcBorders/>
            <w:shd w:fill="auto" w:val="clear"/>
            <w:vAlign w:val="bottom"/>
          </w:tcPr>
          <w:p>
            <w:pPr>
              <w:pStyle w:val="TableContents"/>
              <w:spacing w:before="0" w:after="283"/>
              <w:rPr/>
            </w:pPr>
            <w:r>
              <w:rPr/>
              <w:t> </w:t>
            </w:r>
          </w:p>
        </w:tc>
        <w:tc>
          <w:tcPr>
            <w:tcW w:w="1220" w:type="dxa"/>
            <w:tcBorders/>
            <w:shd w:fill="auto" w:val="clear"/>
            <w:vAlign w:val="center"/>
          </w:tcPr>
          <w:p>
            <w:pPr>
              <w:pStyle w:val="TableContents"/>
              <w:spacing w:before="0" w:after="283"/>
              <w:jc w:val="center"/>
              <w:rPr/>
            </w:pPr>
            <w:r>
              <w:rPr/>
              <w:t>$54,995.31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680" w:type="dxa"/>
            <w:vMerge w:val="continue"/>
            <w:tcBorders>
              <w:left w:val="single" w:sz="2" w:space="0" w:color="000000"/>
              <w:bottom w:val="single" w:sz="2" w:space="0" w:color="000000"/>
            </w:tcBorders>
            <w:shd w:fill="auto" w:val="clear"/>
            <w:tcMar>
              <w:left w:w="160" w:type="dxa"/>
              <w:bottom w:w="40" w:type="dxa"/>
            </w:tcMar>
            <w:vAlign w:val="center"/>
          </w:tcPr>
          <w:p>
            <w:pPr>
              <w:pStyle w:val="Normal"/>
              <w:rPr/>
            </w:pPr>
            <w:r>
              <w:rPr/>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80" w:type="dxa"/>
            <w:tcBorders>
              <w:top w:val="single" w:sz="2" w:space="0" w:color="000000"/>
              <w:bottom w:val="single" w:sz="2" w:space="0" w:color="000000"/>
              <w:right w:val="single" w:sz="2" w:space="0" w:color="000000"/>
            </w:tcBorders>
            <w:shd w:fill="auto" w:val="clear"/>
            <w:tcMar>
              <w:top w:w="28" w:type="dxa"/>
              <w:bottom w:w="40" w:type="dxa"/>
              <w:right w:w="28" w:type="dxa"/>
            </w:tcMar>
            <w:vAlign w:val="center"/>
          </w:tcPr>
          <w:p>
            <w:pPr>
              <w:pStyle w:val="TableContents"/>
              <w:spacing w:before="0" w:after="283"/>
              <w:jc w:val="center"/>
              <w:rPr/>
            </w:pPr>
            <w:r>
              <w:rPr/>
              <w:t>Other</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370" w:type="dxa"/>
            <w:tcBorders>
              <w:top w:val="single" w:sz="2" w:space="0" w:color="000000"/>
              <w:bottom w:val="single" w:sz="2" w:space="0" w:color="000000"/>
            </w:tcBorders>
            <w:shd w:fill="auto" w:val="clear"/>
            <w:tcMar>
              <w:top w:w="28" w:type="dxa"/>
              <w:bottom w:w="40" w:type="dxa"/>
            </w:tcMar>
            <w:vAlign w:val="center"/>
          </w:tcPr>
          <w:p>
            <w:pPr>
              <w:pStyle w:val="TableContents"/>
              <w:spacing w:before="0" w:after="0"/>
              <w:rPr/>
            </w:pPr>
            <w:r>
              <w:rPr/>
              <w:t> </w:t>
            </w:r>
          </w:p>
          <w:p>
            <w:pPr>
              <w:pStyle w:val="TableContents"/>
              <w:spacing w:before="0" w:after="0"/>
              <w:jc w:val="center"/>
              <w:rPr>
                <w:rFonts w:ascii="ARIAL" w:hAnsi="ARIAL"/>
                <w:sz w:val="14"/>
              </w:rPr>
            </w:pPr>
            <w:r>
              <w:rPr>
                <w:rFonts w:ascii="ARIAL" w:hAnsi="ARIAL"/>
                <w:sz w:val="14"/>
              </w:rPr>
              <w:t>Guarantees of </w:t>
            </w:r>
          </w:p>
          <w:p>
            <w:pPr>
              <w:pStyle w:val="TableContents"/>
              <w:spacing w:before="0" w:after="0"/>
              <w:jc w:val="center"/>
              <w:rPr>
                <w:rFonts w:ascii="ARIAL" w:hAnsi="ARIAL"/>
                <w:sz w:val="14"/>
              </w:rPr>
            </w:pPr>
            <w:r>
              <w:rPr>
                <w:rFonts w:ascii="ARIAL" w:hAnsi="ARIAL"/>
                <w:sz w:val="14"/>
              </w:rPr>
              <w:t>4.500% Senior Notes </w:t>
            </w:r>
          </w:p>
          <w:p>
            <w:pPr>
              <w:pStyle w:val="TableContents"/>
              <w:spacing w:before="0" w:after="20"/>
              <w:jc w:val="center"/>
              <w:rPr>
                <w:rFonts w:ascii="ARIAL" w:hAnsi="ARIAL"/>
                <w:sz w:val="14"/>
              </w:rPr>
            </w:pPr>
            <w:r>
              <w:rPr>
                <w:rFonts w:ascii="ARIAL" w:hAnsi="ARIAL"/>
                <w:sz w:val="14"/>
              </w:rPr>
              <w:t>due 2028 </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325" w:type="dxa"/>
            <w:tcBorders>
              <w:top w:val="single" w:sz="2" w:space="0" w:color="000000"/>
              <w:bottom w:val="single" w:sz="2" w:space="0" w:color="000000"/>
              <w:right w:val="single" w:sz="2" w:space="0" w:color="000000"/>
            </w:tcBorders>
            <w:shd w:fill="auto" w:val="clear"/>
            <w:tcMar>
              <w:top w:w="28" w:type="dxa"/>
              <w:bottom w:w="40" w:type="dxa"/>
              <w:right w:w="28" w:type="dxa"/>
            </w:tcMar>
            <w:vAlign w:val="center"/>
          </w:tcPr>
          <w:p>
            <w:pPr>
              <w:pStyle w:val="TableContents"/>
              <w:spacing w:before="0" w:after="283"/>
              <w:jc w:val="center"/>
              <w:rPr/>
            </w:pPr>
            <w:r>
              <w:rPr/>
              <w:t>Rule 457(n)</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400" w:type="dxa"/>
            <w:tcBorders>
              <w:top w:val="single" w:sz="2" w:space="0" w:color="000000"/>
              <w:bottom w:val="single" w:sz="2" w:space="0" w:color="000000"/>
            </w:tcBorders>
            <w:shd w:fill="auto" w:val="clear"/>
            <w:tcMar>
              <w:top w:w="28" w:type="dxa"/>
              <w:bottom w:w="40" w:type="dxa"/>
            </w:tcMar>
            <w:vAlign w:val="center"/>
          </w:tcPr>
          <w:p>
            <w:pPr>
              <w:pStyle w:val="TableContents"/>
              <w:spacing w:before="0" w:after="283"/>
              <w:jc w:val="center"/>
              <w:rPr/>
            </w:pPr>
            <w:r>
              <w:rPr/>
              <w:t></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040" w:type="dxa"/>
            <w:tcBorders>
              <w:top w:val="single" w:sz="2" w:space="0" w:color="000000"/>
              <w:bottom w:val="single" w:sz="2" w:space="0" w:color="000000"/>
              <w:right w:val="single" w:sz="2" w:space="0" w:color="000000"/>
            </w:tcBorders>
            <w:shd w:fill="auto" w:val="clear"/>
            <w:tcMar>
              <w:top w:w="28" w:type="dxa"/>
              <w:bottom w:w="40" w:type="dxa"/>
              <w:right w:w="28" w:type="dxa"/>
            </w:tcMar>
            <w:vAlign w:val="center"/>
          </w:tcPr>
          <w:p>
            <w:pPr>
              <w:pStyle w:val="TableContents"/>
              <w:spacing w:before="0" w:after="283"/>
              <w:jc w:val="center"/>
              <w:rPr/>
            </w:pPr>
            <w:r>
              <w:rPr/>
              <w:t></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400" w:type="dxa"/>
            <w:tcBorders>
              <w:top w:val="single" w:sz="2" w:space="0" w:color="000000"/>
              <w:bottom w:val="single" w:sz="2" w:space="0" w:color="000000"/>
            </w:tcBorders>
            <w:shd w:fill="auto" w:val="clear"/>
            <w:tcMar>
              <w:top w:w="28" w:type="dxa"/>
              <w:bottom w:w="40" w:type="dxa"/>
            </w:tcMar>
            <w:vAlign w:val="center"/>
          </w:tcPr>
          <w:p>
            <w:pPr>
              <w:pStyle w:val="TableContents"/>
              <w:spacing w:before="0" w:after="283"/>
              <w:jc w:val="center"/>
              <w:rPr/>
            </w:pPr>
            <w:r>
              <w:rPr/>
              <w:t></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220" w:type="dxa"/>
            <w:tcBorders>
              <w:top w:val="single" w:sz="2" w:space="0" w:color="000000"/>
              <w:bottom w:val="single" w:sz="2" w:space="0" w:color="000000"/>
              <w:right w:val="single" w:sz="2" w:space="0" w:color="000000"/>
            </w:tcBorders>
            <w:shd w:fill="auto" w:val="clear"/>
            <w:tcMar>
              <w:top w:w="28" w:type="dxa"/>
              <w:bottom w:w="40" w:type="dxa"/>
              <w:right w:w="28" w:type="dxa"/>
            </w:tcMar>
            <w:vAlign w:val="center"/>
          </w:tcPr>
          <w:p>
            <w:pPr>
              <w:pStyle w:val="TableContents"/>
              <w:spacing w:before="0" w:after="283"/>
              <w:jc w:val="center"/>
              <w:rPr/>
            </w:pPr>
            <w:r>
              <w:rPr/>
              <w:t></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220" w:type="dxa"/>
            <w:tcBorders>
              <w:top w:val="single" w:sz="2" w:space="0" w:color="000000"/>
              <w:bottom w:val="single" w:sz="2" w:space="0" w:color="000000"/>
            </w:tcBorders>
            <w:shd w:fill="auto" w:val="clear"/>
            <w:tcMar>
              <w:top w:w="28" w:type="dxa"/>
              <w:bottom w:w="40" w:type="dxa"/>
            </w:tcMar>
            <w:vAlign w:val="center"/>
          </w:tcPr>
          <w:p>
            <w:pPr>
              <w:pStyle w:val="TableContents"/>
              <w:spacing w:before="0" w:after="283"/>
              <w:jc w:val="center"/>
              <w:rPr/>
            </w:pPr>
            <w:r>
              <w:rPr/>
              <w:t></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71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7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71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085"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r>
      <w:tr>
        <w:trPr/>
        <w:tc>
          <w:tcPr>
            <w:tcW w:w="680" w:type="dxa"/>
            <w:vMerge w:val="continue"/>
            <w:tcBorders>
              <w:left w:val="single" w:sz="2" w:space="0" w:color="000000"/>
              <w:bottom w:val="single" w:sz="2" w:space="0" w:color="000000"/>
            </w:tcBorders>
            <w:shd w:fill="auto" w:val="clear"/>
            <w:tcMar>
              <w:left w:w="160" w:type="dxa"/>
              <w:bottom w:w="40" w:type="dxa"/>
            </w:tcMar>
            <w:vAlign w:val="center"/>
          </w:tcPr>
          <w:p>
            <w:pPr>
              <w:pStyle w:val="Normal"/>
              <w:rPr/>
            </w:pPr>
            <w:r>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right w:val="single" w:sz="2" w:space="0" w:color="000000"/>
            </w:tcBorders>
            <w:shd w:fill="auto" w:val="clear"/>
            <w:tcMar>
              <w:right w:w="28" w:type="dxa"/>
            </w:tcMar>
            <w:vAlign w:val="center"/>
          </w:tcPr>
          <w:p>
            <w:pPr>
              <w:pStyle w:val="TableContents"/>
              <w:spacing w:before="0" w:after="283"/>
              <w:jc w:val="center"/>
              <w:rPr/>
            </w:pPr>
            <w:r>
              <w:rPr/>
              <w:t>Debt</w:t>
            </w:r>
          </w:p>
        </w:tc>
        <w:tc>
          <w:tcPr>
            <w:tcW w:w="60" w:type="dxa"/>
            <w:tcBorders/>
            <w:shd w:fill="auto" w:val="clear"/>
            <w:vAlign w:val="bottom"/>
          </w:tcPr>
          <w:p>
            <w:pPr>
              <w:pStyle w:val="TableContents"/>
              <w:spacing w:before="0" w:after="283"/>
              <w:rPr/>
            </w:pPr>
            <w:r>
              <w:rPr/>
              <w:t> </w:t>
            </w:r>
          </w:p>
        </w:tc>
        <w:tc>
          <w:tcPr>
            <w:tcW w:w="1370" w:type="dxa"/>
            <w:tcBorders/>
            <w:shd w:fill="auto" w:val="clear"/>
            <w:vAlign w:val="center"/>
          </w:tcPr>
          <w:p>
            <w:pPr>
              <w:pStyle w:val="TableContents"/>
              <w:spacing w:before="0" w:after="0"/>
              <w:rPr/>
            </w:pPr>
            <w:r>
              <w:rPr/>
              <w:t> </w:t>
            </w:r>
          </w:p>
          <w:p>
            <w:pPr>
              <w:pStyle w:val="TableContents"/>
              <w:spacing w:before="0" w:after="0"/>
              <w:jc w:val="center"/>
              <w:rPr>
                <w:rFonts w:ascii="ARIAL" w:hAnsi="ARIAL"/>
                <w:sz w:val="14"/>
              </w:rPr>
            </w:pPr>
            <w:r>
              <w:rPr>
                <w:rFonts w:ascii="ARIAL" w:hAnsi="ARIAL"/>
                <w:sz w:val="14"/>
              </w:rPr>
              <w:t>4.850% Senior Notes </w:t>
            </w:r>
          </w:p>
          <w:p>
            <w:pPr>
              <w:pStyle w:val="TableContents"/>
              <w:spacing w:before="0" w:after="20"/>
              <w:jc w:val="center"/>
              <w:rPr>
                <w:rFonts w:ascii="ARIAL" w:hAnsi="ARIAL"/>
                <w:sz w:val="14"/>
              </w:rPr>
            </w:pPr>
            <w:r>
              <w:rPr>
                <w:rFonts w:ascii="ARIAL" w:hAnsi="ARIAL"/>
                <w:sz w:val="14"/>
              </w:rPr>
              <w:t>due 2033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25" w:type="dxa"/>
            <w:tcBorders>
              <w:right w:val="single" w:sz="2" w:space="0" w:color="000000"/>
            </w:tcBorders>
            <w:shd w:fill="auto" w:val="clear"/>
            <w:tcMar>
              <w:right w:w="28" w:type="dxa"/>
            </w:tcMar>
            <w:vAlign w:val="center"/>
          </w:tcPr>
          <w:p>
            <w:pPr>
              <w:pStyle w:val="TableContents"/>
              <w:spacing w:before="0" w:after="283"/>
              <w:jc w:val="center"/>
              <w:rPr/>
            </w:pPr>
            <w:r>
              <w:rPr/>
              <w:t>Rule 457(r)</w:t>
            </w:r>
          </w:p>
        </w:tc>
        <w:tc>
          <w:tcPr>
            <w:tcW w:w="60" w:type="dxa"/>
            <w:tcBorders/>
            <w:shd w:fill="auto" w:val="clear"/>
            <w:vAlign w:val="bottom"/>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$500,000,000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right w:val="single" w:sz="2" w:space="0" w:color="000000"/>
            </w:tcBorders>
            <w:shd w:fill="auto" w:val="clear"/>
            <w:tcMar>
              <w:right w:w="28" w:type="dxa"/>
            </w:tcMar>
            <w:vAlign w:val="center"/>
          </w:tcPr>
          <w:p>
            <w:pPr>
              <w:pStyle w:val="TableContents"/>
              <w:spacing w:before="0" w:after="283"/>
              <w:jc w:val="center"/>
              <w:rPr/>
            </w:pPr>
            <w:r>
              <w:rPr/>
              <w:t>99.914%</w:t>
            </w:r>
          </w:p>
        </w:tc>
        <w:tc>
          <w:tcPr>
            <w:tcW w:w="60" w:type="dxa"/>
            <w:tcBorders/>
            <w:shd w:fill="auto" w:val="clear"/>
            <w:vAlign w:val="bottom"/>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$499,570,000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28" w:type="dxa"/>
            </w:tcMar>
            <w:vAlign w:val="center"/>
          </w:tcPr>
          <w:p>
            <w:pPr>
              <w:pStyle w:val="TableContents"/>
              <w:spacing w:before="0" w:after="283"/>
              <w:jc w:val="center"/>
              <w:rPr/>
            </w:pPr>
            <w:r>
              <w:rPr/>
              <w:t>0.00011020 </w:t>
            </w:r>
          </w:p>
        </w:tc>
        <w:tc>
          <w:tcPr>
            <w:tcW w:w="60" w:type="dxa"/>
            <w:tcBorders/>
            <w:shd w:fill="auto" w:val="clear"/>
            <w:vAlign w:val="bottom"/>
          </w:tcPr>
          <w:p>
            <w:pPr>
              <w:pStyle w:val="TableContents"/>
              <w:spacing w:before="0" w:after="283"/>
              <w:rPr/>
            </w:pPr>
            <w:r>
              <w:rPr/>
              <w:t> </w:t>
            </w:r>
          </w:p>
        </w:tc>
        <w:tc>
          <w:tcPr>
            <w:tcW w:w="1220" w:type="dxa"/>
            <w:tcBorders/>
            <w:shd w:fill="auto" w:val="clear"/>
            <w:vAlign w:val="center"/>
          </w:tcPr>
          <w:p>
            <w:pPr>
              <w:pStyle w:val="TableContents"/>
              <w:spacing w:before="0" w:after="283"/>
              <w:jc w:val="center"/>
              <w:rPr/>
            </w:pPr>
            <w:r>
              <w:rPr/>
              <w:t>$55,052.61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680" w:type="dxa"/>
            <w:vMerge w:val="continue"/>
            <w:tcBorders>
              <w:left w:val="single" w:sz="2" w:space="0" w:color="000000"/>
              <w:bottom w:val="single" w:sz="2" w:space="0" w:color="000000"/>
            </w:tcBorders>
            <w:shd w:fill="auto" w:val="clear"/>
            <w:tcMar>
              <w:left w:w="160" w:type="dxa"/>
              <w:bottom w:w="40" w:type="dxa"/>
            </w:tcMar>
            <w:vAlign w:val="center"/>
          </w:tcPr>
          <w:p>
            <w:pPr>
              <w:pStyle w:val="Normal"/>
              <w:rPr/>
            </w:pPr>
            <w:r>
              <w:rPr/>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80" w:type="dxa"/>
            <w:tcBorders>
              <w:top w:val="single" w:sz="2" w:space="0" w:color="000000"/>
              <w:bottom w:val="single" w:sz="2" w:space="0" w:color="000000"/>
              <w:right w:val="single" w:sz="2" w:space="0" w:color="000000"/>
            </w:tcBorders>
            <w:shd w:fill="auto" w:val="clear"/>
            <w:tcMar>
              <w:top w:w="28" w:type="dxa"/>
              <w:bottom w:w="40" w:type="dxa"/>
              <w:right w:w="28" w:type="dxa"/>
            </w:tcMar>
            <w:vAlign w:val="center"/>
          </w:tcPr>
          <w:p>
            <w:pPr>
              <w:pStyle w:val="TableContents"/>
              <w:spacing w:before="0" w:after="283"/>
              <w:jc w:val="center"/>
              <w:rPr/>
            </w:pPr>
            <w:r>
              <w:rPr/>
              <w:t>Other</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370" w:type="dxa"/>
            <w:tcBorders>
              <w:top w:val="single" w:sz="2" w:space="0" w:color="000000"/>
              <w:bottom w:val="single" w:sz="2" w:space="0" w:color="000000"/>
            </w:tcBorders>
            <w:shd w:fill="auto" w:val="clear"/>
            <w:tcMar>
              <w:top w:w="28" w:type="dxa"/>
              <w:bottom w:w="40" w:type="dxa"/>
            </w:tcMar>
            <w:vAlign w:val="center"/>
          </w:tcPr>
          <w:p>
            <w:pPr>
              <w:pStyle w:val="TableContents"/>
              <w:spacing w:before="0" w:after="0"/>
              <w:rPr/>
            </w:pPr>
            <w:r>
              <w:rPr/>
              <w:t> </w:t>
            </w:r>
          </w:p>
          <w:p>
            <w:pPr>
              <w:pStyle w:val="TableContents"/>
              <w:spacing w:before="0" w:after="0"/>
              <w:jc w:val="center"/>
              <w:rPr>
                <w:rFonts w:ascii="ARIAL" w:hAnsi="ARIAL"/>
                <w:sz w:val="14"/>
              </w:rPr>
            </w:pPr>
            <w:r>
              <w:rPr>
                <w:rFonts w:ascii="ARIAL" w:hAnsi="ARIAL"/>
                <w:sz w:val="14"/>
              </w:rPr>
              <w:t>Guarantees of </w:t>
            </w:r>
          </w:p>
          <w:p>
            <w:pPr>
              <w:pStyle w:val="TableContents"/>
              <w:spacing w:before="0" w:after="0"/>
              <w:jc w:val="center"/>
              <w:rPr>
                <w:rFonts w:ascii="ARIAL" w:hAnsi="ARIAL"/>
                <w:sz w:val="14"/>
              </w:rPr>
            </w:pPr>
            <w:r>
              <w:rPr>
                <w:rFonts w:ascii="ARIAL" w:hAnsi="ARIAL"/>
                <w:sz w:val="14"/>
              </w:rPr>
              <w:t>4.850% Senior Notes </w:t>
            </w:r>
          </w:p>
          <w:p>
            <w:pPr>
              <w:pStyle w:val="TableContents"/>
              <w:spacing w:before="0" w:after="20"/>
              <w:jc w:val="center"/>
              <w:rPr>
                <w:rFonts w:ascii="ARIAL" w:hAnsi="ARIAL"/>
                <w:sz w:val="14"/>
              </w:rPr>
            </w:pPr>
            <w:r>
              <w:rPr>
                <w:rFonts w:ascii="ARIAL" w:hAnsi="ARIAL"/>
                <w:sz w:val="14"/>
              </w:rPr>
              <w:t>due 2033 </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325" w:type="dxa"/>
            <w:tcBorders>
              <w:top w:val="single" w:sz="2" w:space="0" w:color="000000"/>
              <w:bottom w:val="single" w:sz="2" w:space="0" w:color="000000"/>
              <w:right w:val="single" w:sz="2" w:space="0" w:color="000000"/>
            </w:tcBorders>
            <w:shd w:fill="auto" w:val="clear"/>
            <w:tcMar>
              <w:top w:w="28" w:type="dxa"/>
              <w:bottom w:w="40" w:type="dxa"/>
              <w:right w:w="28" w:type="dxa"/>
            </w:tcMar>
            <w:vAlign w:val="center"/>
          </w:tcPr>
          <w:p>
            <w:pPr>
              <w:pStyle w:val="TableContents"/>
              <w:spacing w:before="0" w:after="283"/>
              <w:jc w:val="center"/>
              <w:rPr/>
            </w:pPr>
            <w:r>
              <w:rPr/>
              <w:t>Rule 457(n)</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400" w:type="dxa"/>
            <w:tcBorders>
              <w:top w:val="single" w:sz="2" w:space="0" w:color="000000"/>
              <w:bottom w:val="single" w:sz="2" w:space="0" w:color="000000"/>
            </w:tcBorders>
            <w:shd w:fill="auto" w:val="clear"/>
            <w:tcMar>
              <w:top w:w="28" w:type="dxa"/>
              <w:bottom w:w="40" w:type="dxa"/>
            </w:tcMar>
            <w:vAlign w:val="center"/>
          </w:tcPr>
          <w:p>
            <w:pPr>
              <w:pStyle w:val="TableContents"/>
              <w:spacing w:before="0" w:after="283"/>
              <w:jc w:val="center"/>
              <w:rPr/>
            </w:pPr>
            <w:r>
              <w:rPr/>
              <w:t></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040" w:type="dxa"/>
            <w:tcBorders>
              <w:top w:val="single" w:sz="2" w:space="0" w:color="000000"/>
              <w:bottom w:val="single" w:sz="2" w:space="0" w:color="000000"/>
              <w:right w:val="single" w:sz="2" w:space="0" w:color="000000"/>
            </w:tcBorders>
            <w:shd w:fill="auto" w:val="clear"/>
            <w:tcMar>
              <w:top w:w="28" w:type="dxa"/>
              <w:bottom w:w="40" w:type="dxa"/>
              <w:right w:w="28" w:type="dxa"/>
            </w:tcMar>
            <w:vAlign w:val="center"/>
          </w:tcPr>
          <w:p>
            <w:pPr>
              <w:pStyle w:val="TableContents"/>
              <w:spacing w:before="0" w:after="283"/>
              <w:jc w:val="center"/>
              <w:rPr/>
            </w:pPr>
            <w:r>
              <w:rPr/>
              <w:t></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400" w:type="dxa"/>
            <w:tcBorders>
              <w:top w:val="single" w:sz="2" w:space="0" w:color="000000"/>
              <w:bottom w:val="single" w:sz="2" w:space="0" w:color="000000"/>
            </w:tcBorders>
            <w:shd w:fill="auto" w:val="clear"/>
            <w:tcMar>
              <w:top w:w="28" w:type="dxa"/>
              <w:bottom w:w="40" w:type="dxa"/>
            </w:tcMar>
            <w:vAlign w:val="center"/>
          </w:tcPr>
          <w:p>
            <w:pPr>
              <w:pStyle w:val="TableContents"/>
              <w:spacing w:before="0" w:after="283"/>
              <w:jc w:val="center"/>
              <w:rPr/>
            </w:pPr>
            <w:r>
              <w:rPr/>
              <w:t></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220" w:type="dxa"/>
            <w:tcBorders>
              <w:top w:val="single" w:sz="2" w:space="0" w:color="000000"/>
              <w:bottom w:val="single" w:sz="2" w:space="0" w:color="000000"/>
              <w:right w:val="single" w:sz="2" w:space="0" w:color="000000"/>
            </w:tcBorders>
            <w:shd w:fill="auto" w:val="clear"/>
            <w:tcMar>
              <w:top w:w="28" w:type="dxa"/>
              <w:bottom w:w="40" w:type="dxa"/>
              <w:right w:w="28" w:type="dxa"/>
            </w:tcMar>
            <w:vAlign w:val="center"/>
          </w:tcPr>
          <w:p>
            <w:pPr>
              <w:pStyle w:val="TableContents"/>
              <w:spacing w:before="0" w:after="283"/>
              <w:jc w:val="center"/>
              <w:rPr/>
            </w:pPr>
            <w:r>
              <w:rPr/>
              <w:t></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220" w:type="dxa"/>
            <w:tcBorders>
              <w:top w:val="single" w:sz="2" w:space="0" w:color="000000"/>
              <w:bottom w:val="single" w:sz="2" w:space="0" w:color="000000"/>
            </w:tcBorders>
            <w:shd w:fill="auto" w:val="clear"/>
            <w:tcMar>
              <w:top w:w="28" w:type="dxa"/>
              <w:bottom w:w="40" w:type="dxa"/>
            </w:tcMar>
            <w:vAlign w:val="center"/>
          </w:tcPr>
          <w:p>
            <w:pPr>
              <w:pStyle w:val="TableContents"/>
              <w:spacing w:before="0" w:after="283"/>
              <w:jc w:val="center"/>
              <w:rPr/>
            </w:pPr>
            <w:r>
              <w:rPr/>
              <w:t></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71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7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71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085"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r>
      <w:tr>
        <w:trPr>
          <w:trHeight w:val="75" w:hRule="atLeast"/>
        </w:trPr>
        <w:tc>
          <w:tcPr>
            <w:tcW w:w="680" w:type="dxa"/>
            <w:tcBorders>
              <w:left w:val="single" w:sz="2" w:space="0" w:color="000000"/>
            </w:tcBorders>
            <w:shd w:fill="auto" w:val="clear"/>
            <w:tcMar>
              <w:left w:w="160" w:type="dxa"/>
            </w:tcMar>
            <w:vAlign w:val="center"/>
          </w:tcPr>
          <w:p>
            <w:pPr>
              <w:pStyle w:val="TableContents"/>
              <w:spacing w:before="0" w:after="283"/>
              <w:rPr/>
            </w:pPr>
            <w:r>
              <w:rPr/>
              <w:t> </w:t>
            </w:r>
          </w:p>
        </w:tc>
        <w:tc>
          <w:tcPr>
            <w:tcW w:w="104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283"/>
              <w:rPr>
                <w:sz w:val="4"/>
                <w:szCs w:val="4"/>
              </w:rPr>
            </w:pPr>
            <w:r>
              <w:rPr>
                <w:sz w:val="4"/>
                <w:szCs w:val="4"/>
              </w:rPr>
            </w:r>
          </w:p>
        </w:tc>
        <w:tc>
          <w:tcPr>
            <w:tcW w:w="1385"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rPr>
                <w:sz w:val="4"/>
                <w:szCs w:val="4"/>
              </w:rPr>
            </w:pPr>
            <w:r>
              <w:rPr>
                <w:sz w:val="4"/>
                <w:szCs w:val="4"/>
              </w:rPr>
            </w:r>
          </w:p>
        </w:tc>
        <w:tc>
          <w:tcPr>
            <w:tcW w:w="110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rPr>
                <w:sz w:val="4"/>
                <w:szCs w:val="4"/>
              </w:rPr>
            </w:pPr>
            <w:r>
              <w:rPr>
                <w:sz w:val="4"/>
                <w:szCs w:val="4"/>
              </w:rPr>
            </w:r>
          </w:p>
        </w:tc>
        <w:tc>
          <w:tcPr>
            <w:tcW w:w="128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145"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680" w:type="dxa"/>
            <w:tcBorders>
              <w:left w:val="single" w:sz="2" w:space="0" w:color="000000"/>
              <w:bottom w:val="single" w:sz="2" w:space="0" w:color="000000"/>
            </w:tcBorders>
            <w:shd w:fill="auto" w:val="clear"/>
            <w:tcMar>
              <w:left w:w="160" w:type="dxa"/>
              <w:bottom w:w="40" w:type="dxa"/>
            </w:tcMar>
            <w:vAlign w:val="center"/>
          </w:tcPr>
          <w:p>
            <w:pPr>
              <w:pStyle w:val="TableContents"/>
              <w:spacing w:before="0" w:after="0"/>
              <w:jc w:val="center"/>
              <w:rPr>
                <w:rFonts w:ascii="ARIAL" w:hAnsi="ARIAL"/>
                <w:sz w:val="14"/>
              </w:rPr>
            </w:pPr>
            <w:r>
              <w:rPr>
                <w:rFonts w:ascii="ARIAL" w:hAnsi="ARIAL"/>
                <w:sz w:val="14"/>
              </w:rPr>
              <w:t>Fees  Previously </w:t>
            </w:r>
          </w:p>
          <w:p>
            <w:pPr>
              <w:pStyle w:val="TableContents"/>
              <w:spacing w:before="0" w:after="20"/>
              <w:jc w:val="center"/>
              <w:rPr>
                <w:rFonts w:ascii="ARIAL" w:hAnsi="ARIAL"/>
                <w:sz w:val="14"/>
              </w:rPr>
            </w:pPr>
            <w:r>
              <w:rPr>
                <w:rFonts w:ascii="ARIAL" w:hAnsi="ARIAL"/>
                <w:sz w:val="14"/>
              </w:rPr>
              <w:t>Paid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80"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283"/>
              <w:jc w:val="center"/>
              <w:rPr/>
            </w:pPr>
            <w:r>
              <w:rPr/>
              <w:t>N/A</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370" w:type="dxa"/>
            <w:tcBorders>
              <w:bottom w:val="single" w:sz="2" w:space="0" w:color="000000"/>
            </w:tcBorders>
            <w:shd w:fill="auto" w:val="clear"/>
            <w:tcMar>
              <w:bottom w:w="40" w:type="dxa"/>
            </w:tcMar>
            <w:vAlign w:val="center"/>
          </w:tcPr>
          <w:p>
            <w:pPr>
              <w:pStyle w:val="TableContents"/>
              <w:spacing w:before="0" w:after="283"/>
              <w:jc w:val="center"/>
              <w:rPr/>
            </w:pPr>
            <w:r>
              <w:rPr/>
              <w:t>N/A</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325"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283"/>
              <w:jc w:val="center"/>
              <w:rPr/>
            </w:pPr>
            <w:r>
              <w:rPr/>
              <w:t>N/A</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40" w:type="dxa"/>
            </w:tcMar>
            <w:vAlign w:val="center"/>
          </w:tcPr>
          <w:p>
            <w:pPr>
              <w:pStyle w:val="TableContents"/>
              <w:spacing w:before="0" w:after="283"/>
              <w:jc w:val="center"/>
              <w:rPr/>
            </w:pPr>
            <w:r>
              <w:rPr/>
              <w:t>N/A</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283"/>
              <w:jc w:val="center"/>
              <w:rPr/>
            </w:pPr>
            <w:r>
              <w:rPr/>
              <w:t>N/A</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40" w:type="dxa"/>
            </w:tcMar>
            <w:vAlign w:val="center"/>
          </w:tcPr>
          <w:p>
            <w:pPr>
              <w:pStyle w:val="TableContents"/>
              <w:spacing w:before="0" w:after="283"/>
              <w:jc w:val="center"/>
              <w:rPr/>
            </w:pPr>
            <w:r>
              <w:rPr/>
              <w:t>N/A</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tcBorders>
            <w:shd w:fill="auto" w:val="clear"/>
            <w:tcMar>
              <w:bottom w:w="40" w:type="dxa"/>
            </w:tcMar>
            <w:vAlign w:val="center"/>
          </w:tcPr>
          <w:p>
            <w:pPr>
              <w:pStyle w:val="TableContents"/>
              <w:spacing w:before="0" w:after="283"/>
              <w:jc w:val="center"/>
              <w:rPr/>
            </w:pPr>
            <w:r>
              <w:rPr/>
              <w:t>N/A</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71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8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r>
      <w:tr>
        <w:trPr>
          <w:trHeight w:val="75" w:hRule="atLeast"/>
        </w:trPr>
        <w:tc>
          <w:tcPr>
            <w:tcW w:w="14570" w:type="dxa"/>
            <w:gridSpan w:val="25"/>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14570" w:type="dxa"/>
            <w:gridSpan w:val="25"/>
            <w:tcBorders>
              <w:left w:val="single" w:sz="2" w:space="0" w:color="000000"/>
              <w:bottom w:val="single" w:sz="2" w:space="0" w:color="000000"/>
              <w:right w:val="single" w:sz="2" w:space="0" w:color="000000"/>
            </w:tcBorders>
            <w:shd w:fill="auto" w:val="clear"/>
            <w:tcMar>
              <w:left w:w="160" w:type="dxa"/>
              <w:bottom w:w="40" w:type="dxa"/>
              <w:right w:w="40" w:type="dxa"/>
            </w:tcMar>
            <w:vAlign w:val="center"/>
          </w:tcPr>
          <w:p>
            <w:pPr>
              <w:pStyle w:val="TableContents"/>
              <w:spacing w:before="0" w:after="283"/>
              <w:jc w:val="center"/>
              <w:rPr>
                <w:b/>
              </w:rPr>
            </w:pPr>
            <w:r>
              <w:rPr>
                <w:b/>
              </w:rPr>
              <w:t>Carry Forward Securities</w:t>
            </w:r>
          </w:p>
        </w:tc>
      </w:tr>
      <w:tr>
        <w:trPr>
          <w:trHeight w:val="75" w:hRule="atLeast"/>
        </w:trPr>
        <w:tc>
          <w:tcPr>
            <w:tcW w:w="680" w:type="dxa"/>
            <w:tcBorders>
              <w:left w:val="single" w:sz="2" w:space="0" w:color="000000"/>
            </w:tcBorders>
            <w:shd w:fill="auto" w:val="clear"/>
            <w:tcMar>
              <w:left w:w="160" w:type="dxa"/>
            </w:tcMar>
            <w:vAlign w:val="center"/>
          </w:tcPr>
          <w:p>
            <w:pPr>
              <w:pStyle w:val="TableContents"/>
              <w:spacing w:before="0" w:after="283"/>
              <w:rPr/>
            </w:pPr>
            <w:r>
              <w:rPr/>
              <w:t> </w:t>
            </w:r>
          </w:p>
        </w:tc>
        <w:tc>
          <w:tcPr>
            <w:tcW w:w="104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283"/>
              <w:rPr>
                <w:sz w:val="4"/>
                <w:szCs w:val="4"/>
              </w:rPr>
            </w:pPr>
            <w:r>
              <w:rPr>
                <w:sz w:val="4"/>
                <w:szCs w:val="4"/>
              </w:rPr>
            </w:r>
          </w:p>
        </w:tc>
        <w:tc>
          <w:tcPr>
            <w:tcW w:w="1385"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rPr>
                <w:sz w:val="4"/>
                <w:szCs w:val="4"/>
              </w:rPr>
            </w:pPr>
            <w:r>
              <w:rPr>
                <w:sz w:val="4"/>
                <w:szCs w:val="4"/>
              </w:rPr>
            </w:r>
          </w:p>
        </w:tc>
        <w:tc>
          <w:tcPr>
            <w:tcW w:w="110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rPr>
                <w:sz w:val="4"/>
                <w:szCs w:val="4"/>
              </w:rPr>
            </w:pPr>
            <w:r>
              <w:rPr>
                <w:sz w:val="4"/>
                <w:szCs w:val="4"/>
              </w:rPr>
            </w:r>
          </w:p>
        </w:tc>
        <w:tc>
          <w:tcPr>
            <w:tcW w:w="128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145"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680" w:type="dxa"/>
            <w:tcBorders>
              <w:left w:val="single" w:sz="2" w:space="0" w:color="000000"/>
            </w:tcBorders>
            <w:shd w:fill="auto" w:val="clear"/>
            <w:tcMar>
              <w:left w:w="160" w:type="dxa"/>
            </w:tcMar>
            <w:vAlign w:val="center"/>
          </w:tcPr>
          <w:p>
            <w:pPr>
              <w:pStyle w:val="TableContents"/>
              <w:spacing w:before="0" w:after="0"/>
              <w:jc w:val="center"/>
              <w:rPr>
                <w:rFonts w:ascii="ARIAL" w:hAnsi="ARIAL"/>
                <w:sz w:val="14"/>
              </w:rPr>
            </w:pPr>
            <w:r>
              <w:rPr>
                <w:rFonts w:ascii="ARIAL" w:hAnsi="ARIAL"/>
                <w:sz w:val="14"/>
              </w:rPr>
              <w:t>Carry </w:t>
            </w:r>
          </w:p>
          <w:p>
            <w:pPr>
              <w:pStyle w:val="TableContents"/>
              <w:spacing w:before="0" w:after="0"/>
              <w:jc w:val="center"/>
              <w:rPr>
                <w:rFonts w:ascii="ARIAL" w:hAnsi="ARIAL"/>
                <w:sz w:val="14"/>
              </w:rPr>
            </w:pPr>
            <w:r>
              <w:rPr>
                <w:rFonts w:ascii="ARIAL" w:hAnsi="ARIAL"/>
                <w:sz w:val="14"/>
              </w:rPr>
              <w:t>Forward </w:t>
            </w:r>
          </w:p>
          <w:p>
            <w:pPr>
              <w:pStyle w:val="TableContents"/>
              <w:spacing w:before="0" w:after="20"/>
              <w:jc w:val="center"/>
              <w:rPr>
                <w:rFonts w:ascii="ARIAL" w:hAnsi="ARIAL"/>
                <w:sz w:val="14"/>
              </w:rPr>
            </w:pPr>
            <w:r>
              <w:rPr>
                <w:rFonts w:ascii="ARIAL" w:hAnsi="ARIAL"/>
                <w:sz w:val="14"/>
              </w:rPr>
              <w:t>Securities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right w:val="single" w:sz="2" w:space="0" w:color="000000"/>
            </w:tcBorders>
            <w:shd w:fill="auto" w:val="clear"/>
            <w:tcMar>
              <w:right w:w="28" w:type="dxa"/>
            </w:tcMar>
            <w:vAlign w:val="center"/>
          </w:tcPr>
          <w:p>
            <w:pPr>
              <w:pStyle w:val="TableContents"/>
              <w:spacing w:before="0" w:after="283"/>
              <w:jc w:val="center"/>
              <w:rPr/>
            </w:pPr>
            <w:r>
              <w:rPr/>
              <w:t>N/A</w:t>
            </w:r>
          </w:p>
        </w:tc>
        <w:tc>
          <w:tcPr>
            <w:tcW w:w="60" w:type="dxa"/>
            <w:tcBorders/>
            <w:shd w:fill="auto" w:val="clear"/>
            <w:vAlign w:val="bottom"/>
          </w:tcPr>
          <w:p>
            <w:pPr>
              <w:pStyle w:val="TableContents"/>
              <w:spacing w:before="0" w:after="283"/>
              <w:rPr/>
            </w:pPr>
            <w:r>
              <w:rPr/>
              <w:t> </w:t>
            </w:r>
          </w:p>
        </w:tc>
        <w:tc>
          <w:tcPr>
            <w:tcW w:w="1370" w:type="dxa"/>
            <w:tcBorders/>
            <w:shd w:fill="auto" w:val="clear"/>
            <w:vAlign w:val="center"/>
          </w:tcPr>
          <w:p>
            <w:pPr>
              <w:pStyle w:val="TableContents"/>
              <w:spacing w:before="0" w:after="283"/>
              <w:jc w:val="center"/>
              <w:rPr/>
            </w:pPr>
            <w:r>
              <w:rPr/>
              <w:t>N/A</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25" w:type="dxa"/>
            <w:tcBorders>
              <w:right w:val="single" w:sz="2" w:space="0" w:color="000000"/>
            </w:tcBorders>
            <w:shd w:fill="auto" w:val="clear"/>
            <w:tcMar>
              <w:right w:w="28" w:type="dxa"/>
            </w:tcMar>
            <w:vAlign w:val="center"/>
          </w:tcPr>
          <w:p>
            <w:pPr>
              <w:pStyle w:val="TableContents"/>
              <w:spacing w:before="0" w:after="283"/>
              <w:jc w:val="center"/>
              <w:rPr/>
            </w:pPr>
            <w:r>
              <w:rPr/>
              <w:t>N/A</w:t>
            </w:r>
          </w:p>
        </w:tc>
        <w:tc>
          <w:tcPr>
            <w:tcW w:w="60" w:type="dxa"/>
            <w:tcBorders/>
            <w:shd w:fill="auto" w:val="clear"/>
            <w:vAlign w:val="bottom"/>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N/A</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N/A</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jc w:val="center"/>
              <w:rPr/>
            </w:pPr>
            <w:r>
              <w:rPr/>
              <w:t>N/A</w:t>
            </w:r>
          </w:p>
        </w:tc>
        <w:tc>
          <w:tcPr>
            <w:tcW w:w="60" w:type="dxa"/>
            <w:tcBorders/>
            <w:shd w:fill="auto" w:val="clear"/>
            <w:vAlign w:val="bottom"/>
          </w:tcPr>
          <w:p>
            <w:pPr>
              <w:pStyle w:val="TableContents"/>
              <w:spacing w:before="0" w:after="283"/>
              <w:rPr/>
            </w:pPr>
            <w:r>
              <w:rPr/>
              <w:t> </w:t>
            </w:r>
          </w:p>
        </w:tc>
        <w:tc>
          <w:tcPr>
            <w:tcW w:w="710" w:type="dxa"/>
            <w:tcBorders/>
            <w:shd w:fill="auto" w:val="clear"/>
            <w:vAlign w:val="center"/>
          </w:tcPr>
          <w:p>
            <w:pPr>
              <w:pStyle w:val="TableContents"/>
              <w:spacing w:before="0" w:after="283"/>
              <w:jc w:val="center"/>
              <w:rPr/>
            </w:pPr>
            <w:r>
              <w:rPr/>
              <w:t>N/A</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jc w:val="center"/>
              <w:rPr/>
            </w:pPr>
            <w:r>
              <w:rPr/>
              <w:t>N/A</w:t>
            </w:r>
          </w:p>
        </w:tc>
        <w:tc>
          <w:tcPr>
            <w:tcW w:w="60" w:type="dxa"/>
            <w:tcBorders/>
            <w:shd w:fill="auto" w:val="clear"/>
            <w:vAlign w:val="bottom"/>
          </w:tcPr>
          <w:p>
            <w:pPr>
              <w:pStyle w:val="TableContents"/>
              <w:spacing w:before="0" w:after="283"/>
              <w:rPr/>
            </w:pPr>
            <w:r>
              <w:rPr/>
              <w:t> </w:t>
            </w:r>
          </w:p>
        </w:tc>
        <w:tc>
          <w:tcPr>
            <w:tcW w:w="1085" w:type="dxa"/>
            <w:tcBorders>
              <w:right w:val="single" w:sz="2" w:space="0" w:color="000000"/>
            </w:tcBorders>
            <w:shd w:fill="auto" w:val="clear"/>
            <w:tcMar>
              <w:right w:w="28" w:type="dxa"/>
            </w:tcMar>
            <w:vAlign w:val="center"/>
          </w:tcPr>
          <w:p>
            <w:pPr>
              <w:pStyle w:val="TableContents"/>
              <w:spacing w:before="0" w:after="283"/>
              <w:jc w:val="center"/>
              <w:rPr/>
            </w:pPr>
            <w:r>
              <w:rPr/>
              <w:t>N/A</w:t>
            </w:r>
          </w:p>
        </w:tc>
      </w:tr>
      <w:tr>
        <w:trPr>
          <w:trHeight w:val="75" w:hRule="atLeast"/>
        </w:trPr>
        <w:tc>
          <w:tcPr>
            <w:tcW w:w="6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315"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77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77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145" w:type="dxa"/>
            <w:gridSpan w:val="2"/>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r>
      <w:tr>
        <w:trPr/>
        <w:tc>
          <w:tcPr>
            <w:tcW w:w="680" w:type="dxa"/>
            <w:tcBorders>
              <w:left w:val="single" w:sz="2" w:space="0" w:color="000000"/>
              <w:bottom w:val="single" w:sz="2" w:space="0" w:color="000000"/>
            </w:tcBorders>
            <w:shd w:fill="auto" w:val="clear"/>
            <w:tcMar>
              <w:left w:w="160" w:type="dxa"/>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255" w:type="dxa"/>
            <w:gridSpan w:val="7"/>
            <w:tcBorders>
              <w:bottom w:val="single" w:sz="2" w:space="0" w:color="000000"/>
            </w:tcBorders>
            <w:shd w:fill="auto" w:val="clear"/>
            <w:tcMar>
              <w:bottom w:w="40" w:type="dxa"/>
            </w:tcMar>
            <w:vAlign w:val="center"/>
          </w:tcPr>
          <w:p>
            <w:pPr>
              <w:pStyle w:val="TableContents"/>
              <w:spacing w:before="0" w:after="283"/>
              <w:jc w:val="center"/>
              <w:rPr/>
            </w:pPr>
            <w:r>
              <w:rPr/>
              <w:t>Total Offering Amounts</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40" w:type="dxa"/>
            </w:tcMar>
            <w:vAlign w:val="center"/>
          </w:tcPr>
          <w:p>
            <w:pPr>
              <w:pStyle w:val="TableContents"/>
              <w:spacing w:before="0" w:after="283"/>
              <w:jc w:val="center"/>
              <w:rPr/>
            </w:pPr>
            <w:r>
              <w:rPr/>
              <w:t>$998,620,000</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tcBorders>
            <w:shd w:fill="auto" w:val="clear"/>
            <w:tcMar>
              <w:bottom w:w="40" w:type="dxa"/>
            </w:tcMar>
            <w:vAlign w:val="center"/>
          </w:tcPr>
          <w:p>
            <w:pPr>
              <w:pStyle w:val="TableContents"/>
              <w:spacing w:before="0" w:after="283"/>
              <w:jc w:val="center"/>
              <w:rPr/>
            </w:pPr>
            <w:r>
              <w:rPr/>
              <w:t>$110,047.92</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71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8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r>
      <w:tr>
        <w:trPr>
          <w:trHeight w:val="75" w:hRule="atLeast"/>
        </w:trPr>
        <w:tc>
          <w:tcPr>
            <w:tcW w:w="680" w:type="dxa"/>
            <w:tcBorders>
              <w:left w:val="single" w:sz="2" w:space="0" w:color="000000"/>
            </w:tcBorders>
            <w:shd w:fill="auto" w:val="clear"/>
            <w:tcMar>
              <w:left w:w="160" w:type="dxa"/>
            </w:tcMar>
            <w:vAlign w:val="center"/>
          </w:tcPr>
          <w:p>
            <w:pPr>
              <w:pStyle w:val="TableContents"/>
              <w:spacing w:before="0" w:after="283"/>
              <w:rPr/>
            </w:pPr>
            <w:r>
              <w:rPr/>
              <w:t> </w:t>
            </w:r>
          </w:p>
        </w:tc>
        <w:tc>
          <w:tcPr>
            <w:tcW w:w="5315" w:type="dxa"/>
            <w:gridSpan w:val="8"/>
            <w:tcBorders>
              <w:left w:val="single" w:sz="2" w:space="0" w:color="000000"/>
            </w:tcBorders>
            <w:shd w:fill="auto" w:val="clear"/>
            <w:tcMar>
              <w:left w:w="28" w:type="dxa"/>
            </w:tcMar>
            <w:vAlign w:val="center"/>
          </w:tcPr>
          <w:p>
            <w:pPr>
              <w:pStyle w:val="TableContents"/>
              <w:spacing w:before="0" w:after="283"/>
              <w:rPr/>
            </w:pPr>
            <w:r>
              <w:rPr/>
              <w:t> </w:t>
            </w:r>
          </w:p>
        </w:tc>
        <w:tc>
          <w:tcPr>
            <w:tcW w:w="110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rPr>
                <w:sz w:val="4"/>
                <w:szCs w:val="4"/>
              </w:rPr>
            </w:pPr>
            <w:r>
              <w:rPr>
                <w:sz w:val="4"/>
                <w:szCs w:val="4"/>
              </w:rPr>
            </w:r>
          </w:p>
        </w:tc>
        <w:tc>
          <w:tcPr>
            <w:tcW w:w="128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145"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680" w:type="dxa"/>
            <w:tcBorders>
              <w:left w:val="single" w:sz="2" w:space="0" w:color="000000"/>
            </w:tcBorders>
            <w:shd w:fill="auto" w:val="clear"/>
            <w:tcMar>
              <w:left w:w="160" w:type="dxa"/>
            </w:tcMar>
            <w:vAlign w:val="cente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5255" w:type="dxa"/>
            <w:gridSpan w:val="7"/>
            <w:tcBorders/>
            <w:shd w:fill="auto" w:val="clear"/>
            <w:vAlign w:val="center"/>
          </w:tcPr>
          <w:p>
            <w:pPr>
              <w:pStyle w:val="TableContents"/>
              <w:spacing w:before="0" w:after="283"/>
              <w:jc w:val="center"/>
              <w:rPr/>
            </w:pPr>
            <w:r>
              <w:rPr/>
              <w:t>Total Fees Previously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center"/>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right w:val="single" w:sz="2" w:space="0" w:color="000000"/>
            </w:tcBorders>
            <w:shd w:fill="auto" w:val="clear"/>
            <w:tcMar>
              <w:right w:w="28" w:type="dxa"/>
            </w:tcMar>
            <w:vAlign w:val="center"/>
          </w:tcPr>
          <w:p>
            <w:pPr>
              <w:pStyle w:val="TableContents"/>
              <w:spacing w:before="0" w:after="283"/>
              <w:rPr/>
            </w:pPr>
            <w:r>
              <w:rPr/>
              <w:t> </w:t>
            </w:r>
          </w:p>
        </w:tc>
      </w:tr>
      <w:tr>
        <w:trPr>
          <w:trHeight w:val="75" w:hRule="atLeast"/>
        </w:trPr>
        <w:tc>
          <w:tcPr>
            <w:tcW w:w="6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315"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77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77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145" w:type="dxa"/>
            <w:gridSpan w:val="2"/>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r>
      <w:tr>
        <w:trPr/>
        <w:tc>
          <w:tcPr>
            <w:tcW w:w="680" w:type="dxa"/>
            <w:tcBorders>
              <w:left w:val="single" w:sz="2" w:space="0" w:color="000000"/>
              <w:bottom w:val="single" w:sz="2" w:space="0" w:color="000000"/>
            </w:tcBorders>
            <w:shd w:fill="auto" w:val="clear"/>
            <w:tcMar>
              <w:left w:w="160" w:type="dxa"/>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255" w:type="dxa"/>
            <w:gridSpan w:val="7"/>
            <w:tcBorders>
              <w:bottom w:val="single" w:sz="2" w:space="0" w:color="000000"/>
            </w:tcBorders>
            <w:shd w:fill="auto" w:val="clear"/>
            <w:tcMar>
              <w:bottom w:w="40" w:type="dxa"/>
            </w:tcMar>
            <w:vAlign w:val="center"/>
          </w:tcPr>
          <w:p>
            <w:pPr>
              <w:pStyle w:val="TableContents"/>
              <w:spacing w:before="0" w:after="283"/>
              <w:jc w:val="center"/>
              <w:rPr/>
            </w:pPr>
            <w:r>
              <w:rPr/>
              <w:t>Total Fee Offsets</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tcBorders>
            <w:shd w:fill="auto" w:val="clear"/>
            <w:tcMar>
              <w:bottom w:w="40" w:type="dxa"/>
            </w:tcMar>
            <w:vAlign w:val="center"/>
          </w:tcPr>
          <w:p>
            <w:pPr>
              <w:pStyle w:val="TableContents"/>
              <w:spacing w:before="0" w:after="283"/>
              <w:jc w:val="center"/>
              <w:rPr/>
            </w:pPr>
            <w:r>
              <w:rPr/>
              <w:t></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71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8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r>
      <w:tr>
        <w:trPr>
          <w:trHeight w:val="75" w:hRule="atLeast"/>
        </w:trPr>
        <w:tc>
          <w:tcPr>
            <w:tcW w:w="680" w:type="dxa"/>
            <w:tcBorders>
              <w:left w:val="single" w:sz="2" w:space="0" w:color="000000"/>
            </w:tcBorders>
            <w:shd w:fill="auto" w:val="clear"/>
            <w:tcMar>
              <w:left w:w="160" w:type="dxa"/>
            </w:tcMar>
            <w:vAlign w:val="center"/>
          </w:tcPr>
          <w:p>
            <w:pPr>
              <w:pStyle w:val="TableContents"/>
              <w:spacing w:before="0" w:after="283"/>
              <w:rPr/>
            </w:pPr>
            <w:r>
              <w:rPr/>
              <w:t> </w:t>
            </w:r>
          </w:p>
        </w:tc>
        <w:tc>
          <w:tcPr>
            <w:tcW w:w="5315" w:type="dxa"/>
            <w:gridSpan w:val="8"/>
            <w:tcBorders>
              <w:left w:val="single" w:sz="2" w:space="0" w:color="000000"/>
            </w:tcBorders>
            <w:shd w:fill="auto" w:val="clear"/>
            <w:tcMar>
              <w:left w:w="28" w:type="dxa"/>
            </w:tcMar>
            <w:vAlign w:val="center"/>
          </w:tcPr>
          <w:p>
            <w:pPr>
              <w:pStyle w:val="TableContents"/>
              <w:spacing w:before="0" w:after="283"/>
              <w:rPr/>
            </w:pPr>
            <w:r>
              <w:rPr/>
              <w:t> </w:t>
            </w:r>
          </w:p>
        </w:tc>
        <w:tc>
          <w:tcPr>
            <w:tcW w:w="110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rPr>
                <w:sz w:val="4"/>
                <w:szCs w:val="4"/>
              </w:rPr>
            </w:pPr>
            <w:r>
              <w:rPr>
                <w:sz w:val="4"/>
                <w:szCs w:val="4"/>
              </w:rPr>
            </w:r>
          </w:p>
        </w:tc>
        <w:tc>
          <w:tcPr>
            <w:tcW w:w="128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770" w:type="dxa"/>
            <w:gridSpan w:val="2"/>
            <w:tcBorders/>
            <w:shd w:fill="auto" w:val="clear"/>
            <w:vAlign w:val="center"/>
          </w:tcPr>
          <w:p>
            <w:pPr>
              <w:pStyle w:val="TableContents"/>
              <w:spacing w:before="0" w:after="283"/>
              <w:rPr>
                <w:sz w:val="4"/>
                <w:szCs w:val="4"/>
              </w:rPr>
            </w:pPr>
            <w:r>
              <w:rPr>
                <w:sz w:val="4"/>
                <w:szCs w:val="4"/>
              </w:rPr>
            </w:r>
          </w:p>
        </w:tc>
        <w:tc>
          <w:tcPr>
            <w:tcW w:w="77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c>
          <w:tcPr>
            <w:tcW w:w="1145"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680" w:type="dxa"/>
            <w:tcBorders>
              <w:left w:val="single" w:sz="2" w:space="0" w:color="000000"/>
            </w:tcBorders>
            <w:shd w:fill="auto" w:val="clear"/>
            <w:tcMar>
              <w:left w:w="160" w:type="dxa"/>
            </w:tcMar>
            <w:vAlign w:val="cente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5255" w:type="dxa"/>
            <w:gridSpan w:val="7"/>
            <w:tcBorders/>
            <w:shd w:fill="auto" w:val="clear"/>
            <w:vAlign w:val="center"/>
          </w:tcPr>
          <w:p>
            <w:pPr>
              <w:pStyle w:val="TableContents"/>
              <w:spacing w:before="0" w:after="283"/>
              <w:jc w:val="center"/>
              <w:rPr/>
            </w:pPr>
            <w:r>
              <w:rPr/>
              <w:t>Net Fee Due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center"/>
          </w:tcPr>
          <w:p>
            <w:pPr>
              <w:pStyle w:val="TableContents"/>
              <w:spacing w:before="0" w:after="283"/>
              <w:jc w:val="center"/>
              <w:rPr/>
            </w:pPr>
            <w:r>
              <w:rPr/>
              <w:t>$110,047.92</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710" w:type="dxa"/>
            <w:tcBorders>
              <w:right w:val="single" w:sz="2"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right w:val="single" w:sz="2" w:space="0" w:color="000000"/>
            </w:tcBorders>
            <w:shd w:fill="auto" w:val="clear"/>
            <w:tcMar>
              <w:right w:w="28" w:type="dxa"/>
            </w:tcMar>
            <w:vAlign w:val="center"/>
          </w:tcPr>
          <w:p>
            <w:pPr>
              <w:pStyle w:val="TableContents"/>
              <w:spacing w:before="0" w:after="283"/>
              <w:rPr/>
            </w:pPr>
            <w:r>
              <w:rPr/>
              <w:t> </w:t>
            </w:r>
          </w:p>
        </w:tc>
      </w:tr>
      <w:tr>
        <w:trPr>
          <w:trHeight w:val="75" w:hRule="atLeast"/>
        </w:trPr>
        <w:tc>
          <w:tcPr>
            <w:tcW w:w="6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315"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46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77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770"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77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145" w:type="dxa"/>
            <w:gridSpan w:val="2"/>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r>
      <w:tr>
        <w:trPr/>
        <w:tc>
          <w:tcPr>
            <w:tcW w:w="680" w:type="dxa"/>
            <w:tcBorders>
              <w:left w:val="single" w:sz="2" w:space="0" w:color="000000"/>
              <w:bottom w:val="single" w:sz="2" w:space="0" w:color="000000"/>
            </w:tcBorders>
            <w:shd w:fill="auto" w:val="clear"/>
            <w:tcMar>
              <w:left w:w="160" w:type="dxa"/>
              <w:bottom w:w="40" w:type="dxa"/>
            </w:tcMar>
            <w:vAlign w:val="center"/>
          </w:tcPr>
          <w:p>
            <w:pPr>
              <w:pStyle w:val="TableContents"/>
              <w:spacing w:before="0" w:after="283"/>
              <w:jc w:val="center"/>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255" w:type="dxa"/>
            <w:gridSpan w:val="7"/>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0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71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10"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85"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087347/000156459023000762/slb-10k_20221231.htm" TargetMode="External"/><Relationship Id="rId4" Type="http://schemas.openxmlformats.org/officeDocument/2006/relationships/hyperlink" Target="http://www.sec.gov/Archives/edgar/data/../../../ix?doc=/Archives/edgar/data/0000087347/000130817923000057/slb-20221231.htm" TargetMode="External"/><Relationship Id="rId5" Type="http://schemas.openxmlformats.org/officeDocument/2006/relationships/hyperlink" Target="http://www.sec.gov/Archives/edgar/data/../../../ix?doc=/Archives/edgar/data/87347/000095017023014656/slb-20230331.htm" TargetMode="External"/><Relationship Id="rId6" Type="http://schemas.openxmlformats.org/officeDocument/2006/relationships/hyperlink" Target="http://www.sec.gov/Archives/edgar/data/../../../ix?doc=/Archives/edgar/data/0000087347/000119312523092724/d452417d8k.htm" TargetMode="External"/><Relationship Id="rId7" Type="http://schemas.openxmlformats.org/officeDocument/2006/relationships/hyperlink" Target="http://www.sec.gov/Archives/edgar/data/../../../ix?doc=/Archives/edgar/data/0000087347/000119312523103678/d489792d8k.htm" TargetMode="External"/><Relationship Id="rId8" Type="http://schemas.openxmlformats.org/officeDocument/2006/relationships/hyperlink" Target="http://www.sec.gov/Archives/edgar/data/../../../ix?doc=/Archives/edgar/data/87347/000119312523110532/d470769d8k.htm" TargetMode="External"/><Relationship Id="rId9" Type="http://schemas.openxmlformats.org/officeDocument/2006/relationships/image" Target="media/image2.jpeg"/><Relationship Id="rId10" Type="http://schemas.openxmlformats.org/officeDocument/2006/relationships/hyperlink" Target="http://www.sec.gov/Archives/edgar/data/../../../ix?doc=/Archives/edgar/data/0000087347/000156459023000762/slb-10k_20221231.htm" TargetMode="External"/><Relationship Id="rId11" Type="http://schemas.openxmlformats.org/officeDocument/2006/relationships/hyperlink" Target="http://www.sec.gov/Archives/edgar/data/../../../ix?doc=/Archives/edgar/data/0000087347/000130817923000057/slb-20221231.htm" TargetMode="External"/><Relationship Id="rId12" Type="http://schemas.openxmlformats.org/officeDocument/2006/relationships/hyperlink" Target="http://www.sec.gov/Archives/edgar/data/../../../ix?doc=/Archives/edgar/data/87347/000095017023014656/slb-20230331.htm" TargetMode="External"/><Relationship Id="rId13" Type="http://schemas.openxmlformats.org/officeDocument/2006/relationships/hyperlink" Target="http://www.sec.gov/Archives/edgar/data/../../../ix?doc=/Archives/edgar/data/0000087347/000119312523092724/d452417d8k.htm" TargetMode="External"/><Relationship Id="rId14" Type="http://schemas.openxmlformats.org/officeDocument/2006/relationships/hyperlink" Target="http://www.sec.gov/Archives/edgar/data/../../../ix?doc=/Archives/edgar/data/0000087347/000119312523103678/d489792d8k.htm" TargetMode="External"/><Relationship Id="rId15" Type="http://schemas.openxmlformats.org/officeDocument/2006/relationships/hyperlink" Target="http://www.sec.gov/Archives/edgar/data/../../../ix?doc=/Archives/edgar/data/87347/000119312523110532/d470769d8k.htm" TargetMode="External"/><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81</Pages>
  <Words>43006</Words>
  <CharactersWithSpaces>262862</CharactersWithSpaces>
  <Paragraphs>2786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