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271d8k.htm"/>
      <w:bookmarkStart w:id="1" w:name="ksd15127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200" w:after="0"/>
        <w:jc w:val="center"/>
        <w:rPr>
          <w:rFonts w:ascii="Arial" w:hAnsi="Arial"/>
          <w:b/>
          <w:sz w:val="24"/>
        </w:rPr>
      </w:pPr>
      <w:r>
        <w:rPr>
          <w:rFonts w:ascii="Arial" w:hAnsi="Arial"/>
          <w:b/>
          <w:sz w:val="24"/>
        </w:rPr>
        <w:t>Date of Report (Date of earliest event reported): October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b/>
          <w:sz w:val="48"/>
        </w:rPr>
      </w:pPr>
      <w:r>
        <w:rPr>
          <w:rFonts w:ascii="Arial" w:hAnsi="Arial"/>
          <w:b/>
          <w:sz w:val="48"/>
        </w:rPr>
        <w:t xml:space="preserve">SLB N.V. (SLB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b/>
              </w:rPr>
            </w:pPr>
            <w:r>
              <w:rPr>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200" w:after="0"/>
        <w:jc w:val="center"/>
        <w:rPr>
          <w:rFonts w:ascii="Arial" w:hAnsi="Arial"/>
          <w:b/>
          <w:sz w:val="20"/>
        </w:rPr>
      </w:pPr>
      <w:r>
        <w:rPr>
          <w:rFonts w:ascii="Arial" w:hAnsi="Arial"/>
          <w:b/>
          <w:sz w:val="20"/>
        </w:rPr>
        <w:t>42 rue Saint-Dominique, Paris, France 75007</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center"/>
              <w:rPr>
                <w:rFonts w:ascii="Arial" w:hAnsi="Arial"/>
                <w:b/>
                <w:sz w:val="20"/>
              </w:rPr>
            </w:pPr>
            <w:r>
              <w:rPr>
                <w:rFonts w:ascii="Arial" w:hAnsi="Arial"/>
                <w:b/>
                <w:sz w:val="20"/>
              </w:rPr>
              <w:t>5599 San Felipe, Houston, Texas, U.S.A. 77056</w:t>
            </w:r>
          </w:p>
          <w:p>
            <w:pPr>
              <w:pStyle w:val="TableContents"/>
              <w:bidi w:val="0"/>
              <w:spacing w:before="0" w:after="0"/>
              <w:jc w:val="center"/>
              <w:rPr>
                <w:rFonts w:ascii="Arial" w:hAnsi="Arial"/>
                <w:color w:val="FFFFFF"/>
                <w:sz w:val="2"/>
              </w:rPr>
            </w:pPr>
            <w:r>
              <w:rPr>
                <w:rFonts w:ascii="Arial" w:hAnsi="Arial"/>
                <w:color w:val="FFFFFF"/>
                <w:sz w:val="2"/>
              </w:rPr>
              <w:t>(Addresses)</w:t>
            </w:r>
          </w:p>
        </w:tc>
      </w:tr>
    </w:tbl>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20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20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20"/>
        <w:gridCol w:w="60"/>
        <w:gridCol w:w="830"/>
        <w:gridCol w:w="60"/>
        <w:gridCol w:w="2660"/>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Trading</w:t>
            </w:r>
          </w:p>
          <w:p>
            <w:pPr>
              <w:pStyle w:val="TableContents"/>
              <w:bidi w:val="0"/>
              <w:spacing w:before="0" w:after="20"/>
              <w:jc w:val="center"/>
              <w:rPr>
                <w:rFonts w:ascii="Arial" w:hAnsi="Arial"/>
                <w:b/>
                <w:sz w:val="16"/>
              </w:rPr>
            </w:pPr>
            <w:r>
              <w:rPr>
                <w:rFonts w:ascii="Arial" w:hAnsi="Arial"/>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392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SLB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Arial" w:hAnsi="Arial"/>
          <w:sz w:val="20"/>
        </w:rPr>
      </w:pPr>
      <w:r>
        <w:rPr>
          <w:rFonts w:ascii="Arial" w:hAnsi="Arial"/>
          <w:sz w:val="20"/>
        </w:rPr>
        <w:t>Emerging growth company ☐</w:t>
      </w:r>
    </w:p>
    <w:p>
      <w:pPr>
        <w:pStyle w:val="TextBody"/>
        <w:bidi w:val="0"/>
        <w:spacing w:before="20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25" w:type="dxa"/>
        <w:jc w:val="left"/>
        <w:tblInd w:w="0" w:type="dxa"/>
        <w:tblLayout w:type="fixed"/>
        <w:tblCellMar>
          <w:top w:w="0" w:type="dxa"/>
          <w:left w:w="0" w:type="dxa"/>
          <w:bottom w:w="0" w:type="dxa"/>
          <w:right w:w="0" w:type="dxa"/>
        </w:tblCellMar>
      </w:tblPr>
      <w:tblGrid>
        <w:gridCol w:w="965"/>
        <w:gridCol w:w="4460"/>
      </w:tblGrid>
      <w:tr>
        <w:trPr/>
        <w:tc>
          <w:tcPr>
            <w:tcW w:w="965" w:type="dxa"/>
            <w:tcBorders/>
            <w:vAlign w:val="center"/>
          </w:tcPr>
          <w:p>
            <w:pPr>
              <w:pStyle w:val="TableContents"/>
              <w:bidi w:val="0"/>
              <w:spacing w:before="0" w:after="283"/>
              <w:jc w:val="left"/>
              <w:rPr>
                <w:b/>
              </w:rPr>
            </w:pPr>
            <w:r>
              <w:rPr>
                <w:b/>
              </w:rPr>
              <w:t>Item 2.02</w:t>
            </w:r>
          </w:p>
        </w:tc>
        <w:tc>
          <w:tcPr>
            <w:tcW w:w="4460" w:type="dxa"/>
            <w:tcBorders/>
            <w:vAlign w:val="center"/>
          </w:tcPr>
          <w:p>
            <w:pPr>
              <w:pStyle w:val="TableContents"/>
              <w:bidi w:val="0"/>
              <w:spacing w:before="0" w:after="0"/>
              <w:jc w:val="left"/>
              <w:rPr>
                <w:rFonts w:ascii="Arial" w:hAnsi="Arial"/>
                <w:b/>
                <w:sz w:val="20"/>
              </w:rPr>
            </w:pPr>
            <w:r>
              <w:rPr>
                <w:rFonts w:ascii="Arial" w:hAnsi="Arial"/>
                <w:b/>
                <w:sz w:val="20"/>
              </w:rPr>
              <w:t xml:space="preserve">Results of Operations and Financial Condition. </w:t>
            </w:r>
          </w:p>
        </w:tc>
      </w:tr>
    </w:tbl>
    <w:p>
      <w:pPr>
        <w:pStyle w:val="TextBody"/>
        <w:bidi w:val="0"/>
        <w:spacing w:before="120" w:after="0"/>
        <w:jc w:val="left"/>
        <w:rPr>
          <w:rFonts w:ascii="Arial" w:hAnsi="Arial"/>
          <w:sz w:val="20"/>
        </w:rPr>
      </w:pPr>
      <w:r>
        <w:rPr>
          <w:rFonts w:ascii="Arial" w:hAnsi="Arial"/>
          <w:sz w:val="20"/>
        </w:rPr>
        <w:t>The Third-Quarter 2026 Earnings Release furnished as Exhibit 99 hereto, which is incorporated by reference into this Item 2.02, was posted on the SLB internet website (</w:t>
      </w:r>
      <w:r>
        <w:rPr>
          <w:rFonts w:ascii="Arial" w:hAnsi="Arial"/>
          <w:sz w:val="20"/>
          <w:u w:val="single"/>
        </w:rPr>
        <w:t>https://investorcenter.slb.com/financial-information/quarterly-results</w:t>
      </w:r>
      <w:r>
        <w:rPr>
          <w:rFonts w:ascii="Arial" w:hAnsi="Arial"/>
          <w:sz w:val="20"/>
        </w:rPr>
        <w:t xml:space="preserve">) on October 23, 2026.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965"/>
        <w:gridCol w:w="2525"/>
      </w:tblGrid>
      <w:tr>
        <w:trPr/>
        <w:tc>
          <w:tcPr>
            <w:tcW w:w="965" w:type="dxa"/>
            <w:tcBorders/>
            <w:vAlign w:val="center"/>
          </w:tcPr>
          <w:p>
            <w:pPr>
              <w:pStyle w:val="TableContents"/>
              <w:bidi w:val="0"/>
              <w:spacing w:before="0" w:after="283"/>
              <w:jc w:val="left"/>
              <w:rPr>
                <w:b/>
              </w:rPr>
            </w:pPr>
            <w:r>
              <w:rPr>
                <w:b/>
              </w:rPr>
              <w:t>Item 7.01</w:t>
            </w:r>
          </w:p>
        </w:tc>
        <w:tc>
          <w:tcPr>
            <w:tcW w:w="2525" w:type="dxa"/>
            <w:tcBorders/>
            <w:vAlign w:val="center"/>
          </w:tcPr>
          <w:p>
            <w:pPr>
              <w:pStyle w:val="TableContents"/>
              <w:bidi w:val="0"/>
              <w:spacing w:before="0" w:after="0"/>
              <w:jc w:val="left"/>
              <w:rPr>
                <w:rFonts w:ascii="Arial" w:hAnsi="Arial"/>
                <w:b/>
                <w:sz w:val="20"/>
              </w:rPr>
            </w:pPr>
            <w:r>
              <w:rPr>
                <w:rFonts w:ascii="Arial" w:hAnsi="Arial"/>
                <w:b/>
                <w:sz w:val="20"/>
              </w:rPr>
              <w:t xml:space="preserve">Regulation FD Disclosure. </w:t>
            </w:r>
          </w:p>
        </w:tc>
      </w:tr>
    </w:tbl>
    <w:p>
      <w:pPr>
        <w:pStyle w:val="TextBody"/>
        <w:bidi w:val="0"/>
        <w:spacing w:before="120" w:after="0"/>
        <w:jc w:val="left"/>
        <w:rPr>
          <w:rFonts w:ascii="Arial" w:hAnsi="Arial"/>
          <w:sz w:val="20"/>
        </w:rPr>
      </w:pPr>
      <w:r>
        <w:rPr>
          <w:rFonts w:ascii="Arial" w:hAnsi="Arial"/>
          <w:sz w:val="20"/>
        </w:rPr>
        <w:t xml:space="preserve">On October 23, 2026,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 </w:t>
      </w:r>
    </w:p>
    <w:p>
      <w:pPr>
        <w:pStyle w:val="TextBody"/>
        <w:bidi w:val="0"/>
        <w:spacing w:before="240" w:after="0"/>
        <w:jc w:val="left"/>
        <w:rPr>
          <w:rFonts w:ascii="Arial" w:hAnsi="Arial"/>
          <w:sz w:val="20"/>
        </w:rPr>
      </w:pPr>
      <w:r>
        <w:rPr>
          <w:rFonts w:ascii="Arial" w:hAnsi="Arial"/>
          <w:sz w:val="20"/>
        </w:rPr>
        <w:t xml:space="preserve">Also, see Item 2.02, “Results of Operations and Financial Condition.”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120" w:after="0"/>
        <w:jc w:val="left"/>
        <w:rPr>
          <w:rFonts w:ascii="Arial" w:hAnsi="Arial"/>
          <w:sz w:val="20"/>
        </w:rPr>
      </w:pPr>
      <w:r>
        <w:rPr>
          <w:rFonts w:ascii="Arial" w:hAnsi="Arial"/>
          <w:sz w:val="20"/>
        </w:rPr>
        <w:t xml:space="preserve">The exhibit listed below is furnished pursuant to Item 9.01 of this Form 8-K. </w:t>
      </w:r>
    </w:p>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395"/>
        <w:gridCol w:w="60"/>
        <w:gridCol w:w="768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99</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51271dex99.htm">
              <w:r>
                <w:rPr>
                  <w:rStyle w:val="InternetLink"/>
                </w:rPr>
                <w:t xml:space="preserve">Third-Quarter 2026 Earnings Release. </w:t>
              </w:r>
            </w:hyperlink>
          </w:p>
        </w:tc>
      </w:tr>
      <w:tr>
        <w:trPr/>
        <w:tc>
          <w:tcPr>
            <w:tcW w:w="39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480" w:type="dxa"/>
        <w:jc w:val="left"/>
        <w:tblInd w:w="0" w:type="dxa"/>
        <w:tblLayout w:type="fixed"/>
        <w:tblCellMar>
          <w:top w:w="0" w:type="dxa"/>
          <w:left w:w="0" w:type="dxa"/>
          <w:bottom w:w="0" w:type="dxa"/>
          <w:right w:w="0" w:type="dxa"/>
        </w:tblCellMar>
      </w:tblPr>
      <w:tblGrid>
        <w:gridCol w:w="2480"/>
      </w:tblGrid>
      <w:tr>
        <w:trPr/>
        <w:tc>
          <w:tcPr>
            <w:tcW w:w="248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b/>
              </w:rPr>
            </w:pPr>
            <w:r>
              <w:rPr>
                <w:b/>
              </w:rPr>
              <w:t>SLB LIMITED</w:t>
            </w:r>
          </w:p>
        </w:tc>
      </w:tr>
      <w:tr>
        <w:trPr/>
        <w:tc>
          <w:tcPr>
            <w:tcW w:w="248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Howard Guild</w:t>
            </w:r>
          </w:p>
        </w:tc>
      </w:tr>
      <w:tr>
        <w:trPr/>
        <w:tc>
          <w:tcPr>
            <w:tcW w:w="2480" w:type="dxa"/>
            <w:tcBorders/>
            <w:vAlign w:val="center"/>
          </w:tcPr>
          <w:p>
            <w:pPr>
              <w:pStyle w:val="TableContents"/>
              <w:bidi w:val="0"/>
              <w:spacing w:before="0" w:after="283"/>
              <w:jc w:val="left"/>
              <w:rPr/>
            </w:pPr>
            <w:r>
              <w:rPr/>
              <w:t>Howard Guild</w:t>
            </w:r>
          </w:p>
        </w:tc>
      </w:tr>
      <w:tr>
        <w:trPr/>
        <w:tc>
          <w:tcPr>
            <w:tcW w:w="2480" w:type="dxa"/>
            <w:tcBorders/>
            <w:vAlign w:val="center"/>
          </w:tcPr>
          <w:p>
            <w:pPr>
              <w:pStyle w:val="TableContents"/>
              <w:bidi w:val="0"/>
              <w:spacing w:before="0" w:after="283"/>
              <w:jc w:val="left"/>
              <w:rPr/>
            </w:pPr>
            <w:r>
              <w:rPr/>
              <w:t>Chief Accounting Officer</w:t>
            </w:r>
          </w:p>
        </w:tc>
      </w:tr>
      <w:tr>
        <w:trPr/>
        <w:tc>
          <w:tcPr>
            <w:tcW w:w="248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 October 23, 2026</w:t>
            </w:r>
          </w:p>
        </w:tc>
      </w:tr>
    </w:tbl>
    <w:p>
      <w:pPr>
        <w:pStyle w:val="TextBody"/>
        <w:bidi w:val="0"/>
        <w:spacing w:before="0" w:after="0"/>
        <w:jc w:val="right"/>
        <w:rPr>
          <w:rFonts w:ascii="Arial" w:hAnsi="Arial"/>
          <w:b/>
          <w:sz w:val="20"/>
        </w:rPr>
      </w:pPr>
      <w:bookmarkStart w:id="2" w:name="d151271dex99.htm"/>
      <w:bookmarkStart w:id="3" w:name="ksd151271dex99"/>
      <w:bookmarkEnd w:id="2"/>
      <w:bookmarkEnd w:id="3"/>
      <w:r>
        <w:rPr>
          <w:rFonts w:ascii="Arial" w:hAnsi="Arial"/>
          <w:b/>
          <w:sz w:val="20"/>
        </w:rPr>
        <w:t xml:space="preserve">Exhibit 99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2"/>
        <w:gridCol w:w="123"/>
        <w:gridCol w:w="4990"/>
      </w:tblGrid>
      <w:tr>
        <w:trPr/>
        <w:tc>
          <w:tcPr>
            <w:tcW w:w="509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0" w:type="dxa"/>
            <w:tcBorders/>
            <w:vAlign w:val="center"/>
          </w:tcPr>
          <w:p>
            <w:pPr>
              <w:pStyle w:val="TableContents"/>
              <w:bidi w:val="0"/>
              <w:spacing w:before="0" w:after="283"/>
              <w:jc w:val="left"/>
              <w:rPr>
                <w:sz w:val="4"/>
                <w:szCs w:val="4"/>
              </w:rPr>
            </w:pPr>
            <w:r>
              <w:rPr>
                <w:sz w:val="4"/>
                <w:szCs w:val="4"/>
              </w:rPr>
            </w:r>
          </w:p>
        </w:tc>
      </w:tr>
      <w:tr>
        <w:trPr/>
        <w:tc>
          <w:tcPr>
            <w:tcW w:w="5092" w:type="dxa"/>
            <w:tcBorders/>
          </w:tcPr>
          <w:p>
            <w:pPr>
              <w:pStyle w:val="TableContents"/>
              <w:bidi w:val="0"/>
              <w:spacing w:before="0" w:after="283"/>
              <w:jc w:val="left"/>
              <w:rPr>
                <w:b/>
              </w:rPr>
            </w:pPr>
            <w:r>
              <w:rPr>
                <w:b/>
              </w:rPr>
              <w:t>News Release</w:t>
            </w:r>
          </w:p>
        </w:tc>
        <w:tc>
          <w:tcPr>
            <w:tcW w:w="123" w:type="dxa"/>
            <w:tcBorders/>
            <w:vAlign w:val="bottom"/>
          </w:tcPr>
          <w:p>
            <w:pPr>
              <w:pStyle w:val="TableContents"/>
              <w:bidi w:val="0"/>
              <w:spacing w:before="0" w:after="283"/>
              <w:jc w:val="left"/>
              <w:rPr/>
            </w:pPr>
            <w:r>
              <w:rPr/>
              <w:t>  </w:t>
            </w:r>
          </w:p>
        </w:tc>
        <w:tc>
          <w:tcPr>
            <w:tcW w:w="4990" w:type="dxa"/>
            <w:tcBorders/>
          </w:tcPr>
          <w:p>
            <w:pPr>
              <w:pStyle w:val="TableContents"/>
              <w:bidi w:val="0"/>
              <w:spacing w:before="0" w:after="283"/>
              <w:jc w:val="right"/>
              <w:rPr/>
            </w:pPr>
            <w:r>
              <w:rPr/>
              <w:drawing>
                <wp:inline distT="0" distB="0" distL="0" distR="0">
                  <wp:extent cx="10096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638175"/>
                          </a:xfrm>
                          <a:prstGeom prst="rect">
                            <a:avLst/>
                          </a:prstGeom>
                        </pic:spPr>
                      </pic:pic>
                    </a:graphicData>
                  </a:graphic>
                </wp:inline>
              </w:drawing>
            </w:r>
            <w:r>
              <w:rPr/>
              <w:t xml:space="preserve"> </w:t>
            </w:r>
          </w:p>
        </w:tc>
      </w:tr>
    </w:tbl>
    <w:p>
      <w:pPr>
        <w:pStyle w:val="TextBody"/>
        <w:bidi w:val="0"/>
        <w:spacing w:before="240" w:after="0"/>
        <w:jc w:val="left"/>
        <w:rPr>
          <w:rFonts w:ascii="Arial" w:hAnsi="Arial"/>
          <w:b/>
          <w:sz w:val="20"/>
        </w:rPr>
      </w:pPr>
      <w:r>
        <w:rPr>
          <w:rFonts w:ascii="Arial" w:hAnsi="Arial"/>
          <w:b/>
          <w:sz w:val="20"/>
        </w:rPr>
        <w:t xml:space="preserve">SLB Announces Third-Quarter 2026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Revenue of $9.45 billion increased 5% sequentially and 6%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GAAP EPS of $0.49 decreased 6% sequentially and 2%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EPS, excluding charges and credits, of $0.64 increased 16% sequentially and decreased 7%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Net income attributable to SLB of $735 million decreased 6% sequentially and 1%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Adjusted EBITDA of $2.07 billion increased 9% sequentially and was essentially flat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Cash flow from operations was $1.51 billion and free cash flow was $828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Board approved quarterly cash dividend of $0.295 per share </w:t>
            </w:r>
          </w:p>
        </w:tc>
      </w:tr>
    </w:tbl>
    <w:p>
      <w:pPr>
        <w:pStyle w:val="TextBody"/>
        <w:bidi w:val="0"/>
        <w:spacing w:before="240" w:after="0"/>
        <w:jc w:val="left"/>
        <w:rPr>
          <w:rFonts w:ascii="Arial" w:hAnsi="Arial"/>
          <w:sz w:val="20"/>
        </w:rPr>
      </w:pPr>
      <w:r>
        <w:rPr>
          <w:rFonts w:ascii="Arial" w:hAnsi="Arial"/>
          <w:b/>
          <w:sz w:val="20"/>
        </w:rPr>
        <w:t>HOUSTON, October</w:t>
      </w:r>
      <w:r>
        <w:rPr>
          <w:rFonts w:ascii="Arial" w:hAnsi="Arial"/>
          <w:sz w:val="20"/>
        </w:rPr>
        <w:t> </w:t>
      </w:r>
      <w:r>
        <w:rPr>
          <w:rFonts w:ascii="Arial" w:hAnsi="Arial"/>
          <w:b/>
          <w:sz w:val="20"/>
        </w:rPr>
        <w:t xml:space="preserve">23, 2026 — </w:t>
      </w:r>
      <w:r>
        <w:rPr>
          <w:rFonts w:ascii="Arial" w:hAnsi="Arial"/>
          <w:sz w:val="20"/>
        </w:rPr>
        <w:t xml:space="preserve">SLB (NYSE: SLB) today announced results for the third-quarter 2026. </w:t>
      </w:r>
    </w:p>
    <w:p>
      <w:pPr>
        <w:pStyle w:val="TextBody"/>
        <w:bidi w:val="0"/>
        <w:spacing w:before="360" w:after="0"/>
        <w:jc w:val="left"/>
        <w:rPr>
          <w:rFonts w:ascii="Arial" w:hAnsi="Arial"/>
          <w:b/>
          <w:sz w:val="20"/>
        </w:rPr>
      </w:pPr>
      <w:r>
        <w:rPr>
          <w:rFonts w:ascii="Arial" w:hAnsi="Arial"/>
          <w:b/>
          <w:sz w:val="20"/>
        </w:rPr>
        <w:t xml:space="preserve">Third-Quarter Results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7"/>
        <w:gridCol w:w="171"/>
        <w:gridCol w:w="178"/>
        <w:gridCol w:w="712"/>
        <w:gridCol w:w="321"/>
        <w:gridCol w:w="113"/>
        <w:gridCol w:w="140"/>
        <w:gridCol w:w="565"/>
        <w:gridCol w:w="275"/>
        <w:gridCol w:w="113"/>
        <w:gridCol w:w="172"/>
        <w:gridCol w:w="689"/>
        <w:gridCol w:w="275"/>
        <w:gridCol w:w="113"/>
        <w:gridCol w:w="1902"/>
        <w:gridCol w:w="156"/>
        <w:gridCol w:w="2253"/>
      </w:tblGrid>
      <w:tr>
        <w:trPr/>
        <w:tc>
          <w:tcPr>
            <w:tcW w:w="2057"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r>
      <w:tr>
        <w:trPr/>
        <w:tc>
          <w:tcPr>
            <w:tcW w:w="205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327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311" w:type="dxa"/>
            <w:gridSpan w:val="3"/>
            <w:tcBorders>
              <w:bottom w:val="single" w:sz="8" w:space="0" w:color="000000"/>
            </w:tcBorders>
            <w:tcMar>
              <w:bottom w:w="28" w:type="dxa"/>
            </w:tcMar>
            <w:vAlign w:val="bottom"/>
          </w:tcPr>
          <w:p>
            <w:pPr>
              <w:pStyle w:val="TableContents"/>
              <w:bidi w:val="0"/>
              <w:jc w:val="right"/>
              <w:rPr/>
            </w:pPr>
            <w:r>
              <w:rPr/>
              <w:t>(Stated in millions, except per share amounts)</w:t>
            </w:r>
          </w:p>
          <w:p>
            <w:pPr>
              <w:pStyle w:val="TableContents"/>
              <w:bidi w:val="0"/>
              <w:spacing w:before="0" w:after="0"/>
              <w:jc w:val="center"/>
              <w:rPr>
                <w:rFonts w:ascii="Arial" w:hAnsi="Arial"/>
                <w:b/>
                <w:sz w:val="16"/>
              </w:rPr>
            </w:pPr>
            <w:r>
              <w:rPr>
                <w:rFonts w:ascii="Arial" w:hAnsi="Arial"/>
                <w:b/>
                <w:sz w:val="16"/>
              </w:rPr>
              <w:t>Change</w:t>
            </w:r>
          </w:p>
        </w:tc>
      </w:tr>
      <w:tr>
        <w:trPr/>
        <w:tc>
          <w:tcPr>
            <w:tcW w:w="205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321"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156" w:type="dxa"/>
            <w:tcBorders/>
            <w:vAlign w:val="bottom"/>
          </w:tcPr>
          <w:p>
            <w:pPr>
              <w:pStyle w:val="TableContents"/>
              <w:bidi w:val="0"/>
              <w:spacing w:before="0" w:after="283"/>
              <w:jc w:val="left"/>
              <w:rPr/>
            </w:pPr>
            <w:r>
              <w:rPr/>
              <w:t> </w:t>
            </w:r>
          </w:p>
        </w:tc>
        <w:tc>
          <w:tcPr>
            <w:tcW w:w="2253"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2057"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9,449</w:t>
            </w:r>
          </w:p>
        </w:tc>
        <w:tc>
          <w:tcPr>
            <w:tcW w:w="321"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8,972</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8,928</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center"/>
              <w:rPr>
                <w:b/>
              </w:rPr>
            </w:pPr>
            <w:r>
              <w:rPr>
                <w:b/>
              </w:rPr>
              <w:t>5%</w:t>
            </w:r>
          </w:p>
        </w:tc>
        <w:tc>
          <w:tcPr>
            <w:tcW w:w="156" w:type="dxa"/>
            <w:tcBorders/>
            <w:shd w:fill="CCEEFF" w:val="clear"/>
            <w:vAlign w:val="bottom"/>
          </w:tcPr>
          <w:p>
            <w:pPr>
              <w:pStyle w:val="TableContents"/>
              <w:bidi w:val="0"/>
              <w:spacing w:before="0" w:after="283"/>
              <w:jc w:val="left"/>
              <w:rPr/>
            </w:pPr>
            <w:r>
              <w:rPr/>
              <w:t> </w:t>
            </w:r>
          </w:p>
        </w:tc>
        <w:tc>
          <w:tcPr>
            <w:tcW w:w="2253" w:type="dxa"/>
            <w:tcBorders/>
            <w:shd w:fill="CCEEFF" w:val="clear"/>
            <w:vAlign w:val="bottom"/>
          </w:tcPr>
          <w:p>
            <w:pPr>
              <w:pStyle w:val="TableContents"/>
              <w:bidi w:val="0"/>
              <w:spacing w:before="0" w:after="283"/>
              <w:jc w:val="center"/>
              <w:rPr/>
            </w:pPr>
            <w:r>
              <w:rPr/>
              <w:t>6%</w:t>
            </w:r>
          </w:p>
        </w:tc>
      </w:tr>
      <w:tr>
        <w:trPr/>
        <w:tc>
          <w:tcPr>
            <w:tcW w:w="2057" w:type="dxa"/>
            <w:tcBorders/>
          </w:tcPr>
          <w:p>
            <w:pPr>
              <w:pStyle w:val="TableContents"/>
              <w:bidi w:val="0"/>
              <w:spacing w:before="0" w:after="0"/>
              <w:jc w:val="left"/>
              <w:rPr>
                <w:rFonts w:ascii="Arial" w:hAnsi="Arial"/>
                <w:sz w:val="20"/>
              </w:rPr>
            </w:pPr>
            <w:r>
              <w:rPr>
                <w:rFonts w:ascii="Arial" w:hAnsi="Arial"/>
                <w:sz w:val="20"/>
              </w:rPr>
              <w:t>Income before taxes - GAAP basis</w:t>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1,019</w:t>
            </w:r>
          </w:p>
        </w:tc>
        <w:tc>
          <w:tcPr>
            <w:tcW w:w="321"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1,018</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center"/>
              <w:rPr>
                <w:b/>
              </w:rPr>
            </w:pPr>
            <w:r>
              <w:rPr>
                <w:b/>
              </w:rPr>
              <w:t>0%</w:t>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bidi w:val="0"/>
              <w:spacing w:before="0" w:after="283"/>
              <w:jc w:val="center"/>
              <w:rPr/>
            </w:pPr>
            <w:r>
              <w:rPr/>
              <w:t>2%</w:t>
            </w:r>
          </w:p>
        </w:tc>
      </w:tr>
      <w:tr>
        <w:trPr/>
        <w:tc>
          <w:tcPr>
            <w:tcW w:w="2057" w:type="dxa"/>
            <w:tcBorders/>
            <w:shd w:fill="CCEEFF" w:val="clear"/>
          </w:tcPr>
          <w:p>
            <w:pPr>
              <w:pStyle w:val="TableContents"/>
              <w:bidi w:val="0"/>
              <w:spacing w:before="0" w:after="0"/>
              <w:jc w:val="left"/>
              <w:rPr>
                <w:rFonts w:ascii="Arial" w:hAnsi="Arial"/>
                <w:sz w:val="20"/>
              </w:rPr>
            </w:pPr>
            <w:r>
              <w:rPr>
                <w:rFonts w:ascii="Arial" w:hAnsi="Arial"/>
                <w:sz w:val="20"/>
              </w:rPr>
              <w:t>Income before taxes margin - GAAP basis</w:t>
            </w:r>
          </w:p>
        </w:tc>
        <w:tc>
          <w:tcPr>
            <w:tcW w:w="1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10.8</w:t>
            </w:r>
          </w:p>
        </w:tc>
        <w:tc>
          <w:tcPr>
            <w:tcW w:w="321" w:type="dxa"/>
            <w:tcBorders/>
            <w:shd w:fill="CCEEFF" w:val="clear"/>
            <w:vAlign w:val="bottom"/>
          </w:tcPr>
          <w:p>
            <w:pPr>
              <w:pStyle w:val="TableContents"/>
              <w:bidi w:val="0"/>
              <w:spacing w:before="0" w:after="283"/>
              <w:jc w:val="left"/>
              <w:rPr>
                <w:b/>
              </w:rPr>
            </w:pPr>
            <w:r>
              <w:rPr>
                <w:b/>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11.4</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11.2</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center"/>
              <w:rPr>
                <w:b/>
              </w:rPr>
            </w:pPr>
            <w:r>
              <w:rPr>
                <w:b/>
              </w:rPr>
              <w:t>-57 bps</w:t>
            </w:r>
          </w:p>
        </w:tc>
        <w:tc>
          <w:tcPr>
            <w:tcW w:w="156" w:type="dxa"/>
            <w:tcBorders/>
            <w:shd w:fill="CCEEFF" w:val="clear"/>
            <w:vAlign w:val="bottom"/>
          </w:tcPr>
          <w:p>
            <w:pPr>
              <w:pStyle w:val="TableContents"/>
              <w:bidi w:val="0"/>
              <w:spacing w:before="0" w:after="283"/>
              <w:jc w:val="left"/>
              <w:rPr/>
            </w:pPr>
            <w:r>
              <w:rPr/>
              <w:t> </w:t>
            </w:r>
          </w:p>
        </w:tc>
        <w:tc>
          <w:tcPr>
            <w:tcW w:w="2253" w:type="dxa"/>
            <w:tcBorders/>
            <w:shd w:fill="CCEEFF" w:val="clear"/>
            <w:vAlign w:val="bottom"/>
          </w:tcPr>
          <w:p>
            <w:pPr>
              <w:pStyle w:val="TableContents"/>
              <w:bidi w:val="0"/>
              <w:spacing w:before="0" w:after="283"/>
              <w:jc w:val="center"/>
              <w:rPr/>
            </w:pPr>
            <w:r>
              <w:rPr/>
              <w:t>-42 bps</w:t>
            </w:r>
          </w:p>
        </w:tc>
      </w:tr>
      <w:tr>
        <w:trPr/>
        <w:tc>
          <w:tcPr>
            <w:tcW w:w="2057" w:type="dxa"/>
            <w:tcBorders/>
          </w:tcPr>
          <w:p>
            <w:pPr>
              <w:pStyle w:val="TableContents"/>
              <w:bidi w:val="0"/>
              <w:spacing w:before="0" w:after="0"/>
              <w:jc w:val="left"/>
              <w:rPr>
                <w:rFonts w:ascii="Arial" w:hAnsi="Arial"/>
                <w:sz w:val="20"/>
              </w:rPr>
            </w:pPr>
            <w:r>
              <w:rPr>
                <w:rFonts w:ascii="Arial" w:hAnsi="Arial"/>
                <w:sz w:val="20"/>
              </w:rPr>
              <w:t>Net income attributable to SLB - GAAP basis</w:t>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735</w:t>
            </w:r>
          </w:p>
        </w:tc>
        <w:tc>
          <w:tcPr>
            <w:tcW w:w="321"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786</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739</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center"/>
              <w:rPr>
                <w:b/>
              </w:rPr>
            </w:pPr>
            <w:r>
              <w:rPr>
                <w:b/>
              </w:rPr>
              <w:t>-6%</w:t>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bidi w:val="0"/>
              <w:spacing w:before="0" w:after="283"/>
              <w:jc w:val="center"/>
              <w:rPr/>
            </w:pPr>
            <w:r>
              <w:rPr/>
              <w:t>-1%</w:t>
            </w:r>
          </w:p>
        </w:tc>
      </w:tr>
      <w:tr>
        <w:trPr/>
        <w:tc>
          <w:tcPr>
            <w:tcW w:w="2057" w:type="dxa"/>
            <w:tcBorders/>
            <w:shd w:fill="CCEEFF" w:val="clear"/>
          </w:tcPr>
          <w:p>
            <w:pPr>
              <w:pStyle w:val="TableContents"/>
              <w:bidi w:val="0"/>
              <w:spacing w:before="0" w:after="0"/>
              <w:jc w:val="left"/>
              <w:rPr>
                <w:rFonts w:ascii="Arial" w:hAnsi="Arial"/>
                <w:sz w:val="20"/>
              </w:rPr>
            </w:pPr>
            <w:r>
              <w:rPr>
                <w:rFonts w:ascii="Arial" w:hAnsi="Arial"/>
                <w:sz w:val="20"/>
              </w:rPr>
              <w:t>Diluted EPS - GAAP basis</w:t>
            </w:r>
          </w:p>
        </w:tc>
        <w:tc>
          <w:tcPr>
            <w:tcW w:w="1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0.49</w:t>
            </w:r>
          </w:p>
        </w:tc>
        <w:tc>
          <w:tcPr>
            <w:tcW w:w="321"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0.52</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0.50</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center"/>
              <w:rPr>
                <w:b/>
              </w:rPr>
            </w:pPr>
            <w:r>
              <w:rPr>
                <w:b/>
              </w:rPr>
              <w:t>-6%</w:t>
            </w:r>
          </w:p>
        </w:tc>
        <w:tc>
          <w:tcPr>
            <w:tcW w:w="156" w:type="dxa"/>
            <w:tcBorders/>
            <w:shd w:fill="CCEEFF" w:val="clear"/>
            <w:vAlign w:val="bottom"/>
          </w:tcPr>
          <w:p>
            <w:pPr>
              <w:pStyle w:val="TableContents"/>
              <w:bidi w:val="0"/>
              <w:spacing w:before="0" w:after="283"/>
              <w:jc w:val="left"/>
              <w:rPr/>
            </w:pPr>
            <w:r>
              <w:rPr/>
              <w:t> </w:t>
            </w:r>
          </w:p>
        </w:tc>
        <w:tc>
          <w:tcPr>
            <w:tcW w:w="2253" w:type="dxa"/>
            <w:tcBorders/>
            <w:shd w:fill="CCEEFF" w:val="clear"/>
            <w:vAlign w:val="bottom"/>
          </w:tcPr>
          <w:p>
            <w:pPr>
              <w:pStyle w:val="TableContents"/>
              <w:bidi w:val="0"/>
              <w:spacing w:before="0" w:after="283"/>
              <w:jc w:val="center"/>
              <w:rPr/>
            </w:pPr>
            <w:r>
              <w:rPr/>
              <w:t>-2%</w:t>
            </w:r>
          </w:p>
        </w:tc>
      </w:tr>
      <w:tr>
        <w:trPr>
          <w:trHeight w:val="120" w:hRule="atLeast"/>
        </w:trPr>
        <w:tc>
          <w:tcPr>
            <w:tcW w:w="2057"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93" w:type="dxa"/>
            <w:gridSpan w:val="4"/>
            <w:tcBorders/>
            <w:vAlign w:val="center"/>
          </w:tcPr>
          <w:p>
            <w:pPr>
              <w:pStyle w:val="TableContents"/>
              <w:bidi w:val="0"/>
              <w:spacing w:before="0" w:after="283"/>
              <w:jc w:val="left"/>
              <w:rPr>
                <w:sz w:val="4"/>
                <w:szCs w:val="4"/>
              </w:rPr>
            </w:pPr>
            <w:r>
              <w:rPr>
                <w:sz w:val="4"/>
                <w:szCs w:val="4"/>
              </w:rPr>
            </w:r>
          </w:p>
        </w:tc>
        <w:tc>
          <w:tcPr>
            <w:tcW w:w="1249" w:type="dxa"/>
            <w:gridSpan w:val="4"/>
            <w:tcBorders/>
            <w:vAlign w:val="center"/>
          </w:tcPr>
          <w:p>
            <w:pPr>
              <w:pStyle w:val="TableContents"/>
              <w:bidi w:val="0"/>
              <w:spacing w:before="0" w:after="283"/>
              <w:jc w:val="left"/>
              <w:rPr>
                <w:sz w:val="4"/>
                <w:szCs w:val="4"/>
              </w:rPr>
            </w:pPr>
            <w:r>
              <w:rPr>
                <w:sz w:val="4"/>
                <w:szCs w:val="4"/>
              </w:rPr>
            </w:r>
          </w:p>
        </w:tc>
        <w:tc>
          <w:tcPr>
            <w:tcW w:w="2015" w:type="dxa"/>
            <w:gridSpan w:val="2"/>
            <w:tcBorders/>
            <w:vAlign w:val="center"/>
          </w:tcPr>
          <w:p>
            <w:pPr>
              <w:pStyle w:val="TableContents"/>
              <w:bidi w:val="0"/>
              <w:spacing w:before="0" w:after="283"/>
              <w:jc w:val="left"/>
              <w:rPr>
                <w:sz w:val="4"/>
                <w:szCs w:val="4"/>
              </w:rPr>
            </w:pPr>
            <w:r>
              <w:rPr>
                <w:sz w:val="4"/>
                <w:szCs w:val="4"/>
              </w:rPr>
            </w:r>
          </w:p>
        </w:tc>
        <w:tc>
          <w:tcPr>
            <w:tcW w:w="2409" w:type="dxa"/>
            <w:gridSpan w:val="2"/>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0"/>
              <w:jc w:val="left"/>
              <w:rPr>
                <w:rFonts w:ascii="Arial" w:hAnsi="Arial"/>
                <w:sz w:val="20"/>
              </w:rPr>
            </w:pPr>
            <w:r>
              <w:rPr>
                <w:rFonts w:ascii="Arial" w:hAnsi="Arial"/>
                <w:sz w:val="20"/>
              </w:rPr>
              <w:t>Adjusted EBITDA*</w:t>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2,067</w:t>
            </w:r>
          </w:p>
        </w:tc>
        <w:tc>
          <w:tcPr>
            <w:tcW w:w="321"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1,899</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2,061</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center"/>
              <w:rPr>
                <w:b/>
              </w:rPr>
            </w:pPr>
            <w:r>
              <w:rPr>
                <w:b/>
              </w:rPr>
              <w:t>9%</w:t>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bidi w:val="0"/>
              <w:spacing w:before="0" w:after="283"/>
              <w:jc w:val="center"/>
              <w:rPr/>
            </w:pPr>
            <w:r>
              <w:rPr/>
              <w:t>— </w:t>
            </w:r>
          </w:p>
        </w:tc>
      </w:tr>
      <w:tr>
        <w:trPr/>
        <w:tc>
          <w:tcPr>
            <w:tcW w:w="2057" w:type="dxa"/>
            <w:tcBorders/>
            <w:shd w:fill="CCEEFF" w:val="clear"/>
          </w:tcPr>
          <w:p>
            <w:pPr>
              <w:pStyle w:val="TableContents"/>
              <w:bidi w:val="0"/>
              <w:spacing w:before="0" w:after="0"/>
              <w:jc w:val="left"/>
              <w:rPr>
                <w:rFonts w:ascii="Arial" w:hAnsi="Arial"/>
                <w:sz w:val="20"/>
              </w:rPr>
            </w:pPr>
            <w:r>
              <w:rPr>
                <w:rFonts w:ascii="Arial" w:hAnsi="Arial"/>
                <w:sz w:val="20"/>
              </w:rPr>
              <w:t>Adjusted EBITDA margin*</w:t>
            </w:r>
          </w:p>
        </w:tc>
        <w:tc>
          <w:tcPr>
            <w:tcW w:w="1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21.9</w:t>
            </w:r>
          </w:p>
        </w:tc>
        <w:tc>
          <w:tcPr>
            <w:tcW w:w="321" w:type="dxa"/>
            <w:tcBorders/>
            <w:shd w:fill="CCEEFF" w:val="clear"/>
            <w:vAlign w:val="bottom"/>
          </w:tcPr>
          <w:p>
            <w:pPr>
              <w:pStyle w:val="TableContents"/>
              <w:bidi w:val="0"/>
              <w:spacing w:before="0" w:after="283"/>
              <w:jc w:val="left"/>
              <w:rPr>
                <w:b/>
              </w:rPr>
            </w:pPr>
            <w:r>
              <w:rPr>
                <w:b/>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21.2</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23.1</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center"/>
              <w:rPr>
                <w:b/>
              </w:rPr>
            </w:pPr>
            <w:r>
              <w:rPr>
                <w:b/>
              </w:rPr>
              <w:t>71 bps</w:t>
            </w:r>
          </w:p>
        </w:tc>
        <w:tc>
          <w:tcPr>
            <w:tcW w:w="156" w:type="dxa"/>
            <w:tcBorders/>
            <w:shd w:fill="CCEEFF" w:val="clear"/>
            <w:vAlign w:val="bottom"/>
          </w:tcPr>
          <w:p>
            <w:pPr>
              <w:pStyle w:val="TableContents"/>
              <w:bidi w:val="0"/>
              <w:spacing w:before="0" w:after="283"/>
              <w:jc w:val="left"/>
              <w:rPr/>
            </w:pPr>
            <w:r>
              <w:rPr/>
              <w:t> </w:t>
            </w:r>
          </w:p>
        </w:tc>
        <w:tc>
          <w:tcPr>
            <w:tcW w:w="2253" w:type="dxa"/>
            <w:tcBorders/>
            <w:shd w:fill="CCEEFF" w:val="clear"/>
            <w:vAlign w:val="bottom"/>
          </w:tcPr>
          <w:p>
            <w:pPr>
              <w:pStyle w:val="TableContents"/>
              <w:bidi w:val="0"/>
              <w:spacing w:before="0" w:after="283"/>
              <w:jc w:val="center"/>
              <w:rPr/>
            </w:pPr>
            <w:r>
              <w:rPr/>
              <w:t>-121 bps</w:t>
            </w:r>
          </w:p>
        </w:tc>
      </w:tr>
      <w:tr>
        <w:trPr/>
        <w:tc>
          <w:tcPr>
            <w:tcW w:w="2057" w:type="dxa"/>
            <w:tcBorders/>
          </w:tcPr>
          <w:p>
            <w:pPr>
              <w:pStyle w:val="TableContents"/>
              <w:bidi w:val="0"/>
              <w:spacing w:before="0" w:after="0"/>
              <w:jc w:val="left"/>
              <w:rPr>
                <w:rFonts w:ascii="Arial" w:hAnsi="Arial"/>
                <w:sz w:val="20"/>
              </w:rPr>
            </w:pPr>
            <w:r>
              <w:rPr>
                <w:rFonts w:ascii="Arial" w:hAnsi="Arial"/>
                <w:sz w:val="20"/>
              </w:rPr>
              <w:t>Pretax segment operating income*</w:t>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1,576</w:t>
            </w:r>
          </w:p>
        </w:tc>
        <w:tc>
          <w:tcPr>
            <w:tcW w:w="321"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1,404</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1,626</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center"/>
              <w:rPr>
                <w:b/>
              </w:rPr>
            </w:pPr>
            <w:r>
              <w:rPr>
                <w:b/>
              </w:rPr>
              <w:t>12%</w:t>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bidi w:val="0"/>
              <w:spacing w:before="0" w:after="283"/>
              <w:jc w:val="center"/>
              <w:rPr/>
            </w:pPr>
            <w:r>
              <w:rPr/>
              <w:t>-3%</w:t>
            </w:r>
          </w:p>
        </w:tc>
      </w:tr>
      <w:tr>
        <w:trPr/>
        <w:tc>
          <w:tcPr>
            <w:tcW w:w="2057" w:type="dxa"/>
            <w:tcBorders/>
            <w:shd w:fill="CCEEFF" w:val="clear"/>
          </w:tcPr>
          <w:p>
            <w:pPr>
              <w:pStyle w:val="TableContents"/>
              <w:bidi w:val="0"/>
              <w:spacing w:before="0" w:after="0"/>
              <w:jc w:val="left"/>
              <w:rPr>
                <w:rFonts w:ascii="Arial" w:hAnsi="Arial"/>
                <w:sz w:val="20"/>
              </w:rPr>
            </w:pPr>
            <w:r>
              <w:rPr>
                <w:rFonts w:ascii="Arial" w:hAnsi="Arial"/>
                <w:sz w:val="20"/>
              </w:rPr>
              <w:t>Pretax segment operating margin*</w:t>
            </w:r>
          </w:p>
        </w:tc>
        <w:tc>
          <w:tcPr>
            <w:tcW w:w="1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16.7</w:t>
            </w:r>
          </w:p>
        </w:tc>
        <w:tc>
          <w:tcPr>
            <w:tcW w:w="321" w:type="dxa"/>
            <w:tcBorders/>
            <w:shd w:fill="CCEEFF" w:val="clear"/>
            <w:vAlign w:val="bottom"/>
          </w:tcPr>
          <w:p>
            <w:pPr>
              <w:pStyle w:val="TableContents"/>
              <w:bidi w:val="0"/>
              <w:spacing w:before="0" w:after="283"/>
              <w:jc w:val="left"/>
              <w:rPr>
                <w:b/>
              </w:rPr>
            </w:pPr>
            <w:r>
              <w:rPr>
                <w:b/>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18.2</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center"/>
              <w:rPr>
                <w:b/>
              </w:rPr>
            </w:pPr>
            <w:r>
              <w:rPr>
                <w:b/>
              </w:rPr>
              <w:t>104 bps</w:t>
            </w:r>
          </w:p>
        </w:tc>
        <w:tc>
          <w:tcPr>
            <w:tcW w:w="156" w:type="dxa"/>
            <w:tcBorders/>
            <w:shd w:fill="CCEEFF" w:val="clear"/>
            <w:vAlign w:val="bottom"/>
          </w:tcPr>
          <w:p>
            <w:pPr>
              <w:pStyle w:val="TableContents"/>
              <w:bidi w:val="0"/>
              <w:spacing w:before="0" w:after="283"/>
              <w:jc w:val="left"/>
              <w:rPr/>
            </w:pPr>
            <w:r>
              <w:rPr/>
              <w:t> </w:t>
            </w:r>
          </w:p>
        </w:tc>
        <w:tc>
          <w:tcPr>
            <w:tcW w:w="2253" w:type="dxa"/>
            <w:tcBorders/>
            <w:shd w:fill="CCEEFF" w:val="clear"/>
            <w:vAlign w:val="bottom"/>
          </w:tcPr>
          <w:p>
            <w:pPr>
              <w:pStyle w:val="TableContents"/>
              <w:bidi w:val="0"/>
              <w:spacing w:before="0" w:after="283"/>
              <w:jc w:val="center"/>
              <w:rPr/>
            </w:pPr>
            <w:r>
              <w:rPr/>
              <w:t>-153 bps</w:t>
            </w:r>
          </w:p>
        </w:tc>
      </w:tr>
      <w:tr>
        <w:trPr/>
        <w:tc>
          <w:tcPr>
            <w:tcW w:w="2057" w:type="dxa"/>
            <w:tcBorders/>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962</w:t>
            </w:r>
          </w:p>
        </w:tc>
        <w:tc>
          <w:tcPr>
            <w:tcW w:w="321"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833</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1,027</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center"/>
              <w:rPr>
                <w:b/>
              </w:rPr>
            </w:pPr>
            <w:r>
              <w:rPr>
                <w:b/>
              </w:rPr>
              <w:t>16%</w:t>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bidi w:val="0"/>
              <w:spacing w:before="0" w:after="283"/>
              <w:jc w:val="center"/>
              <w:rPr/>
            </w:pPr>
            <w:r>
              <w:rPr/>
              <w:t>-6%</w:t>
            </w:r>
          </w:p>
        </w:tc>
      </w:tr>
      <w:tr>
        <w:trPr/>
        <w:tc>
          <w:tcPr>
            <w:tcW w:w="2057" w:type="dxa"/>
            <w:tcBorders/>
            <w:shd w:fill="CCEEFF" w:val="clear"/>
          </w:tcPr>
          <w:p>
            <w:pPr>
              <w:pStyle w:val="TableContents"/>
              <w:bidi w:val="0"/>
              <w:spacing w:before="0" w:after="0"/>
              <w:jc w:val="left"/>
              <w:rPr>
                <w:rFonts w:ascii="Arial" w:hAnsi="Arial"/>
                <w:sz w:val="20"/>
              </w:rPr>
            </w:pPr>
            <w:r>
              <w:rPr>
                <w:rFonts w:ascii="Arial" w:hAnsi="Arial"/>
                <w:sz w:val="20"/>
              </w:rPr>
              <w:t>Diluted EPS, excluding charges &amp; credits*</w:t>
            </w:r>
          </w:p>
        </w:tc>
        <w:tc>
          <w:tcPr>
            <w:tcW w:w="1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0.64</w:t>
            </w:r>
          </w:p>
        </w:tc>
        <w:tc>
          <w:tcPr>
            <w:tcW w:w="321"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0.55</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0.69</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center"/>
              <w:rPr>
                <w:b/>
              </w:rPr>
            </w:pPr>
            <w:r>
              <w:rPr>
                <w:b/>
              </w:rPr>
              <w:t>16%</w:t>
            </w:r>
          </w:p>
        </w:tc>
        <w:tc>
          <w:tcPr>
            <w:tcW w:w="156" w:type="dxa"/>
            <w:tcBorders/>
            <w:shd w:fill="CCEEFF" w:val="clear"/>
            <w:vAlign w:val="bottom"/>
          </w:tcPr>
          <w:p>
            <w:pPr>
              <w:pStyle w:val="TableContents"/>
              <w:bidi w:val="0"/>
              <w:spacing w:before="0" w:after="283"/>
              <w:jc w:val="left"/>
              <w:rPr/>
            </w:pPr>
            <w:r>
              <w:rPr/>
              <w:t> </w:t>
            </w:r>
          </w:p>
        </w:tc>
        <w:tc>
          <w:tcPr>
            <w:tcW w:w="2253" w:type="dxa"/>
            <w:tcBorders/>
            <w:shd w:fill="CCEEFF" w:val="clear"/>
            <w:vAlign w:val="bottom"/>
          </w:tcPr>
          <w:p>
            <w:pPr>
              <w:pStyle w:val="TableContents"/>
              <w:bidi w:val="0"/>
              <w:spacing w:before="0" w:after="283"/>
              <w:jc w:val="center"/>
              <w:rPr/>
            </w:pPr>
            <w:r>
              <w:rPr/>
              <w:t>-7%</w:t>
            </w:r>
          </w:p>
        </w:tc>
      </w:tr>
      <w:tr>
        <w:trPr>
          <w:trHeight w:val="120" w:hRule="atLeast"/>
        </w:trPr>
        <w:tc>
          <w:tcPr>
            <w:tcW w:w="2057"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93" w:type="dxa"/>
            <w:gridSpan w:val="4"/>
            <w:tcBorders/>
            <w:vAlign w:val="center"/>
          </w:tcPr>
          <w:p>
            <w:pPr>
              <w:pStyle w:val="TableContents"/>
              <w:bidi w:val="0"/>
              <w:spacing w:before="0" w:after="283"/>
              <w:jc w:val="left"/>
              <w:rPr>
                <w:sz w:val="4"/>
                <w:szCs w:val="4"/>
              </w:rPr>
            </w:pPr>
            <w:r>
              <w:rPr>
                <w:sz w:val="4"/>
                <w:szCs w:val="4"/>
              </w:rPr>
            </w:r>
          </w:p>
        </w:tc>
        <w:tc>
          <w:tcPr>
            <w:tcW w:w="1249" w:type="dxa"/>
            <w:gridSpan w:val="4"/>
            <w:tcBorders/>
            <w:vAlign w:val="center"/>
          </w:tcPr>
          <w:p>
            <w:pPr>
              <w:pStyle w:val="TableContents"/>
              <w:bidi w:val="0"/>
              <w:spacing w:before="0" w:after="283"/>
              <w:jc w:val="left"/>
              <w:rPr>
                <w:sz w:val="4"/>
                <w:szCs w:val="4"/>
              </w:rPr>
            </w:pPr>
            <w:r>
              <w:rPr>
                <w:sz w:val="4"/>
                <w:szCs w:val="4"/>
              </w:rPr>
            </w:r>
          </w:p>
        </w:tc>
        <w:tc>
          <w:tcPr>
            <w:tcW w:w="2015" w:type="dxa"/>
            <w:gridSpan w:val="2"/>
            <w:tcBorders/>
            <w:vAlign w:val="center"/>
          </w:tcPr>
          <w:p>
            <w:pPr>
              <w:pStyle w:val="TableContents"/>
              <w:bidi w:val="0"/>
              <w:spacing w:before="0" w:after="283"/>
              <w:jc w:val="left"/>
              <w:rPr>
                <w:sz w:val="4"/>
                <w:szCs w:val="4"/>
              </w:rPr>
            </w:pPr>
            <w:r>
              <w:rPr>
                <w:sz w:val="4"/>
                <w:szCs w:val="4"/>
              </w:rPr>
            </w:r>
          </w:p>
        </w:tc>
        <w:tc>
          <w:tcPr>
            <w:tcW w:w="2409" w:type="dxa"/>
            <w:gridSpan w:val="2"/>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0"/>
              <w:jc w:val="left"/>
              <w:rPr>
                <w:rFonts w:ascii="Arial" w:hAnsi="Arial"/>
                <w:b/>
                <w:sz w:val="20"/>
              </w:rPr>
            </w:pPr>
            <w:r>
              <w:rPr>
                <w:rFonts w:ascii="Arial" w:hAnsi="Arial"/>
                <w:b/>
                <w:sz w:val="20"/>
              </w:rPr>
              <w:t>Revenue by Geography</w:t>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bidi w:val="0"/>
              <w:spacing w:before="0" w:after="283"/>
              <w:jc w:val="left"/>
              <w:rPr>
                <w:sz w:val="4"/>
                <w:szCs w:val="4"/>
              </w:rPr>
            </w:pPr>
            <w:r>
              <w:rPr>
                <w:sz w:val="4"/>
                <w:szCs w:val="4"/>
              </w:rPr>
            </w:r>
          </w:p>
        </w:tc>
      </w:tr>
      <w:tr>
        <w:trPr/>
        <w:tc>
          <w:tcPr>
            <w:tcW w:w="2057"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1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6,993</w:t>
            </w:r>
          </w:p>
        </w:tc>
        <w:tc>
          <w:tcPr>
            <w:tcW w:w="321"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6,671</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6,916</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center"/>
              <w:rPr>
                <w:b/>
              </w:rPr>
            </w:pPr>
            <w:r>
              <w:rPr>
                <w:b/>
              </w:rPr>
              <w:t>5%</w:t>
            </w:r>
          </w:p>
        </w:tc>
        <w:tc>
          <w:tcPr>
            <w:tcW w:w="156" w:type="dxa"/>
            <w:tcBorders/>
            <w:shd w:fill="CCEEFF" w:val="clear"/>
            <w:vAlign w:val="bottom"/>
          </w:tcPr>
          <w:p>
            <w:pPr>
              <w:pStyle w:val="TableContents"/>
              <w:bidi w:val="0"/>
              <w:spacing w:before="0" w:after="283"/>
              <w:jc w:val="left"/>
              <w:rPr/>
            </w:pPr>
            <w:r>
              <w:rPr/>
              <w:t> </w:t>
            </w:r>
          </w:p>
        </w:tc>
        <w:tc>
          <w:tcPr>
            <w:tcW w:w="2253" w:type="dxa"/>
            <w:tcBorders/>
            <w:shd w:fill="CCEEFF" w:val="clear"/>
            <w:vAlign w:val="bottom"/>
          </w:tcPr>
          <w:p>
            <w:pPr>
              <w:pStyle w:val="TableContents"/>
              <w:bidi w:val="0"/>
              <w:spacing w:before="0" w:after="283"/>
              <w:jc w:val="center"/>
              <w:rPr/>
            </w:pPr>
            <w:r>
              <w:rPr/>
              <w:t>1%</w:t>
            </w:r>
          </w:p>
        </w:tc>
      </w:tr>
      <w:tr>
        <w:trPr/>
        <w:tc>
          <w:tcPr>
            <w:tcW w:w="2057" w:type="dxa"/>
            <w:tcBorders/>
          </w:tcPr>
          <w:p>
            <w:pPr>
              <w:pStyle w:val="TableContents"/>
              <w:bidi w:val="0"/>
              <w:spacing w:before="0" w:after="0"/>
              <w:jc w:val="left"/>
              <w:rPr>
                <w:rFonts w:ascii="Arial" w:hAnsi="Arial"/>
                <w:sz w:val="20"/>
              </w:rPr>
            </w:pPr>
            <w:r>
              <w:rPr>
                <w:rFonts w:ascii="Arial" w:hAnsi="Arial"/>
                <w:sz w:val="20"/>
              </w:rPr>
              <w:t>North America</w:t>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2,401</w:t>
            </w:r>
          </w:p>
        </w:tc>
        <w:tc>
          <w:tcPr>
            <w:tcW w:w="321"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2,244</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1,930</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center"/>
              <w:rPr>
                <w:b/>
              </w:rPr>
            </w:pPr>
            <w:r>
              <w:rPr>
                <w:b/>
              </w:rPr>
              <w:t>7%</w:t>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bidi w:val="0"/>
              <w:spacing w:before="0" w:after="283"/>
              <w:jc w:val="center"/>
              <w:rPr/>
            </w:pPr>
            <w:r>
              <w:rPr/>
              <w:t>24%</w:t>
            </w:r>
          </w:p>
        </w:tc>
      </w:tr>
      <w:tr>
        <w:trPr/>
        <w:tc>
          <w:tcPr>
            <w:tcW w:w="2057" w:type="dxa"/>
            <w:tcBorders/>
            <w:shd w:fill="CCEEFF" w:val="clear"/>
          </w:tcPr>
          <w:p>
            <w:pPr>
              <w:pStyle w:val="TableContents"/>
              <w:bidi w:val="0"/>
              <w:spacing w:before="0" w:after="0"/>
              <w:jc w:val="left"/>
              <w:rPr>
                <w:rFonts w:ascii="Arial" w:hAnsi="Arial"/>
                <w:sz w:val="20"/>
              </w:rPr>
            </w:pPr>
            <w:r>
              <w:rPr>
                <w:rFonts w:ascii="Arial" w:hAnsi="Arial"/>
                <w:sz w:val="20"/>
              </w:rPr>
              <w:t>Other</w:t>
            </w:r>
          </w:p>
        </w:tc>
        <w:tc>
          <w:tcPr>
            <w:tcW w:w="17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55</w:t>
            </w:r>
          </w:p>
        </w:tc>
        <w:tc>
          <w:tcPr>
            <w:tcW w:w="321"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57</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902" w:type="dxa"/>
            <w:tcBorders/>
            <w:shd w:fill="CCEEFF" w:val="clear"/>
            <w:vAlign w:val="bottom"/>
          </w:tcPr>
          <w:p>
            <w:pPr>
              <w:pStyle w:val="TableContents"/>
              <w:bidi w:val="0"/>
              <w:spacing w:before="0" w:after="283"/>
              <w:jc w:val="center"/>
              <w:rPr>
                <w:b/>
              </w:rPr>
            </w:pPr>
            <w:r>
              <w:rPr>
                <w:b/>
              </w:rPr>
              <w:t>n/m</w:t>
            </w:r>
          </w:p>
        </w:tc>
        <w:tc>
          <w:tcPr>
            <w:tcW w:w="156" w:type="dxa"/>
            <w:tcBorders/>
            <w:shd w:fill="CCEEFF" w:val="clear"/>
            <w:vAlign w:val="bottom"/>
          </w:tcPr>
          <w:p>
            <w:pPr>
              <w:pStyle w:val="TableContents"/>
              <w:bidi w:val="0"/>
              <w:spacing w:before="0" w:after="283"/>
              <w:jc w:val="left"/>
              <w:rPr/>
            </w:pPr>
            <w:r>
              <w:rPr/>
              <w:t> </w:t>
            </w:r>
          </w:p>
        </w:tc>
        <w:tc>
          <w:tcPr>
            <w:tcW w:w="2253" w:type="dxa"/>
            <w:tcBorders/>
            <w:shd w:fill="CCEEFF" w:val="clear"/>
            <w:vAlign w:val="bottom"/>
          </w:tcPr>
          <w:p>
            <w:pPr>
              <w:pStyle w:val="TableContents"/>
              <w:bidi w:val="0"/>
              <w:spacing w:before="0" w:after="283"/>
              <w:jc w:val="center"/>
              <w:rPr/>
            </w:pPr>
            <w:r>
              <w:rPr/>
              <w:t>n/m</w:t>
            </w:r>
          </w:p>
        </w:tc>
      </w:tr>
      <w:tr>
        <w:trPr/>
        <w:tc>
          <w:tcPr>
            <w:tcW w:w="2057"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pBdr>
                <w:top w:val="single" w:sz="2" w:space="1" w:color="000000"/>
              </w:pBdr>
              <w:bidi w:val="0"/>
              <w:spacing w:before="0" w:after="0"/>
              <w:jc w:val="left"/>
              <w:rPr/>
            </w:pPr>
            <w:r>
              <w:rPr/>
              <w:t> </w:t>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pBdr>
                <w:top w:val="single" w:sz="2" w:space="1" w:color="000000"/>
              </w:pBdr>
              <w:bidi w:val="0"/>
              <w:spacing w:before="0" w:after="0"/>
              <w:jc w:val="left"/>
              <w:rPr/>
            </w:pPr>
            <w:r>
              <w:rPr/>
              <w:t> </w:t>
            </w:r>
          </w:p>
        </w:tc>
      </w:tr>
      <w:tr>
        <w:trPr/>
        <w:tc>
          <w:tcPr>
            <w:tcW w:w="2057"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9,449</w:t>
            </w:r>
          </w:p>
        </w:tc>
        <w:tc>
          <w:tcPr>
            <w:tcW w:w="321"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8,972</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8,928</w:t>
            </w:r>
          </w:p>
        </w:tc>
        <w:tc>
          <w:tcPr>
            <w:tcW w:w="27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bidi w:val="0"/>
              <w:spacing w:before="0" w:after="283"/>
              <w:jc w:val="center"/>
              <w:rPr>
                <w:b/>
              </w:rPr>
            </w:pPr>
            <w:r>
              <w:rPr>
                <w:b/>
              </w:rPr>
              <w:t>5%</w:t>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bidi w:val="0"/>
              <w:spacing w:before="0" w:after="283"/>
              <w:jc w:val="center"/>
              <w:rPr/>
            </w:pPr>
            <w:r>
              <w:rPr/>
              <w:t>6%</w:t>
            </w:r>
          </w:p>
        </w:tc>
      </w:tr>
      <w:tr>
        <w:trPr/>
        <w:tc>
          <w:tcPr>
            <w:tcW w:w="2057"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902" w:type="dxa"/>
            <w:tcBorders/>
            <w:vAlign w:val="bottom"/>
          </w:tcPr>
          <w:p>
            <w:pPr>
              <w:pStyle w:val="TableContents"/>
              <w:pBdr>
                <w:top w:val="double" w:sz="6" w:space="1" w:color="000000"/>
              </w:pBdr>
              <w:bidi w:val="0"/>
              <w:spacing w:before="0" w:after="0"/>
              <w:jc w:val="left"/>
              <w:rPr/>
            </w:pPr>
            <w:r>
              <w:rPr/>
              <w:t> </w:t>
            </w:r>
          </w:p>
        </w:tc>
        <w:tc>
          <w:tcPr>
            <w:tcW w:w="156" w:type="dxa"/>
            <w:tcBorders/>
            <w:vAlign w:val="bottom"/>
          </w:tcPr>
          <w:p>
            <w:pPr>
              <w:pStyle w:val="TableContents"/>
              <w:bidi w:val="0"/>
              <w:spacing w:before="0" w:after="283"/>
              <w:jc w:val="left"/>
              <w:rPr/>
            </w:pPr>
            <w:r>
              <w:rPr/>
              <w:t> </w:t>
            </w:r>
          </w:p>
        </w:tc>
        <w:tc>
          <w:tcPr>
            <w:tcW w:w="2253"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Arial" w:hAnsi="Arial"/>
          <w:sz w:val="20"/>
        </w:rPr>
      </w:pPr>
      <w:r>
        <w:rPr>
          <w:rFonts w:ascii="Arial" w:hAnsi="Arial"/>
          <w:sz w:val="20"/>
        </w:rPr>
        <w:t xml:space="preserve">SLB acquired ChampionX during the third quarter of 2025. The acquired ChampionX businesses contributed $956 million of revenue, $239 million of adjusted EBITDA and $190 million of pretax segment operating income in the third quarter of 2026. Third-quarter 2025 results reflect two months of activity from ChampionX businesses, which contributed $579 million of revenue, $139 million of adjusted EBITDA and $108 million of pretax segment operating income. </w:t>
      </w:r>
    </w:p>
    <w:p>
      <w:pPr>
        <w:pStyle w:val="TextBody"/>
        <w:bidi w:val="0"/>
        <w:spacing w:before="240" w:after="0"/>
        <w:jc w:val="left"/>
        <w:rPr>
          <w:rFonts w:ascii="Arial" w:hAnsi="Arial"/>
          <w:sz w:val="20"/>
        </w:rPr>
      </w:pPr>
      <w:r>
        <w:rPr>
          <w:rFonts w:ascii="Arial" w:hAnsi="Arial"/>
          <w:sz w:val="20"/>
        </w:rPr>
        <w:t xml:space="preserve">Excluding the impact of this acquisition, SLB’s third-quarter 2026 global revenue increased 2% year on year; international third-quarter 2026 revenue was flat year on year; and North America third-quarter 2026 revenue increased 13% year 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sections titled “Charges &amp; Credits”, “Divisions” and “Supplementary Information” for details. </w:t>
            </w:r>
          </w:p>
        </w:tc>
      </w:tr>
    </w:tbl>
    <w:p>
      <w:pPr>
        <w:pStyle w:val="TextBody"/>
        <w:bidi w:val="0"/>
        <w:spacing w:before="240" w:after="0"/>
        <w:jc w:val="left"/>
        <w:rPr>
          <w:rFonts w:ascii="Arial" w:hAnsi="Arial"/>
          <w:sz w:val="20"/>
        </w:rPr>
      </w:pPr>
      <w:r>
        <w:rPr>
          <w:rFonts w:ascii="Arial" w:hAnsi="Arial"/>
          <w:sz w:val="20"/>
        </w:rPr>
        <w:t xml:space="preserve">n/m = not meaningful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585"/>
        <w:gridCol w:w="175"/>
        <w:gridCol w:w="178"/>
        <w:gridCol w:w="738"/>
        <w:gridCol w:w="320"/>
        <w:gridCol w:w="122"/>
        <w:gridCol w:w="140"/>
        <w:gridCol w:w="568"/>
        <w:gridCol w:w="279"/>
        <w:gridCol w:w="122"/>
        <w:gridCol w:w="172"/>
        <w:gridCol w:w="717"/>
        <w:gridCol w:w="278"/>
        <w:gridCol w:w="122"/>
        <w:gridCol w:w="69"/>
        <w:gridCol w:w="1044"/>
        <w:gridCol w:w="60"/>
        <w:gridCol w:w="122"/>
        <w:gridCol w:w="84"/>
        <w:gridCol w:w="1240"/>
        <w:gridCol w:w="70"/>
      </w:tblGrid>
      <w:tr>
        <w:trPr/>
        <w:tc>
          <w:tcPr>
            <w:tcW w:w="358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58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375" w:type="dxa"/>
            <w:gridSpan w:val="18"/>
            <w:tcBorders/>
            <w:vAlign w:val="bottom"/>
          </w:tcPr>
          <w:p>
            <w:pPr>
              <w:pStyle w:val="TableContents"/>
              <w:bidi w:val="0"/>
              <w:spacing w:before="0" w:after="283"/>
              <w:jc w:val="right"/>
              <w:rPr/>
            </w:pPr>
            <w:r>
              <w:rPr/>
              <w:t>(Stated in millions)</w:t>
            </w:r>
          </w:p>
        </w:tc>
        <w:tc>
          <w:tcPr>
            <w:tcW w:w="70" w:type="dxa"/>
            <w:tcBorders/>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35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6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70" w:type="dxa"/>
            <w:tcBorders/>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b/>
                <w:sz w:val="20"/>
              </w:rPr>
            </w:pPr>
            <w:r>
              <w:rPr>
                <w:rFonts w:ascii="Arial" w:hAnsi="Arial"/>
                <w:b/>
                <w:sz w:val="20"/>
              </w:rPr>
              <w:t>Revenue by Division</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585" w:type="dxa"/>
            <w:tcBorders/>
          </w:tcPr>
          <w:p>
            <w:pPr>
              <w:pStyle w:val="TableContents"/>
              <w:bidi w:val="0"/>
              <w:spacing w:before="0" w:after="0"/>
              <w:jc w:val="left"/>
              <w:rPr>
                <w:rFonts w:ascii="Arial" w:hAnsi="Arial"/>
                <w:sz w:val="20"/>
              </w:rPr>
            </w:pPr>
            <w:r>
              <w:rPr>
                <w:rFonts w:ascii="Arial" w:hAnsi="Arial"/>
                <w:sz w:val="20"/>
              </w:rPr>
              <w:t>Digital</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38" w:type="dxa"/>
            <w:tcBorders/>
            <w:vAlign w:val="bottom"/>
          </w:tcPr>
          <w:p>
            <w:pPr>
              <w:pStyle w:val="TableContents"/>
              <w:bidi w:val="0"/>
              <w:spacing w:before="0" w:after="283"/>
              <w:jc w:val="right"/>
              <w:rPr>
                <w:b/>
              </w:rPr>
            </w:pPr>
            <w:r>
              <w:rPr>
                <w:b/>
              </w:rPr>
              <w:t>693</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697</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658</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5%</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1,634</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1,556</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1,682</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5%</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-3%</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Well Construction</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2,888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2,742</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2,967</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5%</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-3%</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4,000</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3,771</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3,474</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6%</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15%</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All Other</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544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505</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397</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8%</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37%</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Eliminations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(310</w:t>
            </w:r>
          </w:p>
        </w:tc>
        <w:tc>
          <w:tcPr>
            <w:tcW w:w="320"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(299</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(250</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38" w:type="dxa"/>
            <w:tcBorders/>
            <w:vAlign w:val="bottom"/>
          </w:tcPr>
          <w:p>
            <w:pPr>
              <w:pStyle w:val="TableContents"/>
              <w:bidi w:val="0"/>
              <w:spacing w:before="0" w:after="283"/>
              <w:jc w:val="right"/>
              <w:rPr>
                <w:b/>
              </w:rPr>
            </w:pPr>
            <w:r>
              <w:rPr>
                <w:b/>
              </w:rPr>
              <w:t>9,449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8,972</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8,928</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5%</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6%</w:t>
            </w:r>
          </w:p>
        </w:tc>
        <w:tc>
          <w:tcPr>
            <w:tcW w:w="70" w:type="dxa"/>
            <w:tcBorders/>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b/>
                <w:sz w:val="20"/>
              </w:rPr>
            </w:pPr>
            <w:r>
              <w:rPr>
                <w:rFonts w:ascii="Arial" w:hAnsi="Arial"/>
                <w:b/>
                <w:sz w:val="20"/>
              </w:rPr>
              <w:t>Pretax segment operating income</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585" w:type="dxa"/>
            <w:tcBorders/>
          </w:tcPr>
          <w:p>
            <w:pPr>
              <w:pStyle w:val="TableContents"/>
              <w:bidi w:val="0"/>
              <w:spacing w:before="0" w:after="0"/>
              <w:jc w:val="left"/>
              <w:rPr>
                <w:rFonts w:ascii="Arial" w:hAnsi="Arial"/>
                <w:sz w:val="20"/>
              </w:rPr>
            </w:pPr>
            <w:r>
              <w:rPr>
                <w:rFonts w:ascii="Arial" w:hAnsi="Arial"/>
                <w:sz w:val="20"/>
              </w:rPr>
              <w:t>Digital</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38" w:type="dxa"/>
            <w:tcBorders/>
            <w:vAlign w:val="bottom"/>
          </w:tcPr>
          <w:p>
            <w:pPr>
              <w:pStyle w:val="TableContents"/>
              <w:bidi w:val="0"/>
              <w:spacing w:before="0" w:after="283"/>
              <w:jc w:val="right"/>
              <w:rPr>
                <w:b/>
              </w:rPr>
            </w:pPr>
            <w:r>
              <w:rPr>
                <w:b/>
              </w:rPr>
              <w:t>194</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194</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187</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4%</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266</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232</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312</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15%</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-15%</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Well Construction</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475</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417</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558</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14%</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-15%</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646</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586</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559</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10%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16%</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All Other</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136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142</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96</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-4%</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42%</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Eliminations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(141</w:t>
            </w:r>
          </w:p>
        </w:tc>
        <w:tc>
          <w:tcPr>
            <w:tcW w:w="320"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(167</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(86</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38" w:type="dxa"/>
            <w:tcBorders/>
            <w:vAlign w:val="bottom"/>
          </w:tcPr>
          <w:p>
            <w:pPr>
              <w:pStyle w:val="TableContents"/>
              <w:bidi w:val="0"/>
              <w:spacing w:before="0" w:after="283"/>
              <w:jc w:val="right"/>
              <w:rPr>
                <w:b/>
              </w:rPr>
            </w:pPr>
            <w:r>
              <w:rPr>
                <w:b/>
              </w:rPr>
              <w:t>1,576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1,404</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1,626</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12%</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-3%</w:t>
            </w:r>
          </w:p>
        </w:tc>
        <w:tc>
          <w:tcPr>
            <w:tcW w:w="70" w:type="dxa"/>
            <w:tcBorders/>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b/>
                <w:sz w:val="20"/>
              </w:rPr>
            </w:pPr>
            <w:r>
              <w:rPr>
                <w:rFonts w:ascii="Arial" w:hAnsi="Arial"/>
                <w:b/>
                <w:sz w:val="20"/>
              </w:rPr>
              <w:t>Pretax segment operating margin</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585" w:type="dxa"/>
            <w:tcBorders/>
          </w:tcPr>
          <w:p>
            <w:pPr>
              <w:pStyle w:val="TableContents"/>
              <w:bidi w:val="0"/>
              <w:spacing w:before="0" w:after="0"/>
              <w:jc w:val="left"/>
              <w:rPr>
                <w:rFonts w:ascii="Arial" w:hAnsi="Arial"/>
                <w:sz w:val="20"/>
              </w:rPr>
            </w:pPr>
            <w:r>
              <w:rPr>
                <w:rFonts w:ascii="Arial" w:hAnsi="Arial"/>
                <w:sz w:val="20"/>
              </w:rPr>
              <w:t>Digital</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28.0</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27.8</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28.4</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27 bps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-36 bps</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16.3</w:t>
            </w:r>
          </w:p>
        </w:tc>
        <w:tc>
          <w:tcPr>
            <w:tcW w:w="320"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14.9</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18.5</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140 bps</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-223 bps</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Well Construction</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16.4</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15.2</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18.8</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122 bps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-239 bps</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16.1</w:t>
            </w:r>
          </w:p>
        </w:tc>
        <w:tc>
          <w:tcPr>
            <w:tcW w:w="320"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15.5</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16.1</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60 bps</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6 bps</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All Other</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25.0</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28.2</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24.2</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-319 bps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77 bps</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Eliminations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n/m</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n/m</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n/m</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16.7</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15.6</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18.2</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104 bps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-153 bps</w:t>
            </w:r>
          </w:p>
        </w:tc>
        <w:tc>
          <w:tcPr>
            <w:tcW w:w="70" w:type="dxa"/>
            <w:tcBorders/>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b/>
                <w:sz w:val="20"/>
              </w:rPr>
            </w:pPr>
            <w:r>
              <w:rPr>
                <w:rFonts w:ascii="Arial" w:hAnsi="Arial"/>
                <w:b/>
                <w:sz w:val="20"/>
              </w:rPr>
              <w:t>Adjusted EBITDA</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585" w:type="dxa"/>
            <w:tcBorders/>
          </w:tcPr>
          <w:p>
            <w:pPr>
              <w:pStyle w:val="TableContents"/>
              <w:bidi w:val="0"/>
              <w:spacing w:before="0" w:after="0"/>
              <w:jc w:val="left"/>
              <w:rPr>
                <w:rFonts w:ascii="Arial" w:hAnsi="Arial"/>
                <w:sz w:val="20"/>
              </w:rPr>
            </w:pPr>
            <w:r>
              <w:rPr>
                <w:rFonts w:ascii="Arial" w:hAnsi="Arial"/>
                <w:sz w:val="20"/>
              </w:rPr>
              <w:t>Digital</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38" w:type="dxa"/>
            <w:tcBorders/>
            <w:vAlign w:val="bottom"/>
          </w:tcPr>
          <w:p>
            <w:pPr>
              <w:pStyle w:val="TableContents"/>
              <w:bidi w:val="0"/>
              <w:spacing w:before="0" w:after="283"/>
              <w:jc w:val="right"/>
              <w:rPr>
                <w:b/>
              </w:rPr>
            </w:pPr>
            <w:r>
              <w:rPr>
                <w:b/>
              </w:rPr>
              <w:t>228</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242</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215</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-6%</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6%</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384</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349</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422</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10%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-9%</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Well Construction</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632</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578</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728</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9%</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-13%</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800</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738</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690</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8%</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16%</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All Other</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226</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227</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158</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42%</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vAlign w:val="bottom"/>
          </w:tcPr>
          <w:p>
            <w:pPr>
              <w:pStyle w:val="TableContents"/>
              <w:bidi w:val="0"/>
              <w:spacing w:before="0" w:after="0"/>
              <w:jc w:val="left"/>
              <w:rPr>
                <w:rFonts w:ascii="Arial" w:hAnsi="Arial"/>
                <w:sz w:val="20"/>
              </w:rPr>
            </w:pPr>
            <w:r>
              <w:rPr>
                <w:rFonts w:ascii="Arial" w:hAnsi="Arial"/>
                <w:sz w:val="20"/>
              </w:rPr>
              <w:t>Eliminations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(71</w:t>
            </w:r>
          </w:p>
        </w:tc>
        <w:tc>
          <w:tcPr>
            <w:tcW w:w="320"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(101</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(13</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38" w:type="dxa"/>
            <w:tcBorders/>
            <w:vAlign w:val="bottom"/>
          </w:tcPr>
          <w:p>
            <w:pPr>
              <w:pStyle w:val="TableContents"/>
              <w:bidi w:val="0"/>
              <w:spacing w:before="0" w:after="283"/>
              <w:jc w:val="right"/>
              <w:rPr>
                <w:b/>
              </w:rPr>
            </w:pPr>
            <w:r>
              <w:rPr>
                <w:b/>
              </w:rPr>
              <w:t>2,199</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2,033</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2,200</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8%</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0%</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vAlign w:val="bottom"/>
          </w:tcPr>
          <w:p>
            <w:pPr>
              <w:pStyle w:val="TableContents"/>
              <w:bidi w:val="0"/>
              <w:spacing w:before="0" w:after="0"/>
              <w:jc w:val="left"/>
              <w:rPr>
                <w:rFonts w:ascii="Arial" w:hAnsi="Arial"/>
                <w:sz w:val="20"/>
              </w:rPr>
            </w:pPr>
            <w:r>
              <w:rPr>
                <w:rFonts w:ascii="Arial" w:hAnsi="Arial"/>
                <w:sz w:val="20"/>
              </w:rPr>
              <w:t>Corporate &amp; other</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(132</w:t>
            </w:r>
          </w:p>
        </w:tc>
        <w:tc>
          <w:tcPr>
            <w:tcW w:w="320"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(134</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(139</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38" w:type="dxa"/>
            <w:tcBorders/>
            <w:vAlign w:val="bottom"/>
          </w:tcPr>
          <w:p>
            <w:pPr>
              <w:pStyle w:val="TableContents"/>
              <w:bidi w:val="0"/>
              <w:spacing w:before="0" w:after="283"/>
              <w:jc w:val="right"/>
              <w:rPr>
                <w:b/>
              </w:rPr>
            </w:pPr>
            <w:r>
              <w:rPr>
                <w:b/>
              </w:rPr>
              <w:t>2,067</w:t>
            </w:r>
          </w:p>
        </w:tc>
        <w:tc>
          <w:tcPr>
            <w:tcW w:w="32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1,899</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2,061</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9%</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0%</w:t>
            </w:r>
          </w:p>
        </w:tc>
        <w:tc>
          <w:tcPr>
            <w:tcW w:w="70" w:type="dxa"/>
            <w:tcBorders/>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b/>
                <w:sz w:val="20"/>
              </w:rPr>
            </w:pPr>
            <w:r>
              <w:rPr>
                <w:rFonts w:ascii="Arial" w:hAnsi="Arial"/>
                <w:b/>
                <w:sz w:val="20"/>
              </w:rPr>
              <w:t>Adjusted EBITDA margin</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585" w:type="dxa"/>
            <w:tcBorders/>
          </w:tcPr>
          <w:p>
            <w:pPr>
              <w:pStyle w:val="TableContents"/>
              <w:bidi w:val="0"/>
              <w:spacing w:before="0" w:after="0"/>
              <w:jc w:val="left"/>
              <w:rPr>
                <w:rFonts w:ascii="Arial" w:hAnsi="Arial"/>
                <w:sz w:val="20"/>
              </w:rPr>
            </w:pPr>
            <w:r>
              <w:rPr>
                <w:rFonts w:ascii="Arial" w:hAnsi="Arial"/>
                <w:sz w:val="20"/>
              </w:rPr>
              <w:t>Digital</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32.9</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34.7</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32.7</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-175 bps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26 bps</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23.5</w:t>
            </w:r>
          </w:p>
        </w:tc>
        <w:tc>
          <w:tcPr>
            <w:tcW w:w="320"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22.4</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25.1</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110 bps</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-159 bps</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Well Construction</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21.9</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21.1</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24.5</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80 bps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-266 bps</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20.0</w:t>
            </w:r>
          </w:p>
        </w:tc>
        <w:tc>
          <w:tcPr>
            <w:tcW w:w="320"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19.6</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19.9</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42 bps</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14 bps</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tcPr>
          <w:p>
            <w:pPr>
              <w:pStyle w:val="TableContents"/>
              <w:bidi w:val="0"/>
              <w:spacing w:before="0" w:after="0"/>
              <w:jc w:val="left"/>
              <w:rPr>
                <w:rFonts w:ascii="Arial" w:hAnsi="Arial"/>
                <w:sz w:val="20"/>
              </w:rPr>
            </w:pPr>
            <w:r>
              <w:rPr>
                <w:rFonts w:ascii="Arial" w:hAnsi="Arial"/>
                <w:sz w:val="20"/>
              </w:rPr>
              <w:t>All Other</w:t>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41.5</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44.9</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39.9</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-347 bps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155 bps</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vAlign w:val="bottom"/>
          </w:tcPr>
          <w:p>
            <w:pPr>
              <w:pStyle w:val="TableContents"/>
              <w:bidi w:val="0"/>
              <w:spacing w:before="0" w:after="0"/>
              <w:jc w:val="left"/>
              <w:rPr>
                <w:rFonts w:ascii="Arial" w:hAnsi="Arial"/>
                <w:sz w:val="20"/>
              </w:rPr>
            </w:pPr>
            <w:r>
              <w:rPr>
                <w:rFonts w:ascii="Arial" w:hAnsi="Arial"/>
                <w:sz w:val="20"/>
              </w:rPr>
              <w:t>Eliminations</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n/m</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n/m</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n/m</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23.3</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22.7</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24.6</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61 bps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-138 bps</w:t>
            </w:r>
          </w:p>
        </w:tc>
        <w:tc>
          <w:tcPr>
            <w:tcW w:w="70" w:type="dxa"/>
            <w:tcBorders/>
            <w:vAlign w:val="bottom"/>
          </w:tcPr>
          <w:p>
            <w:pPr>
              <w:pStyle w:val="TableContents"/>
              <w:bidi w:val="0"/>
              <w:spacing w:before="0" w:after="283"/>
              <w:jc w:val="left"/>
              <w:rPr/>
            </w:pPr>
            <w:r>
              <w:rPr/>
              <w:t> </w:t>
            </w:r>
          </w:p>
        </w:tc>
      </w:tr>
      <w:tr>
        <w:trPr/>
        <w:tc>
          <w:tcPr>
            <w:tcW w:w="3585" w:type="dxa"/>
            <w:tcBorders/>
            <w:shd w:fill="CCEEFF" w:val="clear"/>
          </w:tcPr>
          <w:p>
            <w:pPr>
              <w:pStyle w:val="TableContents"/>
              <w:bidi w:val="0"/>
              <w:spacing w:before="0" w:after="0"/>
              <w:jc w:val="left"/>
              <w:rPr>
                <w:rFonts w:ascii="Arial" w:hAnsi="Arial"/>
                <w:sz w:val="20"/>
              </w:rPr>
            </w:pPr>
            <w:r>
              <w:rPr>
                <w:rFonts w:ascii="Arial" w:hAnsi="Arial"/>
                <w:sz w:val="20"/>
              </w:rPr>
              <w:t>Corporate &amp; other</w:t>
            </w:r>
          </w:p>
        </w:tc>
        <w:tc>
          <w:tcPr>
            <w:tcW w:w="17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b/>
              </w:rPr>
            </w:pPr>
            <w:r>
              <w:rPr>
                <w:b/>
              </w:rPr>
              <w:t>n/m</w:t>
            </w:r>
          </w:p>
        </w:tc>
        <w:tc>
          <w:tcPr>
            <w:tcW w:w="32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n/m</w:t>
            </w:r>
          </w:p>
        </w:tc>
        <w:tc>
          <w:tcPr>
            <w:tcW w:w="27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n/m</w:t>
            </w:r>
          </w:p>
        </w:tc>
        <w:tc>
          <w:tcPr>
            <w:tcW w:w="27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585"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b/>
              </w:rPr>
            </w:pPr>
            <w:r>
              <w:rPr>
                <w:b/>
              </w:rPr>
              <w:t>21.9</w:t>
            </w:r>
          </w:p>
        </w:tc>
        <w:tc>
          <w:tcPr>
            <w:tcW w:w="320" w:type="dxa"/>
            <w:tcBorders/>
            <w:vAlign w:val="bottom"/>
          </w:tcPr>
          <w:p>
            <w:pPr>
              <w:pStyle w:val="TableContents"/>
              <w:bidi w:val="0"/>
              <w:spacing w:before="0" w:after="283"/>
              <w:jc w:val="left"/>
              <w:rPr>
                <w:b/>
              </w:rPr>
            </w:pPr>
            <w:r>
              <w:rPr>
                <w:b/>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21.2</w:t>
            </w:r>
          </w:p>
        </w:tc>
        <w:tc>
          <w:tcPr>
            <w:tcW w:w="27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23.1</w:t>
            </w:r>
          </w:p>
        </w:tc>
        <w:tc>
          <w:tcPr>
            <w:tcW w:w="27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b/>
              </w:rPr>
            </w:pPr>
            <w:r>
              <w:rPr>
                <w:b/>
              </w:rPr>
              <w:t>71 bps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center"/>
              <w:rPr/>
            </w:pPr>
            <w:r>
              <w:rPr/>
              <w:t>-121 bps</w:t>
            </w:r>
          </w:p>
        </w:tc>
        <w:tc>
          <w:tcPr>
            <w:tcW w:w="70" w:type="dxa"/>
            <w:tcBorders/>
            <w:vAlign w:val="bottom"/>
          </w:tcPr>
          <w:p>
            <w:pPr>
              <w:pStyle w:val="TableContents"/>
              <w:bidi w:val="0"/>
              <w:spacing w:before="0" w:after="283"/>
              <w:jc w:val="left"/>
              <w:rPr/>
            </w:pPr>
            <w:r>
              <w:rPr/>
              <w:t> </w:t>
            </w:r>
          </w:p>
        </w:tc>
      </w:tr>
      <w:tr>
        <w:trPr/>
        <w:tc>
          <w:tcPr>
            <w:tcW w:w="358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ChampionX contributed $35 million of Digital revenue and $950 million of Production Systems revenue in the third quarter of 2026. Third-quarter 2025 results reflect two months of activity from ChampionX, which contributed $20 million of Digital revenue and $575 million of Production Systems revenue. Excluding the impact of this acquisition, Digital third-quarter 2026 revenue increased 3% year on year while Production Systems revenue increased 5% year on year. </w:t>
      </w:r>
    </w:p>
    <w:p>
      <w:pPr>
        <w:pStyle w:val="TextBody"/>
        <w:bidi w:val="0"/>
        <w:spacing w:before="240" w:after="0"/>
        <w:jc w:val="left"/>
        <w:rPr>
          <w:rFonts w:ascii="Arial" w:hAnsi="Arial"/>
          <w:sz w:val="20"/>
        </w:rPr>
      </w:pPr>
      <w:r>
        <w:rPr>
          <w:rFonts w:ascii="Arial" w:hAnsi="Arial"/>
          <w:sz w:val="20"/>
        </w:rPr>
        <w:t xml:space="preserve">n/m = not meaningful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Broad Growth Driven by Middle East Recovery, North America and Deep Water </w:t>
      </w:r>
    </w:p>
    <w:p>
      <w:pPr>
        <w:pStyle w:val="TextBody"/>
        <w:bidi w:val="0"/>
        <w:spacing w:before="120" w:after="0"/>
        <w:jc w:val="left"/>
        <w:rPr/>
      </w:pPr>
      <w:r>
        <w:rPr/>
        <w:t>“</w:t>
      </w:r>
      <w:r>
        <w:rPr>
          <w:rFonts w:ascii="Arial" w:hAnsi="Arial"/>
          <w:sz w:val="20"/>
        </w:rPr>
        <w:t xml:space="preserve">SLB delivered solid third-quarter results with all regions growing sequentially — led by a gradual recovery in the Middle East, growth in North America land and broadening international activity in deepwater offshore basins,” said SLB Chief Executive Officer Olivier Le Peuch. </w:t>
      </w:r>
    </w:p>
    <w:p>
      <w:pPr>
        <w:pStyle w:val="TextBody"/>
        <w:bidi w:val="0"/>
        <w:spacing w:before="240" w:after="0"/>
        <w:jc w:val="left"/>
        <w:rPr/>
      </w:pPr>
      <w:r>
        <w:rPr/>
        <w:t>“</w:t>
      </w:r>
      <w:r>
        <w:rPr>
          <w:rFonts w:ascii="Arial" w:hAnsi="Arial"/>
          <w:sz w:val="20"/>
        </w:rPr>
        <w:t xml:space="preserve">In the Middle East, our business grew 13% sequentially despite late-quarter disruptions. Outside the region, growth was supported by higher activity in U.S. land, highlighted by ChampionX achieving its highest quarterly revenue since the acquisition. Strong SLB OneSubsea activity further supported growth with a steady flow of new contract awards in the international markets which increased backlog and enhanced revenue visibility into 2027,” Le Peuch said. </w:t>
      </w:r>
    </w:p>
    <w:p>
      <w:pPr>
        <w:pStyle w:val="TextBody"/>
        <w:bidi w:val="0"/>
        <w:spacing w:before="360" w:after="0"/>
        <w:jc w:val="left"/>
        <w:rPr>
          <w:rFonts w:ascii="Arial" w:hAnsi="Arial"/>
          <w:b/>
          <w:sz w:val="20"/>
        </w:rPr>
      </w:pPr>
      <w:r>
        <w:rPr>
          <w:rFonts w:ascii="Arial" w:hAnsi="Arial"/>
          <w:b/>
          <w:sz w:val="20"/>
        </w:rPr>
        <w:t xml:space="preserve">Production Systems, Well Construction and Reservoir Performance Revenue Grew Sequentially </w:t>
      </w:r>
    </w:p>
    <w:p>
      <w:pPr>
        <w:pStyle w:val="TextBody"/>
        <w:bidi w:val="0"/>
        <w:spacing w:before="120" w:after="0"/>
        <w:jc w:val="left"/>
        <w:rPr/>
      </w:pPr>
      <w:r>
        <w:rPr/>
        <w:t>“</w:t>
      </w:r>
      <w:r>
        <w:rPr>
          <w:rFonts w:ascii="Arial" w:hAnsi="Arial"/>
          <w:sz w:val="20"/>
        </w:rPr>
        <w:t xml:space="preserve">Production Systems, Well Construction and Reservoir Performance revenue grew sequentially, reflecting increased activity across the exploration-to-production life cycle. </w:t>
      </w:r>
    </w:p>
    <w:p>
      <w:pPr>
        <w:pStyle w:val="TextBody"/>
        <w:bidi w:val="0"/>
        <w:spacing w:before="240" w:after="0"/>
        <w:jc w:val="left"/>
        <w:rPr/>
      </w:pPr>
      <w:r>
        <w:rPr/>
        <w:t>“</w:t>
      </w:r>
      <w:r>
        <w:rPr>
          <w:rFonts w:ascii="Arial" w:hAnsi="Arial"/>
          <w:sz w:val="20"/>
        </w:rPr>
        <w:t xml:space="preserve">Production Systems was supported by higher SLB OneSubsea activity and increased sales of production chemicals and artificial lift. This demonstrates the value of our production offering as customers increasingly prioritize production optimization, improved recovery and extended asset life. </w:t>
      </w:r>
    </w:p>
    <w:p>
      <w:pPr>
        <w:pStyle w:val="TextBody"/>
        <w:bidi w:val="0"/>
        <w:spacing w:before="240" w:after="0"/>
        <w:jc w:val="left"/>
        <w:rPr/>
      </w:pPr>
      <w:r>
        <w:rPr/>
        <w:t>“</w:t>
      </w:r>
      <w:r>
        <w:rPr>
          <w:rFonts w:ascii="Arial" w:hAnsi="Arial"/>
          <w:sz w:val="20"/>
        </w:rPr>
        <w:t xml:space="preserve">Well Construction and Reservoir Performance benefited from the rebound in the Middle East and increased international offshore activity, mainly in Europe &amp; Africa, Latin America and Asia. Growth was driven by increased drilling fluids sales, higher drilling measurements revenue, and heightened evaluation and intervention activity as operators ramp up development efforts to restore production and bring new capacity online.” </w:t>
      </w:r>
    </w:p>
    <w:p>
      <w:pPr>
        <w:pStyle w:val="TextBody"/>
        <w:bidi w:val="0"/>
        <w:spacing w:before="240" w:after="0"/>
        <w:jc w:val="left"/>
        <w:rPr/>
      </w:pPr>
      <w:r>
        <w:rPr/>
        <w:t>“</w:t>
      </w:r>
      <w:r>
        <w:rPr>
          <w:rFonts w:ascii="Arial" w:hAnsi="Arial"/>
          <w:sz w:val="20"/>
        </w:rPr>
        <w:t xml:space="preserve">These results reflect broad-based sequential revenue growth across each of our geographical areas and Core divisions as the upcycle gains momentum,” Le Peuch said. </w:t>
      </w:r>
    </w:p>
    <w:p>
      <w:pPr>
        <w:pStyle w:val="TextBody"/>
        <w:bidi w:val="0"/>
        <w:spacing w:before="360" w:after="0"/>
        <w:jc w:val="left"/>
        <w:rPr>
          <w:rFonts w:ascii="Arial" w:hAnsi="Arial"/>
          <w:b/>
          <w:sz w:val="20"/>
        </w:rPr>
      </w:pPr>
      <w:r>
        <w:rPr>
          <w:rFonts w:ascii="Arial" w:hAnsi="Arial"/>
          <w:b/>
          <w:sz w:val="20"/>
        </w:rPr>
        <w:t xml:space="preserve">Data Center Solutions Accelerates as an Independent Growth Driver </w:t>
      </w:r>
    </w:p>
    <w:p>
      <w:pPr>
        <w:pStyle w:val="TextBody"/>
        <w:bidi w:val="0"/>
        <w:spacing w:before="120" w:after="0"/>
        <w:jc w:val="left"/>
        <w:rPr/>
      </w:pPr>
      <w:r>
        <w:rPr/>
        <w:t>“</w:t>
      </w:r>
      <w:r>
        <w:rPr>
          <w:rFonts w:ascii="Arial" w:hAnsi="Arial"/>
          <w:sz w:val="20"/>
        </w:rPr>
        <w:t xml:space="preserve">Our Data Center Solutions business continued to accelerate, with revenue increasing 23% sequentially, driven by growing demand, a broadening scope of services and geographic expansion into Asia. </w:t>
      </w:r>
    </w:p>
    <w:p>
      <w:pPr>
        <w:pStyle w:val="TextBody"/>
        <w:bidi w:val="0"/>
        <w:spacing w:before="240" w:after="0"/>
        <w:jc w:val="left"/>
        <w:rPr/>
      </w:pPr>
      <w:r>
        <w:rPr/>
        <w:t>“</w:t>
      </w:r>
      <w:r>
        <w:rPr>
          <w:rFonts w:ascii="Arial" w:hAnsi="Arial"/>
          <w:sz w:val="20"/>
        </w:rPr>
        <w:t xml:space="preserve">AI is driving unprecedented investment in data center infrastructure, and customers are looking for partners who can deploy quickly, reliably and at scale. Our modular approach is meeting this need today, and the previously announced acquisition of Kelvion will further strengthen our technology portfolio and advance our ability to deliver more integrated solutions for customers. </w:t>
      </w:r>
    </w:p>
    <w:p>
      <w:pPr>
        <w:pStyle w:val="TextBody"/>
        <w:bidi w:val="0"/>
        <w:spacing w:before="240" w:after="0"/>
        <w:jc w:val="left"/>
        <w:rPr/>
      </w:pPr>
      <w:r>
        <w:rPr/>
        <w:t>“</w:t>
      </w:r>
      <w:r>
        <w:rPr>
          <w:rFonts w:ascii="Arial" w:hAnsi="Arial"/>
          <w:sz w:val="20"/>
        </w:rPr>
        <w:t xml:space="preserve">Overall, we continue to strengthen our position as an industrial technology partner to the data center industry and to expand our participation in this rapidly growing market,” Le Peuch said.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Broad International Expansion Strengthens the 2027 Growth Outlook </w:t>
      </w:r>
    </w:p>
    <w:p>
      <w:pPr>
        <w:pStyle w:val="TextBody"/>
        <w:bidi w:val="0"/>
        <w:spacing w:before="120" w:after="0"/>
        <w:jc w:val="left"/>
        <w:rPr/>
      </w:pPr>
      <w:r>
        <w:rPr/>
        <w:t>“</w:t>
      </w:r>
      <w:r>
        <w:rPr>
          <w:rFonts w:ascii="Arial" w:hAnsi="Arial"/>
          <w:sz w:val="20"/>
        </w:rPr>
        <w:t xml:space="preserve">Our view of supportive market fundamentals remains firmly intact. Energy security and supply shocks continue to drive a quest for international supply diversification, reserve replacement and sustained production — driving a distinct upcycle, despite near-term uncertainty in the Middle East. </w:t>
      </w:r>
    </w:p>
    <w:p>
      <w:pPr>
        <w:pStyle w:val="TextBody"/>
        <w:bidi w:val="0"/>
        <w:spacing w:before="240" w:after="0"/>
        <w:jc w:val="left"/>
        <w:rPr/>
      </w:pPr>
      <w:r>
        <w:rPr/>
        <w:t>“</w:t>
      </w:r>
      <w:r>
        <w:rPr>
          <w:rFonts w:ascii="Arial" w:hAnsi="Arial"/>
          <w:sz w:val="20"/>
        </w:rPr>
        <w:t xml:space="preserve">Our international outlook continues to strengthen, driven by deepwater momentum across Latin America, Europe, Sub-Saharan Africa and Asia, underscored by recent SLB OneSubsea contract awards. Furthermore, international diversification is accelerating as major U.S. shale operators expand abroad and partner with national oil companies across global basins. </w:t>
      </w:r>
    </w:p>
    <w:p>
      <w:pPr>
        <w:pStyle w:val="TextBody"/>
        <w:bidi w:val="0"/>
        <w:spacing w:before="240" w:after="0"/>
        <w:jc w:val="left"/>
        <w:rPr/>
      </w:pPr>
      <w:r>
        <w:rPr/>
        <w:t>“</w:t>
      </w:r>
      <w:r>
        <w:rPr>
          <w:rFonts w:ascii="Arial" w:hAnsi="Arial"/>
          <w:sz w:val="20"/>
        </w:rPr>
        <w:t xml:space="preserve">Combined with significant activity increases in Venezuela and expanding momentum across our Core, Digital and Data Center Solutions businesses, we see a very compelling outlook for 2027, with further upside as Middle East activity recovers,” Le Peuch concluded. </w:t>
      </w:r>
    </w:p>
    <w:p>
      <w:pPr>
        <w:pStyle w:val="TextBody"/>
        <w:bidi w:val="0"/>
        <w:spacing w:before="360" w:after="0"/>
        <w:jc w:val="left"/>
        <w:rPr>
          <w:rFonts w:ascii="Arial" w:hAnsi="Arial"/>
          <w:b/>
          <w:sz w:val="20"/>
        </w:rPr>
      </w:pPr>
      <w:r>
        <w:rPr>
          <w:rFonts w:ascii="Arial" w:hAnsi="Arial"/>
          <w:b/>
          <w:sz w:val="20"/>
        </w:rPr>
        <w:t xml:space="preserve">Other Events </w:t>
      </w:r>
    </w:p>
    <w:p>
      <w:pPr>
        <w:pStyle w:val="TextBody"/>
        <w:bidi w:val="0"/>
        <w:spacing w:before="120" w:after="0"/>
        <w:jc w:val="left"/>
        <w:rPr>
          <w:rFonts w:ascii="Arial" w:hAnsi="Arial"/>
          <w:sz w:val="20"/>
        </w:rPr>
      </w:pPr>
      <w:r>
        <w:rPr>
          <w:rFonts w:ascii="Arial" w:hAnsi="Arial"/>
          <w:sz w:val="20"/>
        </w:rPr>
        <w:t xml:space="preserve">During the quarter, SLB repurchased 12.9 million shares of its common stock for a total purchase price of $656 million. During the first nine months of 2026, SLB repurchased a total of 34.0 million shares of its common stock for a total purchase price of $1.76 billion. </w:t>
      </w:r>
    </w:p>
    <w:p>
      <w:pPr>
        <w:pStyle w:val="TextBody"/>
        <w:bidi w:val="0"/>
        <w:spacing w:before="240" w:after="0"/>
        <w:jc w:val="left"/>
        <w:rPr>
          <w:rFonts w:ascii="Arial" w:hAnsi="Arial"/>
          <w:sz w:val="20"/>
        </w:rPr>
      </w:pPr>
      <w:r>
        <w:rPr>
          <w:rFonts w:ascii="Arial" w:hAnsi="Arial"/>
          <w:sz w:val="20"/>
        </w:rPr>
        <w:t xml:space="preserve">On August 31, 2026, SLB signed an agreement to acquire Kelvion, a global provider of thermal management and heat exchange technologies. The acquisition strengthens SLB’s Data Center Solutions business with critical thermal management technologies and expands the company’s role in data center infrastructure, which is one of the world’s fastest-growing industrial and technology markets. Under the terms of the agreement, SLB will acquire Kelvion from Apollo-managed funds — the majority owner — and funds advised by Triton, which holds a minority interest, for approximately $3.4 billion in cash and will assume approximately $0.7 billion of debt. The transaction is subject to customary closing conditions and regulatory approvals and is expected to close in the first half of 2027. </w:t>
      </w:r>
    </w:p>
    <w:p>
      <w:pPr>
        <w:pStyle w:val="TextBody"/>
        <w:bidi w:val="0"/>
        <w:spacing w:before="240" w:after="0"/>
        <w:jc w:val="left"/>
        <w:rPr>
          <w:rFonts w:ascii="Arial" w:hAnsi="Arial"/>
          <w:sz w:val="20"/>
        </w:rPr>
      </w:pPr>
      <w:r>
        <w:rPr>
          <w:rFonts w:ascii="Arial" w:hAnsi="Arial"/>
          <w:sz w:val="20"/>
        </w:rPr>
        <w:t xml:space="preserve">On September 1, 2026, SLB completed its acquisition of S&amp;P Global Energy’s geoscience and petroleum engineering software business portfolio. The acquisition enhances SLB’s digital subsurface and planning portfolio, adding workflow-centric applications widely used by North American onshore and unconventional operators, and strengthening its ability to help customers improve efficiency, accelerate decision making and unlock greater value from subsurface data. </w:t>
      </w:r>
    </w:p>
    <w:p>
      <w:pPr>
        <w:pStyle w:val="TextBody"/>
        <w:bidi w:val="0"/>
        <w:spacing w:before="240" w:after="0"/>
        <w:jc w:val="left"/>
        <w:rPr>
          <w:rFonts w:ascii="Arial" w:hAnsi="Arial"/>
          <w:sz w:val="20"/>
        </w:rPr>
      </w:pPr>
      <w:r>
        <w:rPr>
          <w:rFonts w:ascii="Arial" w:hAnsi="Arial"/>
          <w:sz w:val="20"/>
        </w:rPr>
        <w:t xml:space="preserve">On October 22, 2026, SLB’s Board of Directors approved a quarterly cash dividend of $0.295 per share of outstanding common stock, payable on January 7, 2027, to stockholders of record on December 2, 2026.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Third-Quarter Revenue by Geographical Area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40"/>
        <w:gridCol w:w="220"/>
        <w:gridCol w:w="178"/>
        <w:gridCol w:w="713"/>
        <w:gridCol w:w="60"/>
        <w:gridCol w:w="220"/>
        <w:gridCol w:w="140"/>
        <w:gridCol w:w="577"/>
        <w:gridCol w:w="60"/>
        <w:gridCol w:w="220"/>
        <w:gridCol w:w="172"/>
        <w:gridCol w:w="691"/>
        <w:gridCol w:w="60"/>
        <w:gridCol w:w="220"/>
        <w:gridCol w:w="1123"/>
        <w:gridCol w:w="166"/>
        <w:gridCol w:w="1345"/>
      </w:tblGrid>
      <w:tr>
        <w:trPr/>
        <w:tc>
          <w:tcPr>
            <w:tcW w:w="404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5945" w:type="dxa"/>
            <w:gridSpan w:val="15"/>
            <w:tcBorders/>
            <w:vAlign w:val="bottom"/>
          </w:tcPr>
          <w:p>
            <w:pPr>
              <w:pStyle w:val="TableContents"/>
              <w:bidi w:val="0"/>
              <w:spacing w:before="0" w:after="283"/>
              <w:jc w:val="right"/>
              <w:rPr/>
            </w:pPr>
            <w:r>
              <w:rPr/>
              <w:t>(Stated in millions)</w:t>
            </w:r>
          </w:p>
        </w:tc>
      </w:tr>
      <w:tr>
        <w:trPr/>
        <w:tc>
          <w:tcPr>
            <w:tcW w:w="4040" w:type="dxa"/>
            <w:tcBorders/>
            <w:vAlign w:val="bottom"/>
          </w:tcPr>
          <w:p>
            <w:pPr>
              <w:pStyle w:val="TableContents"/>
              <w:bidi w:val="0"/>
              <w:spacing w:before="0" w:after="283"/>
              <w:jc w:val="left"/>
              <w:rPr>
                <w:b/>
              </w:rPr>
            </w:pPr>
            <w:r>
              <w:rPr>
                <w:b/>
              </w:rPr>
              <w:t>As reported</w:t>
            </w:r>
          </w:p>
        </w:tc>
        <w:tc>
          <w:tcPr>
            <w:tcW w:w="220" w:type="dxa"/>
            <w:tcBorders/>
            <w:vAlign w:val="bottom"/>
          </w:tcPr>
          <w:p>
            <w:pPr>
              <w:pStyle w:val="TableContents"/>
              <w:bidi w:val="0"/>
              <w:spacing w:before="0" w:after="283"/>
              <w:jc w:val="left"/>
              <w:rPr/>
            </w:pPr>
            <w:r>
              <w:rPr/>
              <w:t>  </w:t>
            </w:r>
          </w:p>
        </w:tc>
        <w:tc>
          <w:tcPr>
            <w:tcW w:w="303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634" w:type="dxa"/>
            <w:gridSpan w:val="3"/>
            <w:tcBorders>
              <w:bottom w:val="single" w:sz="8" w:space="0" w:color="000000"/>
            </w:tcBorders>
            <w:tcMar>
              <w:bottom w:w="28" w:type="dxa"/>
            </w:tcMar>
            <w:vAlign w:val="bottom"/>
          </w:tcPr>
          <w:p>
            <w:pPr>
              <w:pStyle w:val="TableContents"/>
              <w:bidi w:val="0"/>
              <w:spacing w:before="0" w:after="283"/>
              <w:jc w:val="center"/>
              <w:rPr>
                <w:b/>
              </w:rPr>
            </w:pPr>
            <w:r>
              <w:rPr>
                <w:b/>
              </w:rPr>
              <w:t>Change</w:t>
            </w:r>
          </w:p>
        </w:tc>
      </w:tr>
      <w:tr>
        <w:trPr/>
        <w:tc>
          <w:tcPr>
            <w:tcW w:w="404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166" w:type="dxa"/>
            <w:tcBorders/>
            <w:vAlign w:val="bottom"/>
          </w:tcPr>
          <w:p>
            <w:pPr>
              <w:pStyle w:val="TableContents"/>
              <w:bidi w:val="0"/>
              <w:spacing w:before="0" w:after="283"/>
              <w:jc w:val="left"/>
              <w:rPr/>
            </w:pPr>
            <w:r>
              <w:rPr/>
              <w:t> </w:t>
            </w:r>
          </w:p>
        </w:tc>
        <w:tc>
          <w:tcPr>
            <w:tcW w:w="1345"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4040"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2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2,401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2,244</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1,930</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center"/>
              <w:rPr>
                <w:b/>
              </w:rPr>
            </w:pPr>
            <w:r>
              <w:rPr>
                <w:b/>
              </w:rPr>
              <w:t>7%</w:t>
            </w:r>
          </w:p>
        </w:tc>
        <w:tc>
          <w:tcPr>
            <w:tcW w:w="16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center"/>
              <w:rPr/>
            </w:pPr>
            <w:r>
              <w:rPr/>
              <w:t>24%</w:t>
            </w:r>
          </w:p>
        </w:tc>
      </w:tr>
      <w:tr>
        <w:trPr/>
        <w:tc>
          <w:tcPr>
            <w:tcW w:w="4040" w:type="dxa"/>
            <w:tcBorders/>
          </w:tcPr>
          <w:p>
            <w:pPr>
              <w:pStyle w:val="TableContents"/>
              <w:bidi w:val="0"/>
              <w:spacing w:before="0" w:after="0"/>
              <w:jc w:val="left"/>
              <w:rPr>
                <w:rFonts w:ascii="Arial" w:hAnsi="Arial"/>
                <w:sz w:val="20"/>
              </w:rPr>
            </w:pPr>
            <w:r>
              <w:rPr>
                <w:rFonts w:ascii="Arial" w:hAnsi="Arial"/>
                <w:sz w:val="20"/>
              </w:rPr>
              <w:t>Latin America</w:t>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1,749</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1,714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1,482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center"/>
              <w:rPr>
                <w:b/>
              </w:rPr>
            </w:pPr>
            <w:r>
              <w:rPr>
                <w:b/>
              </w:rPr>
              <w:t>2%</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center"/>
              <w:rPr/>
            </w:pPr>
            <w:r>
              <w:rPr/>
              <w:t>18%</w:t>
            </w:r>
          </w:p>
        </w:tc>
      </w:tr>
      <w:tr>
        <w:trPr/>
        <w:tc>
          <w:tcPr>
            <w:tcW w:w="4040" w:type="dxa"/>
            <w:tcBorders/>
            <w:shd w:fill="CCEEFF" w:val="clear"/>
          </w:tcPr>
          <w:p>
            <w:pPr>
              <w:pStyle w:val="TableContents"/>
              <w:bidi w:val="0"/>
              <w:spacing w:before="0" w:after="0"/>
              <w:jc w:val="left"/>
              <w:rPr>
                <w:rFonts w:ascii="Arial" w:hAnsi="Arial"/>
                <w:sz w:val="20"/>
              </w:rPr>
            </w:pPr>
            <w:r>
              <w:rPr>
                <w:rFonts w:ascii="Arial" w:hAnsi="Arial"/>
                <w:sz w:val="20"/>
              </w:rPr>
              <w:t>Europe &amp; Africa*</w:t>
            </w:r>
          </w:p>
        </w:tc>
        <w:tc>
          <w:tcPr>
            <w:tcW w:w="22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2,437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2,385</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2,434</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center"/>
              <w:rPr>
                <w:b/>
              </w:rPr>
            </w:pPr>
            <w:r>
              <w:rPr>
                <w:b/>
              </w:rPr>
              <w:t>2%</w:t>
            </w:r>
          </w:p>
        </w:tc>
        <w:tc>
          <w:tcPr>
            <w:tcW w:w="16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center"/>
              <w:rPr/>
            </w:pPr>
            <w:r>
              <w:rPr/>
              <w:t>0%</w:t>
            </w:r>
          </w:p>
        </w:tc>
      </w:tr>
      <w:tr>
        <w:trPr/>
        <w:tc>
          <w:tcPr>
            <w:tcW w:w="4040" w:type="dxa"/>
            <w:tcBorders/>
          </w:tcPr>
          <w:p>
            <w:pPr>
              <w:pStyle w:val="TableContents"/>
              <w:bidi w:val="0"/>
              <w:spacing w:before="0" w:after="0"/>
              <w:jc w:val="left"/>
              <w:rPr>
                <w:rFonts w:ascii="Arial" w:hAnsi="Arial"/>
                <w:sz w:val="20"/>
              </w:rPr>
            </w:pPr>
            <w:r>
              <w:rPr>
                <w:rFonts w:ascii="Arial" w:hAnsi="Arial"/>
                <w:sz w:val="20"/>
              </w:rPr>
              <w:t>Middle East &amp; Asia</w:t>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2,807</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2,572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center"/>
              <w:rPr>
                <w:b/>
              </w:rPr>
            </w:pPr>
            <w:r>
              <w:rPr>
                <w:b/>
              </w:rPr>
              <w:t>9%</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center"/>
              <w:rPr/>
            </w:pPr>
            <w:r>
              <w:rPr/>
              <w:t>-6%</w:t>
            </w:r>
          </w:p>
        </w:tc>
      </w:tr>
      <w:tr>
        <w:trPr/>
        <w:tc>
          <w:tcPr>
            <w:tcW w:w="4040"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22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55</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center"/>
              <w:rPr>
                <w:b/>
              </w:rPr>
            </w:pPr>
            <w:r>
              <w:rPr>
                <w:b/>
              </w:rPr>
              <w:t>n/m</w:t>
            </w:r>
          </w:p>
        </w:tc>
        <w:tc>
          <w:tcPr>
            <w:tcW w:w="16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center"/>
              <w:rPr/>
            </w:pPr>
            <w:r>
              <w:rPr/>
              <w:t>n/m</w:t>
            </w:r>
          </w:p>
        </w:tc>
      </w:tr>
      <w:tr>
        <w:trPr/>
        <w:tc>
          <w:tcPr>
            <w:tcW w:w="404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r>
      <w:tr>
        <w:trPr/>
        <w:tc>
          <w:tcPr>
            <w:tcW w:w="4040" w:type="dxa"/>
            <w:tcBorders/>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9,449</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8,972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8,928</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center"/>
              <w:rPr>
                <w:b/>
              </w:rPr>
            </w:pPr>
            <w:r>
              <w:rPr>
                <w:b/>
              </w:rPr>
              <w:t>5%</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center"/>
              <w:rPr/>
            </w:pPr>
            <w:r>
              <w:rPr/>
              <w:t>6%</w:t>
            </w:r>
          </w:p>
        </w:tc>
      </w:tr>
      <w:tr>
        <w:trPr/>
        <w:tc>
          <w:tcPr>
            <w:tcW w:w="404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r>
      <w:tr>
        <w:trPr/>
        <w:tc>
          <w:tcPr>
            <w:tcW w:w="4040"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22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6,993</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6,671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6,916</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center"/>
              <w:rPr>
                <w:b/>
              </w:rPr>
            </w:pPr>
            <w:r>
              <w:rPr>
                <w:b/>
              </w:rPr>
              <w:t>5%</w:t>
            </w:r>
          </w:p>
        </w:tc>
        <w:tc>
          <w:tcPr>
            <w:tcW w:w="16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center"/>
              <w:rPr/>
            </w:pPr>
            <w:r>
              <w:rPr/>
              <w:t>1%</w:t>
            </w:r>
          </w:p>
        </w:tc>
      </w:tr>
      <w:tr>
        <w:trPr/>
        <w:tc>
          <w:tcPr>
            <w:tcW w:w="4040" w:type="dxa"/>
            <w:tcBorders/>
          </w:tcPr>
          <w:p>
            <w:pPr>
              <w:pStyle w:val="TableContents"/>
              <w:bidi w:val="0"/>
              <w:spacing w:before="0" w:after="0"/>
              <w:jc w:val="left"/>
              <w:rPr>
                <w:rFonts w:ascii="Arial" w:hAnsi="Arial"/>
                <w:sz w:val="20"/>
              </w:rPr>
            </w:pPr>
            <w:r>
              <w:rPr>
                <w:rFonts w:ascii="Arial" w:hAnsi="Arial"/>
                <w:sz w:val="20"/>
              </w:rPr>
              <w:t>North America</w:t>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2,401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2,244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1,930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center"/>
              <w:rPr>
                <w:b/>
              </w:rPr>
            </w:pPr>
            <w:r>
              <w:rPr>
                <w:b/>
              </w:rPr>
              <w:t>7%</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center"/>
              <w:rPr/>
            </w:pPr>
            <w:r>
              <w:rPr/>
              <w:t>24%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Includes Russia and the Caspian region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Third-quarter revenue of $9.45 billion increased 5% sequentially, driven by 5% growth internationally and 7% growth in North America. International revenue growth was broad-based, led by a 13% increase in the Middle East as activity continued to recover despite late-quarter disruptions. Europe &amp; Africa, Asia and Latin America also posted sequential growth, primarily driven by offshore activity. </w:t>
      </w:r>
    </w:p>
    <w:p>
      <w:pPr>
        <w:pStyle w:val="TextBody"/>
        <w:bidi w:val="0"/>
        <w:spacing w:before="240" w:after="0"/>
        <w:jc w:val="left"/>
        <w:rPr>
          <w:rFonts w:ascii="Arial" w:hAnsi="Arial"/>
          <w:sz w:val="20"/>
        </w:rPr>
      </w:pPr>
      <w:r>
        <w:rPr>
          <w:rFonts w:ascii="Arial" w:hAnsi="Arial"/>
          <w:sz w:val="20"/>
        </w:rPr>
        <w:t xml:space="preserve">In North America, sequential revenue growth was supported by strong U.S. unconventional activity, driven by robust demand for production chemicals and artificial lift solutions. Data Center Solutions also contributed to the sequential revenue increase. </w:t>
      </w:r>
    </w:p>
    <w:p>
      <w:pPr>
        <w:pStyle w:val="TextBody"/>
        <w:bidi w:val="0"/>
        <w:spacing w:before="240" w:after="0"/>
        <w:jc w:val="left"/>
        <w:rPr>
          <w:rFonts w:ascii="Arial" w:hAnsi="Arial"/>
          <w:sz w:val="20"/>
        </w:rPr>
      </w:pPr>
      <w:r>
        <w:rPr>
          <w:rFonts w:ascii="Arial" w:hAnsi="Arial"/>
          <w:sz w:val="20"/>
        </w:rPr>
        <w:t xml:space="preserve">The ChampionX businesses, acquired in July 2025, contributed $956 million of revenue in the third quarter of 2026, consisting of $662 million in North America and $263 million in the international markets. Third-quarter 2025 results included two months of ChampionX activity, which contributed $579 million in revenue, consisting of $387 million in North America and $171 million in the international markets. </w:t>
      </w:r>
    </w:p>
    <w:p>
      <w:pPr>
        <w:pStyle w:val="TextBody"/>
        <w:bidi w:val="0"/>
        <w:spacing w:before="240" w:after="0"/>
        <w:jc w:val="left"/>
        <w:rPr>
          <w:rFonts w:ascii="Arial" w:hAnsi="Arial"/>
          <w:sz w:val="20"/>
        </w:rPr>
      </w:pPr>
      <w:r>
        <w:rPr>
          <w:rFonts w:ascii="Arial" w:hAnsi="Arial"/>
          <w:sz w:val="20"/>
        </w:rPr>
        <w:t xml:space="preserve">Excluding the impact of this acquisition, third-quarter 2026 revenue increased 2% year on year as international revenue was essentially flat and North America revenue increased 13% year on year.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following table and commentary are presented on a pro forma basis assuming that ChampionX was acquired on January 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40"/>
        <w:gridCol w:w="220"/>
        <w:gridCol w:w="178"/>
        <w:gridCol w:w="713"/>
        <w:gridCol w:w="60"/>
        <w:gridCol w:w="220"/>
        <w:gridCol w:w="140"/>
        <w:gridCol w:w="577"/>
        <w:gridCol w:w="60"/>
        <w:gridCol w:w="220"/>
        <w:gridCol w:w="172"/>
        <w:gridCol w:w="691"/>
        <w:gridCol w:w="60"/>
        <w:gridCol w:w="220"/>
        <w:gridCol w:w="1123"/>
        <w:gridCol w:w="166"/>
        <w:gridCol w:w="1345"/>
      </w:tblGrid>
      <w:tr>
        <w:trPr/>
        <w:tc>
          <w:tcPr>
            <w:tcW w:w="404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5945" w:type="dxa"/>
            <w:gridSpan w:val="15"/>
            <w:tcBorders/>
            <w:vAlign w:val="bottom"/>
          </w:tcPr>
          <w:p>
            <w:pPr>
              <w:pStyle w:val="TableContents"/>
              <w:bidi w:val="0"/>
              <w:spacing w:before="0" w:after="283"/>
              <w:jc w:val="right"/>
              <w:rPr/>
            </w:pPr>
            <w:r>
              <w:rPr/>
              <w:t>(Stated in millions)</w:t>
            </w:r>
          </w:p>
        </w:tc>
      </w:tr>
      <w:tr>
        <w:trPr/>
        <w:tc>
          <w:tcPr>
            <w:tcW w:w="4040" w:type="dxa"/>
            <w:tcBorders/>
            <w:vAlign w:val="bottom"/>
          </w:tcPr>
          <w:p>
            <w:pPr>
              <w:pStyle w:val="TableContents"/>
              <w:bidi w:val="0"/>
              <w:spacing w:before="0" w:after="283"/>
              <w:jc w:val="left"/>
              <w:rPr>
                <w:b/>
              </w:rPr>
            </w:pPr>
            <w:r>
              <w:rPr>
                <w:b/>
              </w:rPr>
              <w:t>Pro forma</w:t>
            </w:r>
          </w:p>
        </w:tc>
        <w:tc>
          <w:tcPr>
            <w:tcW w:w="220" w:type="dxa"/>
            <w:tcBorders/>
            <w:vAlign w:val="bottom"/>
          </w:tcPr>
          <w:p>
            <w:pPr>
              <w:pStyle w:val="TableContents"/>
              <w:bidi w:val="0"/>
              <w:spacing w:before="0" w:after="283"/>
              <w:jc w:val="left"/>
              <w:rPr/>
            </w:pPr>
            <w:r>
              <w:rPr/>
              <w:t>  </w:t>
            </w:r>
          </w:p>
        </w:tc>
        <w:tc>
          <w:tcPr>
            <w:tcW w:w="303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634" w:type="dxa"/>
            <w:gridSpan w:val="3"/>
            <w:tcBorders>
              <w:bottom w:val="single" w:sz="8" w:space="0" w:color="000000"/>
            </w:tcBorders>
            <w:tcMar>
              <w:bottom w:w="28" w:type="dxa"/>
            </w:tcMar>
            <w:vAlign w:val="bottom"/>
          </w:tcPr>
          <w:p>
            <w:pPr>
              <w:pStyle w:val="TableContents"/>
              <w:bidi w:val="0"/>
              <w:spacing w:before="0" w:after="283"/>
              <w:jc w:val="center"/>
              <w:rPr>
                <w:b/>
              </w:rPr>
            </w:pPr>
            <w:r>
              <w:rPr>
                <w:b/>
              </w:rPr>
              <w:t>Change</w:t>
            </w:r>
          </w:p>
        </w:tc>
      </w:tr>
      <w:tr>
        <w:trPr/>
        <w:tc>
          <w:tcPr>
            <w:tcW w:w="404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166" w:type="dxa"/>
            <w:tcBorders/>
            <w:vAlign w:val="bottom"/>
          </w:tcPr>
          <w:p>
            <w:pPr>
              <w:pStyle w:val="TableContents"/>
              <w:bidi w:val="0"/>
              <w:spacing w:before="0" w:after="283"/>
              <w:jc w:val="left"/>
              <w:rPr/>
            </w:pPr>
            <w:r>
              <w:rPr/>
              <w:t> </w:t>
            </w:r>
          </w:p>
        </w:tc>
        <w:tc>
          <w:tcPr>
            <w:tcW w:w="1345"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4040"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2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2,401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2,244</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2,134</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center"/>
              <w:rPr>
                <w:b/>
              </w:rPr>
            </w:pPr>
            <w:r>
              <w:rPr>
                <w:b/>
              </w:rPr>
              <w:t>7%</w:t>
            </w:r>
          </w:p>
        </w:tc>
        <w:tc>
          <w:tcPr>
            <w:tcW w:w="16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center"/>
              <w:rPr/>
            </w:pPr>
            <w:r>
              <w:rPr/>
              <w:t>13%</w:t>
            </w:r>
          </w:p>
        </w:tc>
      </w:tr>
      <w:tr>
        <w:trPr/>
        <w:tc>
          <w:tcPr>
            <w:tcW w:w="4040" w:type="dxa"/>
            <w:tcBorders/>
          </w:tcPr>
          <w:p>
            <w:pPr>
              <w:pStyle w:val="TableContents"/>
              <w:bidi w:val="0"/>
              <w:spacing w:before="0" w:after="0"/>
              <w:jc w:val="left"/>
              <w:rPr>
                <w:rFonts w:ascii="Arial" w:hAnsi="Arial"/>
                <w:sz w:val="20"/>
              </w:rPr>
            </w:pPr>
            <w:r>
              <w:rPr>
                <w:rFonts w:ascii="Arial" w:hAnsi="Arial"/>
                <w:sz w:val="20"/>
              </w:rPr>
              <w:t>Latin America</w:t>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1,749</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1,714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1,507</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center"/>
              <w:rPr>
                <w:b/>
              </w:rPr>
            </w:pPr>
            <w:r>
              <w:rPr>
                <w:b/>
              </w:rPr>
              <w:t>2%</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center"/>
              <w:rPr/>
            </w:pPr>
            <w:r>
              <w:rPr/>
              <w:t>16%</w:t>
            </w:r>
          </w:p>
        </w:tc>
      </w:tr>
      <w:tr>
        <w:trPr/>
        <w:tc>
          <w:tcPr>
            <w:tcW w:w="4040" w:type="dxa"/>
            <w:tcBorders/>
            <w:shd w:fill="CCEEFF" w:val="clear"/>
          </w:tcPr>
          <w:p>
            <w:pPr>
              <w:pStyle w:val="TableContents"/>
              <w:bidi w:val="0"/>
              <w:spacing w:before="0" w:after="0"/>
              <w:jc w:val="left"/>
              <w:rPr>
                <w:rFonts w:ascii="Arial" w:hAnsi="Arial"/>
                <w:sz w:val="20"/>
              </w:rPr>
            </w:pPr>
            <w:r>
              <w:rPr>
                <w:rFonts w:ascii="Arial" w:hAnsi="Arial"/>
                <w:sz w:val="20"/>
              </w:rPr>
              <w:t>Europe &amp; Africa*</w:t>
            </w:r>
          </w:p>
        </w:tc>
        <w:tc>
          <w:tcPr>
            <w:tcW w:w="22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2,437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2,385</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2,462</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center"/>
              <w:rPr>
                <w:b/>
              </w:rPr>
            </w:pPr>
            <w:r>
              <w:rPr>
                <w:b/>
              </w:rPr>
              <w:t>2%</w:t>
            </w:r>
          </w:p>
        </w:tc>
        <w:tc>
          <w:tcPr>
            <w:tcW w:w="16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center"/>
              <w:rPr/>
            </w:pPr>
            <w:r>
              <w:rPr/>
              <w:t>-1%</w:t>
            </w:r>
          </w:p>
        </w:tc>
      </w:tr>
      <w:tr>
        <w:trPr/>
        <w:tc>
          <w:tcPr>
            <w:tcW w:w="4040" w:type="dxa"/>
            <w:tcBorders/>
          </w:tcPr>
          <w:p>
            <w:pPr>
              <w:pStyle w:val="TableContents"/>
              <w:bidi w:val="0"/>
              <w:spacing w:before="0" w:after="0"/>
              <w:jc w:val="left"/>
              <w:rPr>
                <w:rFonts w:ascii="Arial" w:hAnsi="Arial"/>
                <w:sz w:val="20"/>
              </w:rPr>
            </w:pPr>
            <w:r>
              <w:rPr>
                <w:rFonts w:ascii="Arial" w:hAnsi="Arial"/>
                <w:sz w:val="20"/>
              </w:rPr>
              <w:t>Middle East &amp; Asia</w:t>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2,807</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2,572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3,032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center"/>
              <w:rPr>
                <w:b/>
              </w:rPr>
            </w:pPr>
            <w:r>
              <w:rPr>
                <w:b/>
              </w:rPr>
              <w:t>9%</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center"/>
              <w:rPr/>
            </w:pPr>
            <w:r>
              <w:rPr/>
              <w:t>-7%</w:t>
            </w:r>
          </w:p>
        </w:tc>
      </w:tr>
      <w:tr>
        <w:trPr/>
        <w:tc>
          <w:tcPr>
            <w:tcW w:w="4040"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22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55</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center"/>
              <w:rPr>
                <w:b/>
              </w:rPr>
            </w:pPr>
            <w:r>
              <w:rPr>
                <w:b/>
              </w:rPr>
              <w:t>n/m</w:t>
            </w:r>
          </w:p>
        </w:tc>
        <w:tc>
          <w:tcPr>
            <w:tcW w:w="16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center"/>
              <w:rPr/>
            </w:pPr>
            <w:r>
              <w:rPr/>
              <w:t>n/m</w:t>
            </w:r>
          </w:p>
        </w:tc>
      </w:tr>
      <w:tr>
        <w:trPr/>
        <w:tc>
          <w:tcPr>
            <w:tcW w:w="404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r>
      <w:tr>
        <w:trPr/>
        <w:tc>
          <w:tcPr>
            <w:tcW w:w="4040" w:type="dxa"/>
            <w:tcBorders/>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9,449</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8,972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9,229</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center"/>
              <w:rPr>
                <w:b/>
              </w:rPr>
            </w:pPr>
            <w:r>
              <w:rPr>
                <w:b/>
              </w:rPr>
              <w:t>5%</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center"/>
              <w:rPr/>
            </w:pPr>
            <w:r>
              <w:rPr/>
              <w:t>2%</w:t>
            </w:r>
          </w:p>
        </w:tc>
      </w:tr>
      <w:tr>
        <w:trPr/>
        <w:tc>
          <w:tcPr>
            <w:tcW w:w="404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r>
      <w:tr>
        <w:trPr/>
        <w:tc>
          <w:tcPr>
            <w:tcW w:w="4040"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22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6,993</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6,671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7,001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center"/>
              <w:rPr>
                <w:b/>
              </w:rPr>
            </w:pPr>
            <w:r>
              <w:rPr>
                <w:b/>
              </w:rPr>
              <w:t>5%</w:t>
            </w:r>
          </w:p>
        </w:tc>
        <w:tc>
          <w:tcPr>
            <w:tcW w:w="166"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center"/>
              <w:rPr/>
            </w:pPr>
            <w:r>
              <w:rPr/>
              <w:t>— </w:t>
            </w:r>
          </w:p>
        </w:tc>
      </w:tr>
      <w:tr>
        <w:trPr/>
        <w:tc>
          <w:tcPr>
            <w:tcW w:w="4040" w:type="dxa"/>
            <w:tcBorders/>
          </w:tcPr>
          <w:p>
            <w:pPr>
              <w:pStyle w:val="TableContents"/>
              <w:bidi w:val="0"/>
              <w:spacing w:before="0" w:after="0"/>
              <w:jc w:val="left"/>
              <w:rPr>
                <w:rFonts w:ascii="Arial" w:hAnsi="Arial"/>
                <w:sz w:val="20"/>
              </w:rPr>
            </w:pPr>
            <w:r>
              <w:rPr>
                <w:rFonts w:ascii="Arial" w:hAnsi="Arial"/>
                <w:sz w:val="20"/>
              </w:rPr>
              <w:t>North America</w:t>
            </w:r>
          </w:p>
        </w:tc>
        <w:tc>
          <w:tcPr>
            <w:tcW w:w="22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2,401</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2,244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2,134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center"/>
              <w:rPr>
                <w:b/>
              </w:rPr>
            </w:pPr>
            <w:r>
              <w:rPr>
                <w:b/>
              </w:rPr>
              <w:t>7%</w:t>
            </w:r>
          </w:p>
        </w:tc>
        <w:tc>
          <w:tcPr>
            <w:tcW w:w="166"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center"/>
              <w:rPr/>
            </w:pPr>
            <w:r>
              <w:rPr/>
              <w:t>13%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Includes Russia and the Caspian region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360" w:after="0"/>
        <w:jc w:val="left"/>
        <w:rPr>
          <w:rFonts w:ascii="Arial" w:hAnsi="Arial"/>
          <w:b/>
          <w:sz w:val="20"/>
        </w:rPr>
      </w:pPr>
      <w:r>
        <w:rPr>
          <w:rFonts w:ascii="Arial" w:hAnsi="Arial"/>
          <w:b/>
          <w:sz w:val="20"/>
        </w:rPr>
        <w:t xml:space="preserve">International </w:t>
      </w:r>
    </w:p>
    <w:p>
      <w:pPr>
        <w:pStyle w:val="TextBody"/>
        <w:bidi w:val="0"/>
        <w:spacing w:before="120" w:after="0"/>
        <w:jc w:val="left"/>
        <w:rPr>
          <w:rFonts w:ascii="Arial" w:hAnsi="Arial"/>
          <w:b/>
          <w:sz w:val="20"/>
        </w:rPr>
      </w:pPr>
      <w:r>
        <w:rPr>
          <w:rFonts w:ascii="Arial" w:hAnsi="Arial"/>
          <w:b/>
          <w:sz w:val="20"/>
        </w:rPr>
        <w:t xml:space="preserve">Latin America </w:t>
      </w:r>
    </w:p>
    <w:p>
      <w:pPr>
        <w:pStyle w:val="TextBody"/>
        <w:bidi w:val="0"/>
        <w:spacing w:before="120" w:after="0"/>
        <w:jc w:val="left"/>
        <w:rPr>
          <w:rFonts w:ascii="Arial" w:hAnsi="Arial"/>
          <w:sz w:val="20"/>
        </w:rPr>
      </w:pPr>
      <w:r>
        <w:rPr>
          <w:rFonts w:ascii="Arial" w:hAnsi="Arial"/>
          <w:sz w:val="20"/>
        </w:rPr>
        <w:t xml:space="preserve">Revenue in Latin America of $1.75 billion increased 2% sequentially, primarily driven by higher SLB OneSubsea sales and increased drilling activity in Guyana and Brazil. Growth was further supported by higher revenue from Asset Performance Solutions (APS) projects in Ecuador and stronger drilling activity in Argentina. </w:t>
      </w:r>
    </w:p>
    <w:p>
      <w:pPr>
        <w:pStyle w:val="TextBody"/>
        <w:bidi w:val="0"/>
        <w:spacing w:before="240" w:after="0"/>
        <w:jc w:val="left"/>
        <w:rPr>
          <w:rFonts w:ascii="Arial" w:hAnsi="Arial"/>
          <w:sz w:val="20"/>
        </w:rPr>
      </w:pPr>
      <w:r>
        <w:rPr>
          <w:rFonts w:ascii="Arial" w:hAnsi="Arial"/>
          <w:sz w:val="20"/>
        </w:rPr>
        <w:t xml:space="preserve">Year on year, revenue increased 16%, driven primarily by stronger offshore activity in Brazil, Guyana and Mexico. Higher revenue from APS projects in Ecuador also contributed to the increase, as the prior-year quarter was affected by pipeline-related disruptions. </w:t>
      </w:r>
    </w:p>
    <w:p>
      <w:pPr>
        <w:pStyle w:val="TextBody"/>
        <w:bidi w:val="0"/>
        <w:spacing w:before="360" w:after="0"/>
        <w:jc w:val="left"/>
        <w:rPr>
          <w:rFonts w:ascii="Arial" w:hAnsi="Arial"/>
          <w:b/>
          <w:sz w:val="20"/>
        </w:rPr>
      </w:pPr>
      <w:r>
        <w:rPr>
          <w:rFonts w:ascii="Arial" w:hAnsi="Arial"/>
          <w:b/>
          <w:sz w:val="20"/>
        </w:rPr>
        <w:t xml:space="preserve">Europe &amp; Africa </w:t>
      </w:r>
    </w:p>
    <w:p>
      <w:pPr>
        <w:pStyle w:val="TextBody"/>
        <w:bidi w:val="0"/>
        <w:spacing w:before="120" w:after="0"/>
        <w:jc w:val="left"/>
        <w:rPr>
          <w:rFonts w:ascii="Arial" w:hAnsi="Arial"/>
          <w:sz w:val="20"/>
        </w:rPr>
      </w:pPr>
      <w:r>
        <w:rPr>
          <w:rFonts w:ascii="Arial" w:hAnsi="Arial"/>
          <w:sz w:val="20"/>
        </w:rPr>
        <w:t xml:space="preserve">Revenue in Europe &amp; Africa of $2.44 billion increased 2% sequentially, driven by higher SLB OneSubsea revenue in Scandinavia and Angola and production and recovery activity in Nigeria. These increases were partially offset by lower revenue in Libya and reduced SLB Capturi revenue as project milestones were completed. </w:t>
      </w:r>
    </w:p>
    <w:p>
      <w:pPr>
        <w:pStyle w:val="TextBody"/>
        <w:bidi w:val="0"/>
        <w:spacing w:before="240" w:after="0"/>
        <w:jc w:val="left"/>
        <w:rPr>
          <w:rFonts w:ascii="Arial" w:hAnsi="Arial"/>
          <w:sz w:val="20"/>
        </w:rPr>
      </w:pPr>
      <w:r>
        <w:rPr>
          <w:rFonts w:ascii="Arial" w:hAnsi="Arial"/>
          <w:sz w:val="20"/>
        </w:rPr>
        <w:t xml:space="preserve">Year on year, revenue decreased 1%, primarily reflecting lower activity across North Africa. This decline was partially offset by strong growth in Nigeria from higher production systems sales and increased evaluation, intervention and stimulation activity as well as higher revenue in Kazakhstan, Azerbaijan and Turkmenistan.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Middle East &amp; Asia </w:t>
      </w:r>
    </w:p>
    <w:p>
      <w:pPr>
        <w:pStyle w:val="TextBody"/>
        <w:bidi w:val="0"/>
        <w:spacing w:before="120" w:after="0"/>
        <w:jc w:val="left"/>
        <w:rPr>
          <w:rFonts w:ascii="Arial" w:hAnsi="Arial"/>
          <w:sz w:val="20"/>
        </w:rPr>
      </w:pPr>
      <w:r>
        <w:rPr>
          <w:rFonts w:ascii="Arial" w:hAnsi="Arial"/>
          <w:sz w:val="20"/>
        </w:rPr>
        <w:t xml:space="preserve">Revenue in the Middle East &amp; Asia of $2.81 billion increased 9% sequentially, driven by 13% growth in the Middle East and a 2% increase in Asia. The Middle East accounted for 67% of the area’s revenue in the third quarter of 2026. </w:t>
      </w:r>
    </w:p>
    <w:p>
      <w:pPr>
        <w:pStyle w:val="TextBody"/>
        <w:bidi w:val="0"/>
        <w:spacing w:before="240" w:after="0"/>
        <w:jc w:val="left"/>
        <w:rPr>
          <w:rFonts w:ascii="Arial" w:hAnsi="Arial"/>
          <w:sz w:val="20"/>
        </w:rPr>
      </w:pPr>
      <w:r>
        <w:rPr>
          <w:rFonts w:ascii="Arial" w:hAnsi="Arial"/>
          <w:sz w:val="20"/>
        </w:rPr>
        <w:t xml:space="preserve">Growth in the Middle East reflected the rebound in activity following operational disruptions related to the regional conflict in the prior quarter. Activity improved in Iraq, Kuwait, Oman, Saudi Arabia, Qatar and the United Arab Emirates, although certain countries experienced renewed disruptions during the final weeks of the quarter. </w:t>
      </w:r>
    </w:p>
    <w:p>
      <w:pPr>
        <w:pStyle w:val="TextBody"/>
        <w:bidi w:val="0"/>
        <w:spacing w:before="240" w:after="0"/>
        <w:jc w:val="left"/>
        <w:rPr>
          <w:rFonts w:ascii="Arial" w:hAnsi="Arial"/>
          <w:sz w:val="20"/>
        </w:rPr>
      </w:pPr>
      <w:r>
        <w:rPr>
          <w:rFonts w:ascii="Arial" w:hAnsi="Arial"/>
          <w:sz w:val="20"/>
        </w:rPr>
        <w:t xml:space="preserve">In Asia, sequential revenue growth was supported by continued strength in offshore activity, particularly in India, East Asia and Indonesia. </w:t>
      </w:r>
    </w:p>
    <w:p>
      <w:pPr>
        <w:pStyle w:val="TextBody"/>
        <w:bidi w:val="0"/>
        <w:spacing w:before="240" w:after="0"/>
        <w:jc w:val="left"/>
        <w:rPr>
          <w:rFonts w:ascii="Arial" w:hAnsi="Arial"/>
          <w:sz w:val="20"/>
        </w:rPr>
      </w:pPr>
      <w:r>
        <w:rPr>
          <w:rFonts w:ascii="Arial" w:hAnsi="Arial"/>
          <w:sz w:val="20"/>
        </w:rPr>
        <w:t xml:space="preserve">Year on year, revenue decreased 7%, primarily reflecting a 12% decline in the Middle East due to conflict-related disruptions, partially offset by strong growth across Asia, led by offshore markets. </w:t>
      </w:r>
    </w:p>
    <w:p>
      <w:pPr>
        <w:pStyle w:val="TextBody"/>
        <w:bidi w:val="0"/>
        <w:spacing w:before="360" w:after="0"/>
        <w:jc w:val="left"/>
        <w:rPr>
          <w:rFonts w:ascii="Arial" w:hAnsi="Arial"/>
          <w:b/>
          <w:sz w:val="20"/>
        </w:rPr>
      </w:pPr>
      <w:r>
        <w:rPr>
          <w:rFonts w:ascii="Arial" w:hAnsi="Arial"/>
          <w:b/>
          <w:sz w:val="20"/>
        </w:rPr>
        <w:t xml:space="preserve">North America </w:t>
      </w:r>
    </w:p>
    <w:p>
      <w:pPr>
        <w:pStyle w:val="TextBody"/>
        <w:bidi w:val="0"/>
        <w:spacing w:before="120" w:after="0"/>
        <w:jc w:val="left"/>
        <w:rPr>
          <w:rFonts w:ascii="Arial" w:hAnsi="Arial"/>
          <w:sz w:val="20"/>
        </w:rPr>
      </w:pPr>
      <w:r>
        <w:rPr>
          <w:rFonts w:ascii="Arial" w:hAnsi="Arial"/>
          <w:sz w:val="20"/>
        </w:rPr>
        <w:t xml:space="preserve">Revenue in North America of $2.40 billion increased 7% sequentially, driven by higher sales of production chemicals, artificial lift and valves in U.S. land, along with a 23% increase in Data Center Solutions revenue. Growth was further supported by increased drilling activity in Canada following the spring breakup in the prior quarter. These gains were partially offset by lower digital exploration sales in the Gulf of America. </w:t>
      </w:r>
    </w:p>
    <w:p>
      <w:pPr>
        <w:pStyle w:val="TextBody"/>
        <w:bidi w:val="0"/>
        <w:spacing w:before="240" w:after="0"/>
        <w:jc w:val="left"/>
        <w:rPr>
          <w:rFonts w:ascii="Arial" w:hAnsi="Arial"/>
          <w:sz w:val="20"/>
        </w:rPr>
      </w:pPr>
      <w:r>
        <w:rPr>
          <w:rFonts w:ascii="Arial" w:hAnsi="Arial"/>
          <w:sz w:val="20"/>
        </w:rPr>
        <w:t xml:space="preserve">Year on year, revenue increased 13%, primarily reflecting stronger unconventional activity in U.S. land, as well as continued momentum in Data Center Solutions, where revenue grew 76%.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Third-Quarter Results by Division </w:t>
      </w:r>
    </w:p>
    <w:p>
      <w:pPr>
        <w:pStyle w:val="TextBody"/>
        <w:bidi w:val="0"/>
        <w:spacing w:before="120" w:after="0"/>
        <w:jc w:val="left"/>
        <w:rPr>
          <w:rFonts w:ascii="Arial" w:hAnsi="Arial"/>
          <w:b/>
          <w:sz w:val="20"/>
        </w:rPr>
      </w:pPr>
      <w:r>
        <w:rPr>
          <w:rFonts w:ascii="Arial" w:hAnsi="Arial"/>
          <w:b/>
          <w:sz w:val="20"/>
        </w:rPr>
        <w:t xml:space="preserve">Digital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6"/>
        <w:gridCol w:w="217"/>
        <w:gridCol w:w="214"/>
        <w:gridCol w:w="706"/>
        <w:gridCol w:w="336"/>
        <w:gridCol w:w="160"/>
        <w:gridCol w:w="185"/>
        <w:gridCol w:w="586"/>
        <w:gridCol w:w="275"/>
        <w:gridCol w:w="160"/>
        <w:gridCol w:w="207"/>
        <w:gridCol w:w="685"/>
        <w:gridCol w:w="275"/>
        <w:gridCol w:w="160"/>
        <w:gridCol w:w="69"/>
        <w:gridCol w:w="1062"/>
        <w:gridCol w:w="60"/>
        <w:gridCol w:w="159"/>
        <w:gridCol w:w="97"/>
        <w:gridCol w:w="1219"/>
        <w:gridCol w:w="67"/>
      </w:tblGrid>
      <w:tr>
        <w:trPr/>
        <w:tc>
          <w:tcPr>
            <w:tcW w:w="3306"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6615" w:type="dxa"/>
            <w:gridSpan w:val="18"/>
            <w:tcBorders/>
            <w:vAlign w:val="bottom"/>
          </w:tcPr>
          <w:p>
            <w:pPr>
              <w:pStyle w:val="TableContents"/>
              <w:bidi w:val="0"/>
              <w:spacing w:before="0" w:after="283"/>
              <w:jc w:val="right"/>
              <w:rPr/>
            </w:pPr>
            <w:r>
              <w:rPr/>
              <w:t>(Stated in millions)</w:t>
            </w:r>
          </w:p>
        </w:tc>
        <w:tc>
          <w:tcPr>
            <w:tcW w:w="67" w:type="dxa"/>
            <w:tcBorders/>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5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6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7" w:type="dxa"/>
            <w:tcBorders/>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33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7"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1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Arial" w:hAnsi="Arial"/>
                <w:sz w:val="20"/>
              </w:rPr>
            </w:pPr>
            <w:r>
              <w:rPr>
                <w:rFonts w:ascii="Arial" w:hAnsi="Arial"/>
                <w:sz w:val="20"/>
              </w:rPr>
              <w:t>International</w:t>
            </w:r>
          </w:p>
        </w:tc>
        <w:tc>
          <w:tcPr>
            <w:tcW w:w="21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706" w:type="dxa"/>
            <w:tcBorders/>
            <w:vAlign w:val="bottom"/>
          </w:tcPr>
          <w:p>
            <w:pPr>
              <w:pStyle w:val="TableContents"/>
              <w:bidi w:val="0"/>
              <w:spacing w:before="0" w:after="283"/>
              <w:jc w:val="right"/>
              <w:rPr>
                <w:b/>
              </w:rPr>
            </w:pPr>
            <w:r>
              <w:rPr>
                <w:b/>
              </w:rPr>
              <w:t>523</w:t>
            </w:r>
          </w:p>
        </w:tc>
        <w:tc>
          <w:tcPr>
            <w:tcW w:w="33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526</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500</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center"/>
              <w:rPr>
                <w:b/>
              </w:rPr>
            </w:pPr>
            <w:r>
              <w:rPr>
                <w:b/>
              </w:rPr>
              <w:t>-1%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center"/>
              <w:rPr/>
            </w:pPr>
            <w:r>
              <w:rPr/>
              <w:t>5%</w:t>
            </w:r>
          </w:p>
        </w:tc>
        <w:tc>
          <w:tcPr>
            <w:tcW w:w="67"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1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b/>
              </w:rPr>
            </w:pPr>
            <w:r>
              <w:rPr>
                <w:b/>
              </w:rPr>
              <w:t>168</w:t>
            </w:r>
          </w:p>
        </w:tc>
        <w:tc>
          <w:tcPr>
            <w:tcW w:w="33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170</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center"/>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center"/>
              <w:rPr/>
            </w:pPr>
            <w:r>
              <w:rPr/>
              <w:t>8%</w:t>
            </w:r>
          </w:p>
        </w:tc>
        <w:tc>
          <w:tcPr>
            <w:tcW w:w="67"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Arial" w:hAnsi="Arial"/>
                <w:sz w:val="20"/>
              </w:rPr>
            </w:pPr>
            <w:r>
              <w:rPr>
                <w:rFonts w:ascii="Arial" w:hAnsi="Arial"/>
                <w:sz w:val="20"/>
              </w:rPr>
              <w:t>Other</w:t>
            </w:r>
          </w:p>
        </w:tc>
        <w:tc>
          <w:tcPr>
            <w:tcW w:w="21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b/>
              </w:rPr>
            </w:pPr>
            <w:r>
              <w:rPr>
                <w:b/>
              </w:rPr>
              <w:t>2</w:t>
            </w:r>
          </w:p>
        </w:tc>
        <w:tc>
          <w:tcPr>
            <w:tcW w:w="33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center"/>
              <w:rPr/>
            </w:pPr>
            <w:r>
              <w:rPr/>
              <w:t>n/m</w:t>
            </w:r>
          </w:p>
        </w:tc>
        <w:tc>
          <w:tcPr>
            <w:tcW w:w="67" w:type="dxa"/>
            <w:tcBorders/>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706" w:type="dxa"/>
            <w:tcBorders/>
            <w:shd w:fill="CCEEFF" w:val="clear"/>
            <w:vAlign w:val="bottom"/>
          </w:tcPr>
          <w:p>
            <w:pPr>
              <w:pStyle w:val="TableContents"/>
              <w:bidi w:val="0"/>
              <w:spacing w:before="0" w:after="283"/>
              <w:jc w:val="right"/>
              <w:rPr>
                <w:b/>
              </w:rPr>
            </w:pPr>
            <w:r>
              <w:rPr>
                <w:b/>
              </w:rPr>
              <w:t>693</w:t>
            </w:r>
          </w:p>
        </w:tc>
        <w:tc>
          <w:tcPr>
            <w:tcW w:w="33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697</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658</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center"/>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center"/>
              <w:rPr/>
            </w:pPr>
            <w:r>
              <w:rPr/>
              <w:t>5%</w:t>
            </w:r>
          </w:p>
        </w:tc>
        <w:tc>
          <w:tcPr>
            <w:tcW w:w="67" w:type="dxa"/>
            <w:tcBorders/>
            <w:shd w:fill="CCEEFF" w:val="clear"/>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306" w:type="dxa"/>
            <w:tcBorders/>
            <w:vAlign w:val="bottom"/>
          </w:tcPr>
          <w:p>
            <w:pPr>
              <w:pStyle w:val="TableContents"/>
              <w:bidi w:val="0"/>
              <w:spacing w:before="0" w:after="0"/>
              <w:jc w:val="left"/>
              <w:rPr>
                <w:rFonts w:ascii="Arial" w:hAnsi="Arial"/>
                <w:sz w:val="20"/>
              </w:rPr>
            </w:pPr>
            <w:r>
              <w:rPr>
                <w:rFonts w:ascii="Arial" w:hAnsi="Arial"/>
                <w:sz w:val="20"/>
              </w:rPr>
              <w:t>Pretax operating income</w:t>
            </w:r>
          </w:p>
        </w:tc>
        <w:tc>
          <w:tcPr>
            <w:tcW w:w="21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706" w:type="dxa"/>
            <w:tcBorders/>
            <w:vAlign w:val="bottom"/>
          </w:tcPr>
          <w:p>
            <w:pPr>
              <w:pStyle w:val="TableContents"/>
              <w:bidi w:val="0"/>
              <w:spacing w:before="0" w:after="283"/>
              <w:jc w:val="right"/>
              <w:rPr>
                <w:b/>
              </w:rPr>
            </w:pPr>
            <w:r>
              <w:rPr>
                <w:b/>
              </w:rPr>
              <w:t>194</w:t>
            </w:r>
          </w:p>
        </w:tc>
        <w:tc>
          <w:tcPr>
            <w:tcW w:w="33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194</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187</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center"/>
              <w:rPr/>
            </w:pPr>
            <w:r>
              <w:rPr/>
              <w:t>4%</w:t>
            </w:r>
          </w:p>
        </w:tc>
        <w:tc>
          <w:tcPr>
            <w:tcW w:w="67" w:type="dxa"/>
            <w:tcBorders/>
            <w:vAlign w:val="bottom"/>
          </w:tcPr>
          <w:p>
            <w:pPr>
              <w:pStyle w:val="TableContents"/>
              <w:bidi w:val="0"/>
              <w:spacing w:before="0" w:after="283"/>
              <w:jc w:val="left"/>
              <w:rPr/>
            </w:pPr>
            <w:r>
              <w:rPr/>
              <w:t> </w:t>
            </w:r>
          </w:p>
        </w:tc>
      </w:tr>
      <w:tr>
        <w:trPr/>
        <w:tc>
          <w:tcPr>
            <w:tcW w:w="3306" w:type="dxa"/>
            <w:tcBorders/>
            <w:shd w:fill="CCEEFF" w:val="clear"/>
            <w:vAlign w:val="bottom"/>
          </w:tcPr>
          <w:p>
            <w:pPr>
              <w:pStyle w:val="TableContents"/>
              <w:bidi w:val="0"/>
              <w:spacing w:before="0" w:after="0"/>
              <w:jc w:val="left"/>
              <w:rPr>
                <w:rFonts w:ascii="Arial" w:hAnsi="Arial"/>
                <w:sz w:val="20"/>
              </w:rPr>
            </w:pPr>
            <w:r>
              <w:rPr>
                <w:rFonts w:ascii="Arial" w:hAnsi="Arial"/>
                <w:sz w:val="20"/>
              </w:rPr>
              <w:t>Pretax operating margin</w:t>
            </w:r>
          </w:p>
        </w:tc>
        <w:tc>
          <w:tcPr>
            <w:tcW w:w="21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b/>
              </w:rPr>
            </w:pPr>
            <w:r>
              <w:rPr>
                <w:b/>
              </w:rPr>
              <w:t>28.0</w:t>
            </w:r>
          </w:p>
        </w:tc>
        <w:tc>
          <w:tcPr>
            <w:tcW w:w="336" w:type="dxa"/>
            <w:tcBorders/>
            <w:shd w:fill="CCEEFF" w:val="clear"/>
            <w:vAlign w:val="bottom"/>
          </w:tcPr>
          <w:p>
            <w:pPr>
              <w:pStyle w:val="TableContents"/>
              <w:bidi w:val="0"/>
              <w:spacing w:before="0" w:after="283"/>
              <w:jc w:val="left"/>
              <w:rPr>
                <w:b/>
              </w:rPr>
            </w:pPr>
            <w:r>
              <w:rPr>
                <w:b/>
              </w:rPr>
              <w:t>% </w:t>
            </w:r>
          </w:p>
        </w:tc>
        <w:tc>
          <w:tcPr>
            <w:tcW w:w="1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27.8</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28.4</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center"/>
              <w:rPr>
                <w:b/>
              </w:rPr>
            </w:pPr>
            <w:r>
              <w:rPr>
                <w:b/>
              </w:rPr>
              <w:t>27 bps</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center"/>
              <w:rPr/>
            </w:pPr>
            <w:r>
              <w:rPr/>
              <w:t>-36 bps</w:t>
            </w:r>
          </w:p>
        </w:tc>
        <w:tc>
          <w:tcPr>
            <w:tcW w:w="67" w:type="dxa"/>
            <w:tcBorders/>
            <w:shd w:fill="CCEEFF" w:val="clear"/>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0"/>
              <w:jc w:val="left"/>
              <w:rPr>
                <w:rFonts w:ascii="Arial" w:hAnsi="Arial"/>
                <w:sz w:val="20"/>
              </w:rPr>
            </w:pPr>
            <w:r>
              <w:rPr>
                <w:rFonts w:ascii="Arial" w:hAnsi="Arial"/>
                <w:sz w:val="20"/>
              </w:rPr>
              <w:t>Adjusted EBITDA*</w:t>
            </w:r>
          </w:p>
        </w:tc>
        <w:tc>
          <w:tcPr>
            <w:tcW w:w="21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706" w:type="dxa"/>
            <w:tcBorders/>
            <w:vAlign w:val="bottom"/>
          </w:tcPr>
          <w:p>
            <w:pPr>
              <w:pStyle w:val="TableContents"/>
              <w:bidi w:val="0"/>
              <w:spacing w:before="0" w:after="283"/>
              <w:jc w:val="right"/>
              <w:rPr>
                <w:b/>
              </w:rPr>
            </w:pPr>
            <w:r>
              <w:rPr>
                <w:b/>
              </w:rPr>
              <w:t>228</w:t>
            </w:r>
          </w:p>
        </w:tc>
        <w:tc>
          <w:tcPr>
            <w:tcW w:w="33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242</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215</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center"/>
              <w:rPr>
                <w:b/>
              </w:rPr>
            </w:pPr>
            <w:r>
              <w:rPr>
                <w:b/>
              </w:rPr>
              <w:t>-6%</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center"/>
              <w:rPr/>
            </w:pPr>
            <w:r>
              <w:rPr/>
              <w:t>6%</w:t>
            </w:r>
          </w:p>
        </w:tc>
        <w:tc>
          <w:tcPr>
            <w:tcW w:w="67" w:type="dxa"/>
            <w:tcBorders/>
            <w:vAlign w:val="bottom"/>
          </w:tcPr>
          <w:p>
            <w:pPr>
              <w:pStyle w:val="TableContents"/>
              <w:bidi w:val="0"/>
              <w:spacing w:before="0" w:after="283"/>
              <w:jc w:val="left"/>
              <w:rPr/>
            </w:pPr>
            <w:r>
              <w:rPr/>
              <w:t> </w:t>
            </w:r>
          </w:p>
        </w:tc>
      </w:tr>
      <w:tr>
        <w:trPr/>
        <w:tc>
          <w:tcPr>
            <w:tcW w:w="3306"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21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b/>
              </w:rPr>
            </w:pPr>
            <w:r>
              <w:rPr>
                <w:b/>
              </w:rPr>
              <w:t>32.9</w:t>
            </w:r>
          </w:p>
        </w:tc>
        <w:tc>
          <w:tcPr>
            <w:tcW w:w="336" w:type="dxa"/>
            <w:tcBorders/>
            <w:shd w:fill="CCEEFF" w:val="clear"/>
            <w:vAlign w:val="bottom"/>
          </w:tcPr>
          <w:p>
            <w:pPr>
              <w:pStyle w:val="TableContents"/>
              <w:bidi w:val="0"/>
              <w:spacing w:before="0" w:after="283"/>
              <w:jc w:val="left"/>
              <w:rPr>
                <w:b/>
              </w:rPr>
            </w:pPr>
            <w:r>
              <w:rPr>
                <w:b/>
              </w:rPr>
              <w:t>% </w:t>
            </w:r>
          </w:p>
        </w:tc>
        <w:tc>
          <w:tcPr>
            <w:tcW w:w="1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34.7</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32.7</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center"/>
              <w:rPr>
                <w:b/>
              </w:rPr>
            </w:pPr>
            <w:r>
              <w:rPr>
                <w:b/>
              </w:rPr>
              <w:t>-175 bps</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center"/>
              <w:rPr/>
            </w:pPr>
            <w:r>
              <w:rPr/>
              <w:t>26 bps</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reconciliation in the section “Supplementary Information” for details.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86"/>
        <w:gridCol w:w="251"/>
        <w:gridCol w:w="239"/>
        <w:gridCol w:w="651"/>
        <w:gridCol w:w="60"/>
        <w:gridCol w:w="251"/>
        <w:gridCol w:w="207"/>
        <w:gridCol w:w="566"/>
        <w:gridCol w:w="60"/>
        <w:gridCol w:w="251"/>
        <w:gridCol w:w="230"/>
        <w:gridCol w:w="630"/>
        <w:gridCol w:w="60"/>
        <w:gridCol w:w="251"/>
        <w:gridCol w:w="126"/>
        <w:gridCol w:w="973"/>
        <w:gridCol w:w="60"/>
        <w:gridCol w:w="194"/>
        <w:gridCol w:w="194"/>
        <w:gridCol w:w="1095"/>
        <w:gridCol w:w="70"/>
      </w:tblGrid>
      <w:tr>
        <w:trPr/>
        <w:tc>
          <w:tcPr>
            <w:tcW w:w="3786"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98" w:type="dxa"/>
            <w:gridSpan w:val="18"/>
            <w:tcBorders/>
            <w:vAlign w:val="bottom"/>
          </w:tcPr>
          <w:p>
            <w:pPr>
              <w:pStyle w:val="TableContents"/>
              <w:bidi w:val="0"/>
              <w:spacing w:before="0" w:after="283"/>
              <w:jc w:val="right"/>
              <w:rPr/>
            </w:pPr>
            <w:r>
              <w:rPr/>
              <w:t>(Stated in millions)</w:t>
            </w:r>
          </w:p>
        </w:tc>
        <w:tc>
          <w:tcPr>
            <w:tcW w:w="70" w:type="dxa"/>
            <w:tcBorders/>
            <w:vAlign w:val="bottom"/>
          </w:tcPr>
          <w:p>
            <w:pPr>
              <w:pStyle w:val="TableContents"/>
              <w:bidi w:val="0"/>
              <w:spacing w:before="0" w:after="283"/>
              <w:jc w:val="left"/>
              <w:rPr/>
            </w:pPr>
            <w:r>
              <w:rPr/>
              <w:t> </w:t>
            </w:r>
          </w:p>
        </w:tc>
      </w:tr>
      <w:tr>
        <w:trPr/>
        <w:tc>
          <w:tcPr>
            <w:tcW w:w="378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1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70" w:type="dxa"/>
            <w:tcBorders/>
            <w:vAlign w:val="bottom"/>
          </w:tcPr>
          <w:p>
            <w:pPr>
              <w:pStyle w:val="TableContents"/>
              <w:bidi w:val="0"/>
              <w:spacing w:before="0" w:after="283"/>
              <w:jc w:val="left"/>
              <w:rPr/>
            </w:pPr>
            <w:r>
              <w:rPr/>
              <w:t> </w:t>
            </w:r>
          </w:p>
        </w:tc>
      </w:tr>
      <w:tr>
        <w:trPr/>
        <w:tc>
          <w:tcPr>
            <w:tcW w:w="378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70" w:type="dxa"/>
            <w:tcBorders/>
            <w:vAlign w:val="bottom"/>
          </w:tcPr>
          <w:p>
            <w:pPr>
              <w:pStyle w:val="TableContents"/>
              <w:bidi w:val="0"/>
              <w:spacing w:before="0" w:after="283"/>
              <w:jc w:val="left"/>
              <w:rPr/>
            </w:pPr>
            <w:r>
              <w:rPr/>
              <w:t> </w:t>
            </w:r>
          </w:p>
        </w:tc>
      </w:tr>
      <w:tr>
        <w:trPr/>
        <w:tc>
          <w:tcPr>
            <w:tcW w:w="3786"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5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9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786" w:type="dxa"/>
            <w:tcBorders/>
            <w:vAlign w:val="bottom"/>
          </w:tcPr>
          <w:p>
            <w:pPr>
              <w:pStyle w:val="TableContents"/>
              <w:bidi w:val="0"/>
              <w:spacing w:before="0" w:after="0"/>
              <w:jc w:val="left"/>
              <w:rPr>
                <w:rFonts w:ascii="Arial" w:hAnsi="Arial"/>
                <w:sz w:val="20"/>
              </w:rPr>
            </w:pPr>
            <w:r>
              <w:rPr>
                <w:rFonts w:ascii="Arial" w:hAnsi="Arial"/>
                <w:sz w:val="20"/>
              </w:rPr>
              <w:t>Platforms &amp; Applications</w:t>
            </w:r>
          </w:p>
        </w:tc>
        <w:tc>
          <w:tcPr>
            <w:tcW w:w="251"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b/>
              </w:rPr>
            </w:pPr>
            <w:r>
              <w:rPr>
                <w:b/>
              </w:rPr>
              <w:t>$</w:t>
            </w:r>
          </w:p>
        </w:tc>
        <w:tc>
          <w:tcPr>
            <w:tcW w:w="651" w:type="dxa"/>
            <w:tcBorders/>
            <w:vAlign w:val="bottom"/>
          </w:tcPr>
          <w:p>
            <w:pPr>
              <w:pStyle w:val="TableContents"/>
              <w:bidi w:val="0"/>
              <w:spacing w:before="0" w:after="283"/>
              <w:jc w:val="right"/>
              <w:rPr>
                <w:b/>
              </w:rPr>
            </w:pPr>
            <w:r>
              <w:rPr>
                <w:b/>
              </w:rPr>
              <w:t>299</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258</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630" w:type="dxa"/>
            <w:tcBorders/>
            <w:vAlign w:val="bottom"/>
          </w:tcPr>
          <w:p>
            <w:pPr>
              <w:pStyle w:val="TableContents"/>
              <w:bidi w:val="0"/>
              <w:spacing w:before="0" w:after="283"/>
              <w:jc w:val="right"/>
              <w:rPr/>
            </w:pPr>
            <w:r>
              <w:rPr/>
              <w:t>273</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center"/>
              <w:rPr>
                <w:b/>
              </w:rPr>
            </w:pPr>
            <w:r>
              <w:rPr>
                <w:b/>
              </w:rPr>
              <w:t>16%</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center"/>
              <w:rPr/>
            </w:pPr>
            <w:r>
              <w:rPr/>
              <w:t>10%</w:t>
            </w:r>
          </w:p>
        </w:tc>
        <w:tc>
          <w:tcPr>
            <w:tcW w:w="70" w:type="dxa"/>
            <w:tcBorders/>
            <w:vAlign w:val="bottom"/>
          </w:tcPr>
          <w:p>
            <w:pPr>
              <w:pStyle w:val="TableContents"/>
              <w:bidi w:val="0"/>
              <w:spacing w:before="0" w:after="283"/>
              <w:jc w:val="left"/>
              <w:rPr/>
            </w:pPr>
            <w:r>
              <w:rPr/>
              <w:t> </w:t>
            </w:r>
          </w:p>
        </w:tc>
      </w:tr>
      <w:tr>
        <w:trPr/>
        <w:tc>
          <w:tcPr>
            <w:tcW w:w="3786"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 Operations</w:t>
            </w:r>
          </w:p>
        </w:tc>
        <w:tc>
          <w:tcPr>
            <w:tcW w:w="25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b/>
              </w:rPr>
            </w:pPr>
            <w:r>
              <w:rPr>
                <w:b/>
              </w:rPr>
              <w:t>163</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148</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center"/>
              <w:rPr>
                <w:b/>
              </w:rPr>
            </w:pPr>
            <w:r>
              <w:rPr>
                <w:b/>
              </w:rPr>
              <w:t>10%</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center"/>
              <w:rPr/>
            </w:pPr>
            <w:r>
              <w:rPr/>
              <w:t>24%</w:t>
            </w:r>
          </w:p>
        </w:tc>
        <w:tc>
          <w:tcPr>
            <w:tcW w:w="70" w:type="dxa"/>
            <w:tcBorders/>
            <w:shd w:fill="CCEEFF" w:val="clear"/>
            <w:vAlign w:val="bottom"/>
          </w:tcPr>
          <w:p>
            <w:pPr>
              <w:pStyle w:val="TableContents"/>
              <w:bidi w:val="0"/>
              <w:spacing w:before="0" w:after="283"/>
              <w:jc w:val="left"/>
              <w:rPr/>
            </w:pPr>
            <w:r>
              <w:rPr/>
              <w:t> </w:t>
            </w:r>
          </w:p>
        </w:tc>
      </w:tr>
      <w:tr>
        <w:trPr/>
        <w:tc>
          <w:tcPr>
            <w:tcW w:w="3786" w:type="dxa"/>
            <w:tcBorders/>
            <w:vAlign w:val="bottom"/>
          </w:tcPr>
          <w:p>
            <w:pPr>
              <w:pStyle w:val="TableContents"/>
              <w:bidi w:val="0"/>
              <w:spacing w:before="0" w:after="0"/>
              <w:jc w:val="left"/>
              <w:rPr>
                <w:rFonts w:ascii="Arial" w:hAnsi="Arial"/>
                <w:sz w:val="20"/>
              </w:rPr>
            </w:pPr>
            <w:r>
              <w:rPr>
                <w:rFonts w:ascii="Arial" w:hAnsi="Arial"/>
                <w:sz w:val="20"/>
              </w:rPr>
              <w:t>Digital Exploration</w:t>
            </w:r>
          </w:p>
        </w:tc>
        <w:tc>
          <w:tcPr>
            <w:tcW w:w="251"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b/>
              </w:rPr>
            </w:pPr>
            <w:r>
              <w:rPr>
                <w:b/>
              </w:rPr>
              <w:t>78</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center"/>
              <w:rPr>
                <w:b/>
              </w:rPr>
            </w:pPr>
            <w:r>
              <w:rPr>
                <w:b/>
              </w:rPr>
              <w:t>-38%</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center"/>
              <w:rPr/>
            </w:pPr>
            <w:r>
              <w:rPr/>
              <w:t>-2%</w:t>
            </w:r>
          </w:p>
        </w:tc>
        <w:tc>
          <w:tcPr>
            <w:tcW w:w="70" w:type="dxa"/>
            <w:tcBorders/>
            <w:vAlign w:val="bottom"/>
          </w:tcPr>
          <w:p>
            <w:pPr>
              <w:pStyle w:val="TableContents"/>
              <w:bidi w:val="0"/>
              <w:spacing w:before="0" w:after="283"/>
              <w:jc w:val="left"/>
              <w:rPr/>
            </w:pPr>
            <w:r>
              <w:rPr/>
              <w:t> </w:t>
            </w:r>
          </w:p>
        </w:tc>
      </w:tr>
      <w:tr>
        <w:trPr/>
        <w:tc>
          <w:tcPr>
            <w:tcW w:w="3786" w:type="dxa"/>
            <w:tcBorders/>
            <w:shd w:fill="CCEEFF" w:val="clear"/>
            <w:vAlign w:val="bottom"/>
          </w:tcPr>
          <w:p>
            <w:pPr>
              <w:pStyle w:val="TableContents"/>
              <w:bidi w:val="0"/>
              <w:spacing w:before="0" w:after="0"/>
              <w:jc w:val="left"/>
              <w:rPr>
                <w:rFonts w:ascii="Arial" w:hAnsi="Arial"/>
                <w:sz w:val="20"/>
              </w:rPr>
            </w:pPr>
            <w:r>
              <w:rPr>
                <w:rFonts w:ascii="Arial" w:hAnsi="Arial"/>
                <w:sz w:val="20"/>
              </w:rPr>
              <w:t>Professional Services</w:t>
            </w:r>
          </w:p>
        </w:tc>
        <w:tc>
          <w:tcPr>
            <w:tcW w:w="251"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b/>
              </w:rPr>
            </w:pPr>
            <w:r>
              <w:rPr>
                <w:b/>
              </w:rPr>
              <w:t>153</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165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center"/>
              <w:rPr>
                <w:b/>
              </w:rPr>
            </w:pPr>
            <w:r>
              <w:rPr>
                <w:b/>
              </w:rPr>
              <w:t>-8%</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center"/>
              <w:rPr/>
            </w:pPr>
            <w:r>
              <w:rPr/>
              <w:t>-12%</w:t>
            </w:r>
          </w:p>
        </w:tc>
        <w:tc>
          <w:tcPr>
            <w:tcW w:w="70" w:type="dxa"/>
            <w:tcBorders/>
            <w:shd w:fill="CCEEFF" w:val="clear"/>
            <w:vAlign w:val="bottom"/>
          </w:tcPr>
          <w:p>
            <w:pPr>
              <w:pStyle w:val="TableContents"/>
              <w:bidi w:val="0"/>
              <w:spacing w:before="0" w:after="283"/>
              <w:jc w:val="left"/>
              <w:rPr/>
            </w:pPr>
            <w:r>
              <w:rPr/>
              <w:t> </w:t>
            </w:r>
          </w:p>
        </w:tc>
      </w:tr>
      <w:tr>
        <w:trPr/>
        <w:tc>
          <w:tcPr>
            <w:tcW w:w="3786"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786" w:type="dxa"/>
            <w:tcBorders/>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b/>
              </w:rPr>
            </w:pPr>
            <w:r>
              <w:rPr>
                <w:b/>
              </w:rPr>
              <w:t>$</w:t>
            </w:r>
          </w:p>
        </w:tc>
        <w:tc>
          <w:tcPr>
            <w:tcW w:w="651" w:type="dxa"/>
            <w:tcBorders/>
            <w:vAlign w:val="bottom"/>
          </w:tcPr>
          <w:p>
            <w:pPr>
              <w:pStyle w:val="TableContents"/>
              <w:bidi w:val="0"/>
              <w:spacing w:before="0" w:after="283"/>
              <w:jc w:val="right"/>
              <w:rPr>
                <w:b/>
              </w:rPr>
            </w:pPr>
            <w:r>
              <w:rPr>
                <w:b/>
              </w:rPr>
              <w:t>693</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697</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630" w:type="dxa"/>
            <w:tcBorders/>
            <w:vAlign w:val="bottom"/>
          </w:tcPr>
          <w:p>
            <w:pPr>
              <w:pStyle w:val="TableContents"/>
              <w:bidi w:val="0"/>
              <w:spacing w:before="0" w:after="283"/>
              <w:jc w:val="right"/>
              <w:rPr/>
            </w:pPr>
            <w:r>
              <w:rPr/>
              <w:t>658</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center"/>
              <w:rPr>
                <w:b/>
              </w:rPr>
            </w:pPr>
            <w:r>
              <w:rPr>
                <w:b/>
              </w:rPr>
              <w:t>-1%</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center"/>
              <w:rPr/>
            </w:pPr>
            <w:r>
              <w:rPr/>
              <w:t>5%</w:t>
            </w:r>
          </w:p>
        </w:tc>
        <w:tc>
          <w:tcPr>
            <w:tcW w:w="70" w:type="dxa"/>
            <w:tcBorders/>
            <w:vAlign w:val="bottom"/>
          </w:tcPr>
          <w:p>
            <w:pPr>
              <w:pStyle w:val="TableContents"/>
              <w:bidi w:val="0"/>
              <w:spacing w:before="0" w:after="283"/>
              <w:jc w:val="left"/>
              <w:rPr/>
            </w:pPr>
            <w:r>
              <w:rPr/>
              <w:t> </w:t>
            </w:r>
          </w:p>
        </w:tc>
      </w:tr>
      <w:tr>
        <w:trPr/>
        <w:tc>
          <w:tcPr>
            <w:tcW w:w="3786"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double" w:sz="6" w:space="1" w:color="000000"/>
              </w:pBdr>
              <w:bidi w:val="0"/>
              <w:spacing w:before="0" w:after="0"/>
              <w:jc w:val="left"/>
              <w:rPr/>
            </w:pPr>
            <w:r>
              <w:rPr/>
              <w:t> </w:t>
            </w:r>
          </w:p>
        </w:tc>
        <w:tc>
          <w:tcPr>
            <w:tcW w:w="9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Digital revenue from ChampionX includes $35 million in the third quarter 2026, $34 million in the second quarter 2026 and $20 million in the third quarter 2025. </w:t>
      </w:r>
    </w:p>
    <w:p>
      <w:pPr>
        <w:pStyle w:val="TextBody"/>
        <w:bidi w:val="0"/>
        <w:spacing w:before="240" w:after="0"/>
        <w:jc w:val="left"/>
        <w:rPr>
          <w:rFonts w:ascii="Arial" w:hAnsi="Arial"/>
          <w:sz w:val="20"/>
        </w:rPr>
      </w:pPr>
      <w:r>
        <w:rPr>
          <w:rFonts w:ascii="Arial" w:hAnsi="Arial"/>
          <w:sz w:val="20"/>
        </w:rPr>
        <w:t xml:space="preserve">Digital revenue of $693 million decreased 1% sequentially, primarily reflecting lower Digital Exploration revenue following strong sales of exploration data licenses and transfer fees in Brazil and Indonesia in the prior quarter. This decline was largely offset by higher Platforms &amp; Applications sales and continued growth in Digital Operations. </w:t>
      </w:r>
    </w:p>
    <w:p>
      <w:pPr>
        <w:pStyle w:val="TextBody"/>
        <w:bidi w:val="0"/>
        <w:spacing w:before="240" w:after="0"/>
        <w:jc w:val="left"/>
        <w:rPr>
          <w:rFonts w:ascii="Arial" w:hAnsi="Arial"/>
          <w:sz w:val="20"/>
        </w:rPr>
      </w:pPr>
      <w:r>
        <w:rPr>
          <w:rFonts w:ascii="Arial" w:hAnsi="Arial"/>
          <w:sz w:val="20"/>
        </w:rPr>
        <w:t xml:space="preserve">Year on year, revenue increased 5%, driven by continued growth in Digital Operations and higher Platforms &amp; Applications sales, partially offset by lower revenue in Professional Services and Digital Exploration. </w:t>
      </w:r>
    </w:p>
    <w:p>
      <w:pPr>
        <w:pStyle w:val="TextBody"/>
        <w:bidi w:val="0"/>
        <w:spacing w:before="240" w:after="0"/>
        <w:jc w:val="left"/>
        <w:rPr>
          <w:rFonts w:ascii="Arial" w:hAnsi="Arial"/>
          <w:sz w:val="20"/>
        </w:rPr>
      </w:pPr>
      <w:r>
        <w:rPr>
          <w:rFonts w:ascii="Arial" w:hAnsi="Arial"/>
          <w:sz w:val="20"/>
        </w:rPr>
        <w:t xml:space="preserve">Annualized Recurring Revenue (ARR) for the Digital division was $1.04 billion as of September 30, 2026, representing a 13% increase year on year, compared with $926 million as of September 30, 2025. </w:t>
      </w:r>
    </w:p>
    <w:p>
      <w:pPr>
        <w:pStyle w:val="TextBody"/>
        <w:bidi w:val="0"/>
        <w:spacing w:before="240" w:after="0"/>
        <w:jc w:val="left"/>
        <w:rPr>
          <w:rFonts w:ascii="Arial" w:hAnsi="Arial"/>
          <w:sz w:val="20"/>
        </w:rPr>
      </w:pPr>
      <w:r>
        <w:rPr>
          <w:rFonts w:ascii="Arial" w:hAnsi="Arial"/>
          <w:sz w:val="20"/>
        </w:rPr>
        <w:t xml:space="preserve">Digital pretax operating margin of 28% increased 27 basis points (bps) sequentially, primarily due to improved profitability in Platforms &amp; Applications and Digital Operations, partially offset by lower profitability in Digital Exploration following reduced sales of exploration data licenses and transfer fees. </w:t>
      </w:r>
    </w:p>
    <w:p>
      <w:pPr>
        <w:pStyle w:val="TextBody"/>
        <w:bidi w:val="0"/>
        <w:spacing w:before="240" w:after="0"/>
        <w:jc w:val="left"/>
        <w:rPr>
          <w:rFonts w:ascii="Arial" w:hAnsi="Arial"/>
          <w:sz w:val="20"/>
        </w:rPr>
      </w:pPr>
      <w:r>
        <w:rPr>
          <w:rFonts w:ascii="Arial" w:hAnsi="Arial"/>
          <w:sz w:val="20"/>
        </w:rPr>
        <w:t xml:space="preserve">Year on year, pretax operating margin contracted 36 bps, reflecting lower sales of exploration data licenses and transfer fees, partially offset by increased profitability in Digital Operations and Platforms &amp; Applications. </w:t>
      </w:r>
    </w:p>
    <w:p>
      <w:pPr>
        <w:pStyle w:val="TextBody"/>
        <w:bidi w:val="0"/>
        <w:spacing w:before="240" w:after="0"/>
        <w:jc w:val="left"/>
        <w:rPr>
          <w:rFonts w:ascii="Arial" w:hAnsi="Arial"/>
          <w:sz w:val="20"/>
        </w:rPr>
      </w:pPr>
      <w:r>
        <w:rPr>
          <w:rFonts w:ascii="Arial" w:hAnsi="Arial"/>
          <w:sz w:val="20"/>
        </w:rPr>
        <w:t xml:space="preserve">For a description of the revenue categories comprising the Digital Division, please refer to Question 10 of the Supplementary Information. Revenue, pretax operating income and adjusted EBITDA for the Digital Division for the first nine months of 2026 and 2025 are provided in Question 11. For the definition of ARR, please refer to Question 12.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Reservoir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4"/>
        <w:gridCol w:w="184"/>
        <w:gridCol w:w="178"/>
        <w:gridCol w:w="748"/>
        <w:gridCol w:w="322"/>
        <w:gridCol w:w="131"/>
        <w:gridCol w:w="140"/>
        <w:gridCol w:w="574"/>
        <w:gridCol w:w="282"/>
        <w:gridCol w:w="131"/>
        <w:gridCol w:w="172"/>
        <w:gridCol w:w="688"/>
        <w:gridCol w:w="282"/>
        <w:gridCol w:w="130"/>
        <w:gridCol w:w="75"/>
        <w:gridCol w:w="1052"/>
        <w:gridCol w:w="60"/>
        <w:gridCol w:w="131"/>
        <w:gridCol w:w="84"/>
        <w:gridCol w:w="1256"/>
        <w:gridCol w:w="71"/>
      </w:tblGrid>
      <w:tr>
        <w:trPr/>
        <w:tc>
          <w:tcPr>
            <w:tcW w:w="351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51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436" w:type="dxa"/>
            <w:gridSpan w:val="18"/>
            <w:tcBorders/>
            <w:vAlign w:val="bottom"/>
          </w:tcPr>
          <w:p>
            <w:pPr>
              <w:pStyle w:val="TableContents"/>
              <w:bidi w:val="0"/>
              <w:spacing w:before="0" w:after="283"/>
              <w:jc w:val="right"/>
              <w:rPr/>
            </w:pPr>
            <w:r>
              <w:rPr/>
              <w:t>(Stated in millions)</w:t>
            </w:r>
          </w:p>
        </w:tc>
        <w:tc>
          <w:tcPr>
            <w:tcW w:w="71" w:type="dxa"/>
            <w:tcBorders/>
            <w:vAlign w:val="bottom"/>
          </w:tcPr>
          <w:p>
            <w:pPr>
              <w:pStyle w:val="TableContents"/>
              <w:bidi w:val="0"/>
              <w:spacing w:before="0" w:after="283"/>
              <w:jc w:val="left"/>
              <w:rPr/>
            </w:pPr>
            <w:r>
              <w:rPr/>
              <w:t> </w:t>
            </w:r>
          </w:p>
        </w:tc>
      </w:tr>
      <w:tr>
        <w:trPr/>
        <w:tc>
          <w:tcPr>
            <w:tcW w:w="351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36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71" w:type="dxa"/>
            <w:tcBorders/>
            <w:vAlign w:val="bottom"/>
          </w:tcPr>
          <w:p>
            <w:pPr>
              <w:pStyle w:val="TableContents"/>
              <w:bidi w:val="0"/>
              <w:spacing w:before="0" w:after="283"/>
              <w:jc w:val="left"/>
              <w:rPr/>
            </w:pPr>
            <w:r>
              <w:rPr/>
              <w:t> </w:t>
            </w:r>
          </w:p>
        </w:tc>
      </w:tr>
      <w:tr>
        <w:trPr/>
        <w:tc>
          <w:tcPr>
            <w:tcW w:w="351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32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2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28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71" w:type="dxa"/>
            <w:tcBorders/>
            <w:vAlign w:val="bottom"/>
          </w:tcPr>
          <w:p>
            <w:pPr>
              <w:pStyle w:val="TableContents"/>
              <w:bidi w:val="0"/>
              <w:spacing w:before="0" w:after="283"/>
              <w:jc w:val="left"/>
              <w:rPr/>
            </w:pPr>
            <w:r>
              <w:rPr/>
              <w:t> </w:t>
            </w:r>
          </w:p>
        </w:tc>
      </w:tr>
      <w:tr>
        <w:trPr/>
        <w:tc>
          <w:tcPr>
            <w:tcW w:w="3514"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514" w:type="dxa"/>
            <w:tcBorders/>
          </w:tcPr>
          <w:p>
            <w:pPr>
              <w:pStyle w:val="TableContents"/>
              <w:bidi w:val="0"/>
              <w:spacing w:before="0" w:after="0"/>
              <w:jc w:val="left"/>
              <w:rPr>
                <w:rFonts w:ascii="Arial" w:hAnsi="Arial"/>
                <w:sz w:val="20"/>
              </w:rPr>
            </w:pPr>
            <w:r>
              <w:rPr>
                <w:rFonts w:ascii="Arial" w:hAnsi="Arial"/>
                <w:sz w:val="20"/>
              </w:rPr>
              <w:t>International</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48" w:type="dxa"/>
            <w:tcBorders/>
            <w:vAlign w:val="bottom"/>
          </w:tcPr>
          <w:p>
            <w:pPr>
              <w:pStyle w:val="TableContents"/>
              <w:bidi w:val="0"/>
              <w:spacing w:before="0" w:after="283"/>
              <w:jc w:val="right"/>
              <w:rPr>
                <w:b/>
              </w:rPr>
            </w:pPr>
            <w:r>
              <w:rPr>
                <w:b/>
              </w:rPr>
              <w:t>1,472</w:t>
            </w:r>
          </w:p>
        </w:tc>
        <w:tc>
          <w:tcPr>
            <w:tcW w:w="32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1,409</w:t>
            </w:r>
          </w:p>
        </w:tc>
        <w:tc>
          <w:tcPr>
            <w:tcW w:w="2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1,536</w:t>
            </w:r>
          </w:p>
        </w:tc>
        <w:tc>
          <w:tcPr>
            <w:tcW w:w="28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center"/>
              <w:rPr>
                <w:b/>
              </w:rPr>
            </w:pPr>
            <w:r>
              <w:rPr>
                <w:b/>
              </w:rPr>
              <w:t>4%</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-4%</w:t>
            </w:r>
          </w:p>
        </w:tc>
        <w:tc>
          <w:tcPr>
            <w:tcW w:w="71" w:type="dxa"/>
            <w:tcBorders/>
            <w:vAlign w:val="bottom"/>
          </w:tcPr>
          <w:p>
            <w:pPr>
              <w:pStyle w:val="TableContents"/>
              <w:bidi w:val="0"/>
              <w:spacing w:before="0" w:after="283"/>
              <w:jc w:val="left"/>
              <w:rPr/>
            </w:pPr>
            <w:r>
              <w:rPr/>
              <w:t> </w:t>
            </w:r>
          </w:p>
        </w:tc>
      </w:tr>
      <w:tr>
        <w:trPr/>
        <w:tc>
          <w:tcPr>
            <w:tcW w:w="3514"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b/>
              </w:rPr>
            </w:pPr>
            <w:r>
              <w:rPr>
                <w:b/>
              </w:rPr>
              <w:t>154</w:t>
            </w:r>
          </w:p>
        </w:tc>
        <w:tc>
          <w:tcPr>
            <w:tcW w:w="32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147</w:t>
            </w:r>
          </w:p>
        </w:tc>
        <w:tc>
          <w:tcPr>
            <w:tcW w:w="2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143</w:t>
            </w:r>
          </w:p>
        </w:tc>
        <w:tc>
          <w:tcPr>
            <w:tcW w:w="282"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center"/>
              <w:rPr>
                <w:b/>
              </w:rPr>
            </w:pPr>
            <w:r>
              <w:rPr>
                <w:b/>
              </w:rPr>
              <w:t>5%</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8%</w:t>
            </w:r>
          </w:p>
        </w:tc>
        <w:tc>
          <w:tcPr>
            <w:tcW w:w="71" w:type="dxa"/>
            <w:tcBorders/>
            <w:shd w:fill="CCEEFF" w:val="clear"/>
            <w:vAlign w:val="bottom"/>
          </w:tcPr>
          <w:p>
            <w:pPr>
              <w:pStyle w:val="TableContents"/>
              <w:bidi w:val="0"/>
              <w:spacing w:before="0" w:after="283"/>
              <w:jc w:val="left"/>
              <w:rPr/>
            </w:pPr>
            <w:r>
              <w:rPr/>
              <w:t> </w:t>
            </w:r>
          </w:p>
        </w:tc>
      </w:tr>
      <w:tr>
        <w:trPr/>
        <w:tc>
          <w:tcPr>
            <w:tcW w:w="3514" w:type="dxa"/>
            <w:tcBorders/>
          </w:tcPr>
          <w:p>
            <w:pPr>
              <w:pStyle w:val="TableContents"/>
              <w:bidi w:val="0"/>
              <w:spacing w:before="0" w:after="0"/>
              <w:jc w:val="left"/>
              <w:rPr>
                <w:rFonts w:ascii="Arial" w:hAnsi="Arial"/>
                <w:sz w:val="20"/>
              </w:rPr>
            </w:pPr>
            <w:r>
              <w:rPr>
                <w:rFonts w:ascii="Arial" w:hAnsi="Arial"/>
                <w:sz w:val="20"/>
              </w:rPr>
              <w:t>Other</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b/>
              </w:rPr>
            </w:pPr>
            <w:r>
              <w:rPr>
                <w:b/>
              </w:rPr>
              <w:t>8</w:t>
            </w:r>
          </w:p>
        </w:tc>
        <w:tc>
          <w:tcPr>
            <w:tcW w:w="32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3</w:t>
            </w:r>
          </w:p>
        </w:tc>
        <w:tc>
          <w:tcPr>
            <w:tcW w:w="28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n/m</w:t>
            </w:r>
          </w:p>
        </w:tc>
        <w:tc>
          <w:tcPr>
            <w:tcW w:w="71" w:type="dxa"/>
            <w:tcBorders/>
            <w:vAlign w:val="bottom"/>
          </w:tcPr>
          <w:p>
            <w:pPr>
              <w:pStyle w:val="TableContents"/>
              <w:bidi w:val="0"/>
              <w:spacing w:before="0" w:after="283"/>
              <w:jc w:val="left"/>
              <w:rPr/>
            </w:pPr>
            <w:r>
              <w:rPr/>
              <w:t> </w:t>
            </w:r>
          </w:p>
        </w:tc>
      </w:tr>
      <w:tr>
        <w:trPr/>
        <w:tc>
          <w:tcPr>
            <w:tcW w:w="351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4"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48" w:type="dxa"/>
            <w:tcBorders/>
            <w:shd w:fill="CCEEFF" w:val="clear"/>
            <w:vAlign w:val="bottom"/>
          </w:tcPr>
          <w:p>
            <w:pPr>
              <w:pStyle w:val="TableContents"/>
              <w:bidi w:val="0"/>
              <w:spacing w:before="0" w:after="283"/>
              <w:jc w:val="right"/>
              <w:rPr>
                <w:b/>
              </w:rPr>
            </w:pPr>
            <w:r>
              <w:rPr>
                <w:b/>
              </w:rPr>
              <w:t>1,634</w:t>
            </w:r>
          </w:p>
        </w:tc>
        <w:tc>
          <w:tcPr>
            <w:tcW w:w="32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1,556</w:t>
            </w:r>
          </w:p>
        </w:tc>
        <w:tc>
          <w:tcPr>
            <w:tcW w:w="2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1,682</w:t>
            </w:r>
          </w:p>
        </w:tc>
        <w:tc>
          <w:tcPr>
            <w:tcW w:w="282"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center"/>
              <w:rPr>
                <w:b/>
              </w:rPr>
            </w:pPr>
            <w:r>
              <w:rPr>
                <w:b/>
              </w:rPr>
              <w:t>5%</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-3%</w:t>
            </w:r>
          </w:p>
        </w:tc>
        <w:tc>
          <w:tcPr>
            <w:tcW w:w="71" w:type="dxa"/>
            <w:tcBorders/>
            <w:shd w:fill="CCEEFF" w:val="clear"/>
            <w:vAlign w:val="bottom"/>
          </w:tcPr>
          <w:p>
            <w:pPr>
              <w:pStyle w:val="TableContents"/>
              <w:bidi w:val="0"/>
              <w:spacing w:before="0" w:after="283"/>
              <w:jc w:val="left"/>
              <w:rPr/>
            </w:pPr>
            <w:r>
              <w:rPr/>
              <w:t> </w:t>
            </w:r>
          </w:p>
        </w:tc>
      </w:tr>
      <w:tr>
        <w:trPr/>
        <w:tc>
          <w:tcPr>
            <w:tcW w:w="351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48"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4" w:type="dxa"/>
            <w:tcBorders/>
            <w:vAlign w:val="bottom"/>
          </w:tcPr>
          <w:p>
            <w:pPr>
              <w:pStyle w:val="TableContents"/>
              <w:bidi w:val="0"/>
              <w:spacing w:before="0" w:after="0"/>
              <w:jc w:val="left"/>
              <w:rPr>
                <w:rFonts w:ascii="Arial" w:hAnsi="Arial"/>
                <w:sz w:val="20"/>
              </w:rPr>
            </w:pPr>
            <w:r>
              <w:rPr>
                <w:rFonts w:ascii="Arial" w:hAnsi="Arial"/>
                <w:sz w:val="20"/>
              </w:rPr>
              <w:t>Pretax operating income</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48" w:type="dxa"/>
            <w:tcBorders/>
            <w:vAlign w:val="bottom"/>
          </w:tcPr>
          <w:p>
            <w:pPr>
              <w:pStyle w:val="TableContents"/>
              <w:bidi w:val="0"/>
              <w:spacing w:before="0" w:after="283"/>
              <w:jc w:val="right"/>
              <w:rPr>
                <w:b/>
              </w:rPr>
            </w:pPr>
            <w:r>
              <w:rPr>
                <w:b/>
              </w:rPr>
              <w:t>266</w:t>
            </w:r>
          </w:p>
        </w:tc>
        <w:tc>
          <w:tcPr>
            <w:tcW w:w="32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232</w:t>
            </w:r>
          </w:p>
        </w:tc>
        <w:tc>
          <w:tcPr>
            <w:tcW w:w="2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312</w:t>
            </w:r>
          </w:p>
        </w:tc>
        <w:tc>
          <w:tcPr>
            <w:tcW w:w="28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center"/>
              <w:rPr>
                <w:b/>
              </w:rPr>
            </w:pPr>
            <w:r>
              <w:rPr>
                <w:b/>
              </w:rPr>
              <w:t>15%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-15%</w:t>
            </w:r>
          </w:p>
        </w:tc>
        <w:tc>
          <w:tcPr>
            <w:tcW w:w="71" w:type="dxa"/>
            <w:tcBorders/>
            <w:vAlign w:val="bottom"/>
          </w:tcPr>
          <w:p>
            <w:pPr>
              <w:pStyle w:val="TableContents"/>
              <w:bidi w:val="0"/>
              <w:spacing w:before="0" w:after="283"/>
              <w:jc w:val="left"/>
              <w:rPr/>
            </w:pPr>
            <w:r>
              <w:rPr/>
              <w:t> </w:t>
            </w:r>
          </w:p>
        </w:tc>
      </w:tr>
      <w:tr>
        <w:trPr/>
        <w:tc>
          <w:tcPr>
            <w:tcW w:w="3514" w:type="dxa"/>
            <w:tcBorders/>
            <w:shd w:fill="CCEEFF" w:val="clear"/>
            <w:vAlign w:val="bottom"/>
          </w:tcPr>
          <w:p>
            <w:pPr>
              <w:pStyle w:val="TableContents"/>
              <w:bidi w:val="0"/>
              <w:spacing w:before="0" w:after="0"/>
              <w:jc w:val="left"/>
              <w:rPr>
                <w:rFonts w:ascii="Arial" w:hAnsi="Arial"/>
                <w:sz w:val="20"/>
              </w:rPr>
            </w:pPr>
            <w:r>
              <w:rPr>
                <w:rFonts w:ascii="Arial" w:hAnsi="Arial"/>
                <w:sz w:val="20"/>
              </w:rPr>
              <w:t>Pretax operating margin</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b/>
              </w:rPr>
            </w:pPr>
            <w:r>
              <w:rPr>
                <w:b/>
              </w:rPr>
              <w:t>16.3</w:t>
            </w:r>
          </w:p>
        </w:tc>
        <w:tc>
          <w:tcPr>
            <w:tcW w:w="322" w:type="dxa"/>
            <w:tcBorders/>
            <w:shd w:fill="CCEEFF" w:val="clear"/>
            <w:vAlign w:val="bottom"/>
          </w:tcPr>
          <w:p>
            <w:pPr>
              <w:pStyle w:val="TableContents"/>
              <w:bidi w:val="0"/>
              <w:spacing w:before="0" w:after="283"/>
              <w:jc w:val="left"/>
              <w:rPr>
                <w:b/>
              </w:rPr>
            </w:pPr>
            <w:r>
              <w:rPr>
                <w:b/>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14.9</w:t>
            </w:r>
          </w:p>
        </w:tc>
        <w:tc>
          <w:tcPr>
            <w:tcW w:w="2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18.5</w:t>
            </w:r>
          </w:p>
        </w:tc>
        <w:tc>
          <w:tcPr>
            <w:tcW w:w="282"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center"/>
              <w:rPr>
                <w:b/>
              </w:rPr>
            </w:pPr>
            <w:r>
              <w:rPr>
                <w:b/>
              </w:rPr>
              <w:t>140 bps</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-223 bps</w:t>
            </w:r>
          </w:p>
        </w:tc>
        <w:tc>
          <w:tcPr>
            <w:tcW w:w="71" w:type="dxa"/>
            <w:tcBorders/>
            <w:shd w:fill="CCEEFF" w:val="clear"/>
            <w:vAlign w:val="bottom"/>
          </w:tcPr>
          <w:p>
            <w:pPr>
              <w:pStyle w:val="TableContents"/>
              <w:bidi w:val="0"/>
              <w:spacing w:before="0" w:after="283"/>
              <w:jc w:val="left"/>
              <w:rPr/>
            </w:pPr>
            <w:r>
              <w:rPr/>
              <w:t> </w:t>
            </w:r>
          </w:p>
        </w:tc>
      </w:tr>
      <w:tr>
        <w:trPr/>
        <w:tc>
          <w:tcPr>
            <w:tcW w:w="3514" w:type="dxa"/>
            <w:tcBorders/>
            <w:vAlign w:val="bottom"/>
          </w:tcPr>
          <w:p>
            <w:pPr>
              <w:pStyle w:val="TableContents"/>
              <w:bidi w:val="0"/>
              <w:spacing w:before="0" w:after="0"/>
              <w:jc w:val="left"/>
              <w:rPr>
                <w:rFonts w:ascii="Arial" w:hAnsi="Arial"/>
                <w:sz w:val="20"/>
              </w:rPr>
            </w:pPr>
            <w:r>
              <w:rPr>
                <w:rFonts w:ascii="Arial" w:hAnsi="Arial"/>
                <w:sz w:val="20"/>
              </w:rPr>
              <w:t>Adjusted EBITDA*</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48" w:type="dxa"/>
            <w:tcBorders/>
            <w:vAlign w:val="bottom"/>
          </w:tcPr>
          <w:p>
            <w:pPr>
              <w:pStyle w:val="TableContents"/>
              <w:bidi w:val="0"/>
              <w:spacing w:before="0" w:after="283"/>
              <w:jc w:val="right"/>
              <w:rPr>
                <w:b/>
              </w:rPr>
            </w:pPr>
            <w:r>
              <w:rPr>
                <w:b/>
              </w:rPr>
              <w:t>384</w:t>
            </w:r>
          </w:p>
        </w:tc>
        <w:tc>
          <w:tcPr>
            <w:tcW w:w="32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349</w:t>
            </w:r>
          </w:p>
        </w:tc>
        <w:tc>
          <w:tcPr>
            <w:tcW w:w="2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422</w:t>
            </w:r>
          </w:p>
        </w:tc>
        <w:tc>
          <w:tcPr>
            <w:tcW w:w="28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center"/>
              <w:rPr>
                <w:b/>
              </w:rPr>
            </w:pPr>
            <w:r>
              <w:rPr>
                <w:b/>
              </w:rPr>
              <w:t>10%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-9%</w:t>
            </w:r>
          </w:p>
        </w:tc>
        <w:tc>
          <w:tcPr>
            <w:tcW w:w="71" w:type="dxa"/>
            <w:tcBorders/>
            <w:vAlign w:val="bottom"/>
          </w:tcPr>
          <w:p>
            <w:pPr>
              <w:pStyle w:val="TableContents"/>
              <w:bidi w:val="0"/>
              <w:spacing w:before="0" w:after="283"/>
              <w:jc w:val="left"/>
              <w:rPr/>
            </w:pPr>
            <w:r>
              <w:rPr/>
              <w:t> </w:t>
            </w:r>
          </w:p>
        </w:tc>
      </w:tr>
      <w:tr>
        <w:trPr/>
        <w:tc>
          <w:tcPr>
            <w:tcW w:w="3514"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b/>
              </w:rPr>
            </w:pPr>
            <w:r>
              <w:rPr>
                <w:b/>
              </w:rPr>
              <w:t>23.5</w:t>
            </w:r>
          </w:p>
        </w:tc>
        <w:tc>
          <w:tcPr>
            <w:tcW w:w="322" w:type="dxa"/>
            <w:tcBorders/>
            <w:shd w:fill="CCEEFF" w:val="clear"/>
            <w:vAlign w:val="bottom"/>
          </w:tcPr>
          <w:p>
            <w:pPr>
              <w:pStyle w:val="TableContents"/>
              <w:bidi w:val="0"/>
              <w:spacing w:before="0" w:after="283"/>
              <w:jc w:val="left"/>
              <w:rPr>
                <w:b/>
              </w:rPr>
            </w:pPr>
            <w:r>
              <w:rPr>
                <w:b/>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22.4</w:t>
            </w:r>
          </w:p>
        </w:tc>
        <w:tc>
          <w:tcPr>
            <w:tcW w:w="2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25.1</w:t>
            </w:r>
          </w:p>
        </w:tc>
        <w:tc>
          <w:tcPr>
            <w:tcW w:w="282"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center"/>
              <w:rPr>
                <w:b/>
              </w:rPr>
            </w:pPr>
            <w:r>
              <w:rPr>
                <w:b/>
              </w:rPr>
              <w:t>110 bps</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-159 bps</w:t>
            </w:r>
          </w:p>
        </w:tc>
        <w:tc>
          <w:tcPr>
            <w:tcW w:w="7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reconciliation in the section “Supplementary Information” for details.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Reservoir Performance revenue of $1.63 billion increased 5% sequentially, driven by higher intervention, evaluation and stimulation services, particularly in the Middle East. Growth in Europe &amp; Africa was led by stronger offshore activity in Nigeria and Kazakhstan, while Latin America benefited from double-digit growth in Mexico, Guyana and Brazil, partially offset by lower unconventional activity in Argentina. North America increased on stronger U.S. land evaluation and intervention services. </w:t>
      </w:r>
    </w:p>
    <w:p>
      <w:pPr>
        <w:pStyle w:val="TextBody"/>
        <w:bidi w:val="0"/>
        <w:spacing w:before="240" w:after="0"/>
        <w:jc w:val="left"/>
        <w:rPr>
          <w:rFonts w:ascii="Arial" w:hAnsi="Arial"/>
          <w:sz w:val="20"/>
        </w:rPr>
      </w:pPr>
      <w:r>
        <w:rPr>
          <w:rFonts w:ascii="Arial" w:hAnsi="Arial"/>
          <w:sz w:val="20"/>
        </w:rPr>
        <w:t xml:space="preserve">Year on year, revenue decreased 3%, reflecting the lingering impact of Middle East conflict-related disruptions and lower unconventional activity in Argentina. These effects were partially offset by growth in North America and stronger offshore markets in Europe &amp; Africa and Asia. </w:t>
      </w:r>
    </w:p>
    <w:p>
      <w:pPr>
        <w:pStyle w:val="TextBody"/>
        <w:bidi w:val="0"/>
        <w:spacing w:before="240" w:after="0"/>
        <w:jc w:val="left"/>
        <w:rPr>
          <w:rFonts w:ascii="Arial" w:hAnsi="Arial"/>
          <w:sz w:val="20"/>
        </w:rPr>
      </w:pPr>
      <w:r>
        <w:rPr>
          <w:rFonts w:ascii="Arial" w:hAnsi="Arial"/>
          <w:sz w:val="20"/>
        </w:rPr>
        <w:t xml:space="preserve">Reservoir Performance pretax operating margin of 16% increased 140 bps sequentially, driven by improved profitability in the Middle East as operations recovered, particularly across evaluation, stimulation and intervention services. Higher offshore activity in Europe &amp; Africa also contributed to margin expansion. </w:t>
      </w:r>
    </w:p>
    <w:p>
      <w:pPr>
        <w:pStyle w:val="TextBody"/>
        <w:bidi w:val="0"/>
        <w:spacing w:before="240" w:after="0"/>
        <w:jc w:val="left"/>
        <w:rPr>
          <w:rFonts w:ascii="Arial" w:hAnsi="Arial"/>
          <w:sz w:val="20"/>
        </w:rPr>
      </w:pPr>
      <w:r>
        <w:rPr>
          <w:rFonts w:ascii="Arial" w:hAnsi="Arial"/>
          <w:sz w:val="20"/>
        </w:rPr>
        <w:t xml:space="preserve">Year on year, pretax operating margin declined 223 bps, primarily due to lower profitability in the Middle East, where activity levels remained below those of the prior year despite the sequential recovery. This decline was partially offset by improved profitability in Europe &amp; Africa, driven by stronger offshore activity.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Well Construction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7"/>
        <w:gridCol w:w="183"/>
        <w:gridCol w:w="178"/>
        <w:gridCol w:w="748"/>
        <w:gridCol w:w="323"/>
        <w:gridCol w:w="130"/>
        <w:gridCol w:w="154"/>
        <w:gridCol w:w="624"/>
        <w:gridCol w:w="283"/>
        <w:gridCol w:w="130"/>
        <w:gridCol w:w="172"/>
        <w:gridCol w:w="688"/>
        <w:gridCol w:w="283"/>
        <w:gridCol w:w="129"/>
        <w:gridCol w:w="75"/>
        <w:gridCol w:w="1052"/>
        <w:gridCol w:w="60"/>
        <w:gridCol w:w="130"/>
        <w:gridCol w:w="84"/>
        <w:gridCol w:w="1256"/>
        <w:gridCol w:w="66"/>
      </w:tblGrid>
      <w:tr>
        <w:trPr/>
        <w:tc>
          <w:tcPr>
            <w:tcW w:w="3457"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5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499" w:type="dxa"/>
            <w:gridSpan w:val="18"/>
            <w:tcBorders/>
            <w:vAlign w:val="bottom"/>
          </w:tcPr>
          <w:p>
            <w:pPr>
              <w:pStyle w:val="TableContents"/>
              <w:bidi w:val="0"/>
              <w:spacing w:before="0" w:after="283"/>
              <w:jc w:val="right"/>
              <w:rPr/>
            </w:pPr>
            <w:r>
              <w:rPr/>
              <w:t>(Stated in millions)</w:t>
            </w:r>
          </w:p>
        </w:tc>
        <w:tc>
          <w:tcPr>
            <w:tcW w:w="66" w:type="dxa"/>
            <w:tcBorders/>
            <w:vAlign w:val="bottom"/>
          </w:tcPr>
          <w:p>
            <w:pPr>
              <w:pStyle w:val="TableContents"/>
              <w:bidi w:val="0"/>
              <w:spacing w:before="0" w:after="283"/>
              <w:jc w:val="left"/>
              <w:rPr/>
            </w:pPr>
            <w:r>
              <w:rPr/>
              <w:t> </w:t>
            </w:r>
          </w:p>
        </w:tc>
      </w:tr>
      <w:tr>
        <w:trPr/>
        <w:tc>
          <w:tcPr>
            <w:tcW w:w="345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3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6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6" w:type="dxa"/>
            <w:tcBorders/>
            <w:vAlign w:val="bottom"/>
          </w:tcPr>
          <w:p>
            <w:pPr>
              <w:pStyle w:val="TableContents"/>
              <w:bidi w:val="0"/>
              <w:spacing w:before="0" w:after="283"/>
              <w:jc w:val="left"/>
              <w:rPr/>
            </w:pPr>
            <w:r>
              <w:rPr/>
              <w:t> </w:t>
            </w:r>
          </w:p>
        </w:tc>
      </w:tr>
      <w:tr>
        <w:trPr/>
        <w:tc>
          <w:tcPr>
            <w:tcW w:w="345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32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28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28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6" w:type="dxa"/>
            <w:tcBorders/>
            <w:vAlign w:val="bottom"/>
          </w:tcPr>
          <w:p>
            <w:pPr>
              <w:pStyle w:val="TableContents"/>
              <w:bidi w:val="0"/>
              <w:spacing w:before="0" w:after="283"/>
              <w:jc w:val="left"/>
              <w:rPr/>
            </w:pPr>
            <w:r>
              <w:rPr/>
              <w:t> </w:t>
            </w:r>
          </w:p>
        </w:tc>
      </w:tr>
      <w:tr>
        <w:trPr/>
        <w:tc>
          <w:tcPr>
            <w:tcW w:w="3457"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457" w:type="dxa"/>
            <w:tcBorders/>
          </w:tcPr>
          <w:p>
            <w:pPr>
              <w:pStyle w:val="TableContents"/>
              <w:bidi w:val="0"/>
              <w:spacing w:before="0" w:after="0"/>
              <w:jc w:val="left"/>
              <w:rPr>
                <w:rFonts w:ascii="Arial" w:hAnsi="Arial"/>
                <w:sz w:val="20"/>
              </w:rPr>
            </w:pPr>
            <w:r>
              <w:rPr>
                <w:rFonts w:ascii="Arial" w:hAnsi="Arial"/>
                <w:sz w:val="20"/>
              </w:rPr>
              <w:t>International</w:t>
            </w:r>
          </w:p>
        </w:tc>
        <w:tc>
          <w:tcPr>
            <w:tcW w:w="18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48" w:type="dxa"/>
            <w:tcBorders/>
            <w:vAlign w:val="bottom"/>
          </w:tcPr>
          <w:p>
            <w:pPr>
              <w:pStyle w:val="TableContents"/>
              <w:bidi w:val="0"/>
              <w:spacing w:before="0" w:after="283"/>
              <w:jc w:val="right"/>
              <w:rPr>
                <w:b/>
              </w:rPr>
            </w:pPr>
            <w:r>
              <w:rPr>
                <w:b/>
              </w:rPr>
              <w:t>2,274</w:t>
            </w:r>
          </w:p>
        </w:tc>
        <w:tc>
          <w:tcPr>
            <w:tcW w:w="32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2,156</w:t>
            </w:r>
          </w:p>
        </w:tc>
        <w:tc>
          <w:tcPr>
            <w:tcW w:w="28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2,371</w:t>
            </w:r>
          </w:p>
        </w:tc>
        <w:tc>
          <w:tcPr>
            <w:tcW w:w="28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center"/>
              <w:rPr>
                <w:b/>
              </w:rPr>
            </w:pPr>
            <w:r>
              <w:rPr>
                <w:b/>
              </w:rPr>
              <w:t>5%</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-4%</w:t>
            </w:r>
          </w:p>
        </w:tc>
        <w:tc>
          <w:tcPr>
            <w:tcW w:w="66" w:type="dxa"/>
            <w:tcBorders/>
            <w:vAlign w:val="bottom"/>
          </w:tcPr>
          <w:p>
            <w:pPr>
              <w:pStyle w:val="TableContents"/>
              <w:bidi w:val="0"/>
              <w:spacing w:before="0" w:after="283"/>
              <w:jc w:val="left"/>
              <w:rPr/>
            </w:pPr>
            <w:r>
              <w:rPr/>
              <w:t> </w:t>
            </w:r>
          </w:p>
        </w:tc>
      </w:tr>
      <w:tr>
        <w:trPr/>
        <w:tc>
          <w:tcPr>
            <w:tcW w:w="3457"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b/>
              </w:rPr>
            </w:pPr>
            <w:r>
              <w:rPr>
                <w:b/>
              </w:rPr>
              <w:t>579</w:t>
            </w:r>
          </w:p>
        </w:tc>
        <w:tc>
          <w:tcPr>
            <w:tcW w:w="323"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549</w:t>
            </w:r>
          </w:p>
        </w:tc>
        <w:tc>
          <w:tcPr>
            <w:tcW w:w="283"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527</w:t>
            </w:r>
          </w:p>
        </w:tc>
        <w:tc>
          <w:tcPr>
            <w:tcW w:w="28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center"/>
              <w:rPr>
                <w:b/>
              </w:rPr>
            </w:pPr>
            <w:r>
              <w:rPr>
                <w:b/>
              </w:rPr>
              <w:t>5%</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10%</w:t>
            </w:r>
          </w:p>
        </w:tc>
        <w:tc>
          <w:tcPr>
            <w:tcW w:w="66" w:type="dxa"/>
            <w:tcBorders/>
            <w:shd w:fill="CCEEFF" w:val="clear"/>
            <w:vAlign w:val="bottom"/>
          </w:tcPr>
          <w:p>
            <w:pPr>
              <w:pStyle w:val="TableContents"/>
              <w:bidi w:val="0"/>
              <w:spacing w:before="0" w:after="283"/>
              <w:jc w:val="left"/>
              <w:rPr/>
            </w:pPr>
            <w:r>
              <w:rPr/>
              <w:t> </w:t>
            </w:r>
          </w:p>
        </w:tc>
      </w:tr>
      <w:tr>
        <w:trPr/>
        <w:tc>
          <w:tcPr>
            <w:tcW w:w="3457" w:type="dxa"/>
            <w:tcBorders/>
          </w:tcPr>
          <w:p>
            <w:pPr>
              <w:pStyle w:val="TableContents"/>
              <w:bidi w:val="0"/>
              <w:spacing w:before="0" w:after="0"/>
              <w:jc w:val="left"/>
              <w:rPr>
                <w:rFonts w:ascii="Arial" w:hAnsi="Arial"/>
                <w:sz w:val="20"/>
              </w:rPr>
            </w:pPr>
            <w:r>
              <w:rPr>
                <w:rFonts w:ascii="Arial" w:hAnsi="Arial"/>
                <w:sz w:val="20"/>
              </w:rPr>
              <w:t>Other</w:t>
            </w:r>
          </w:p>
        </w:tc>
        <w:tc>
          <w:tcPr>
            <w:tcW w:w="18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b/>
              </w:rPr>
            </w:pPr>
            <w:r>
              <w:rPr>
                <w:b/>
              </w:rPr>
              <w:t>35</w:t>
            </w:r>
          </w:p>
        </w:tc>
        <w:tc>
          <w:tcPr>
            <w:tcW w:w="32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37</w:t>
            </w:r>
          </w:p>
        </w:tc>
        <w:tc>
          <w:tcPr>
            <w:tcW w:w="28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69</w:t>
            </w:r>
          </w:p>
        </w:tc>
        <w:tc>
          <w:tcPr>
            <w:tcW w:w="28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n/m</w:t>
            </w:r>
          </w:p>
        </w:tc>
        <w:tc>
          <w:tcPr>
            <w:tcW w:w="66" w:type="dxa"/>
            <w:tcBorders/>
            <w:vAlign w:val="bottom"/>
          </w:tcPr>
          <w:p>
            <w:pPr>
              <w:pStyle w:val="TableContents"/>
              <w:bidi w:val="0"/>
              <w:spacing w:before="0" w:after="283"/>
              <w:jc w:val="left"/>
              <w:rPr/>
            </w:pPr>
            <w:r>
              <w:rPr/>
              <w:t> </w:t>
            </w:r>
          </w:p>
        </w:tc>
      </w:tr>
      <w:tr>
        <w:trPr/>
        <w:tc>
          <w:tcPr>
            <w:tcW w:w="345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457" w:type="dxa"/>
            <w:tcBorders/>
            <w:shd w:fill="CCEEFF" w:val="clear"/>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48" w:type="dxa"/>
            <w:tcBorders/>
            <w:shd w:fill="CCEEFF" w:val="clear"/>
            <w:vAlign w:val="bottom"/>
          </w:tcPr>
          <w:p>
            <w:pPr>
              <w:pStyle w:val="TableContents"/>
              <w:bidi w:val="0"/>
              <w:spacing w:before="0" w:after="283"/>
              <w:jc w:val="right"/>
              <w:rPr>
                <w:b/>
              </w:rPr>
            </w:pPr>
            <w:r>
              <w:rPr>
                <w:b/>
              </w:rPr>
              <w:t>2,888</w:t>
            </w:r>
          </w:p>
        </w:tc>
        <w:tc>
          <w:tcPr>
            <w:tcW w:w="323"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2,742</w:t>
            </w:r>
          </w:p>
        </w:tc>
        <w:tc>
          <w:tcPr>
            <w:tcW w:w="283"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2,967</w:t>
            </w:r>
          </w:p>
        </w:tc>
        <w:tc>
          <w:tcPr>
            <w:tcW w:w="28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center"/>
              <w:rPr>
                <w:b/>
              </w:rPr>
            </w:pPr>
            <w:r>
              <w:rPr>
                <w:b/>
              </w:rPr>
              <w:t>5%</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-3%</w:t>
            </w:r>
          </w:p>
        </w:tc>
        <w:tc>
          <w:tcPr>
            <w:tcW w:w="66" w:type="dxa"/>
            <w:tcBorders/>
            <w:shd w:fill="CCEEFF" w:val="clear"/>
            <w:vAlign w:val="bottom"/>
          </w:tcPr>
          <w:p>
            <w:pPr>
              <w:pStyle w:val="TableContents"/>
              <w:bidi w:val="0"/>
              <w:spacing w:before="0" w:after="283"/>
              <w:jc w:val="left"/>
              <w:rPr/>
            </w:pPr>
            <w:r>
              <w:rPr/>
              <w:t> </w:t>
            </w:r>
          </w:p>
        </w:tc>
      </w:tr>
      <w:tr>
        <w:trPr/>
        <w:tc>
          <w:tcPr>
            <w:tcW w:w="345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48"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457" w:type="dxa"/>
            <w:tcBorders/>
            <w:vAlign w:val="bottom"/>
          </w:tcPr>
          <w:p>
            <w:pPr>
              <w:pStyle w:val="TableContents"/>
              <w:bidi w:val="0"/>
              <w:spacing w:before="0" w:after="0"/>
              <w:jc w:val="left"/>
              <w:rPr>
                <w:rFonts w:ascii="Arial" w:hAnsi="Arial"/>
                <w:sz w:val="20"/>
              </w:rPr>
            </w:pPr>
            <w:r>
              <w:rPr>
                <w:rFonts w:ascii="Arial" w:hAnsi="Arial"/>
                <w:sz w:val="20"/>
              </w:rPr>
              <w:t>Pretax operating income</w:t>
            </w:r>
          </w:p>
        </w:tc>
        <w:tc>
          <w:tcPr>
            <w:tcW w:w="18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48" w:type="dxa"/>
            <w:tcBorders/>
            <w:vAlign w:val="bottom"/>
          </w:tcPr>
          <w:p>
            <w:pPr>
              <w:pStyle w:val="TableContents"/>
              <w:bidi w:val="0"/>
              <w:spacing w:before="0" w:after="283"/>
              <w:jc w:val="right"/>
              <w:rPr>
                <w:b/>
              </w:rPr>
            </w:pPr>
            <w:r>
              <w:rPr>
                <w:b/>
              </w:rPr>
              <w:t>475</w:t>
            </w:r>
          </w:p>
        </w:tc>
        <w:tc>
          <w:tcPr>
            <w:tcW w:w="32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417</w:t>
            </w:r>
          </w:p>
        </w:tc>
        <w:tc>
          <w:tcPr>
            <w:tcW w:w="28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558</w:t>
            </w:r>
          </w:p>
        </w:tc>
        <w:tc>
          <w:tcPr>
            <w:tcW w:w="28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center"/>
              <w:rPr>
                <w:b/>
              </w:rPr>
            </w:pPr>
            <w:r>
              <w:rPr>
                <w:b/>
              </w:rPr>
              <w:t>14%</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-15%</w:t>
            </w:r>
          </w:p>
        </w:tc>
        <w:tc>
          <w:tcPr>
            <w:tcW w:w="66" w:type="dxa"/>
            <w:tcBorders/>
            <w:vAlign w:val="bottom"/>
          </w:tcPr>
          <w:p>
            <w:pPr>
              <w:pStyle w:val="TableContents"/>
              <w:bidi w:val="0"/>
              <w:spacing w:before="0" w:after="283"/>
              <w:jc w:val="left"/>
              <w:rPr/>
            </w:pPr>
            <w:r>
              <w:rPr/>
              <w:t> </w:t>
            </w:r>
          </w:p>
        </w:tc>
      </w:tr>
      <w:tr>
        <w:trPr/>
        <w:tc>
          <w:tcPr>
            <w:tcW w:w="3457" w:type="dxa"/>
            <w:tcBorders/>
            <w:shd w:fill="CCEEFF" w:val="clear"/>
            <w:vAlign w:val="bottom"/>
          </w:tcPr>
          <w:p>
            <w:pPr>
              <w:pStyle w:val="TableContents"/>
              <w:bidi w:val="0"/>
              <w:spacing w:before="0" w:after="0"/>
              <w:jc w:val="left"/>
              <w:rPr>
                <w:rFonts w:ascii="Arial" w:hAnsi="Arial"/>
                <w:sz w:val="20"/>
              </w:rPr>
            </w:pPr>
            <w:r>
              <w:rPr>
                <w:rFonts w:ascii="Arial" w:hAnsi="Arial"/>
                <w:sz w:val="20"/>
              </w:rPr>
              <w:t>Pretax operating margin</w:t>
            </w:r>
          </w:p>
        </w:tc>
        <w:tc>
          <w:tcPr>
            <w:tcW w:w="18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b/>
              </w:rPr>
            </w:pPr>
            <w:r>
              <w:rPr>
                <w:b/>
              </w:rPr>
              <w:t>16.4</w:t>
            </w:r>
          </w:p>
        </w:tc>
        <w:tc>
          <w:tcPr>
            <w:tcW w:w="323" w:type="dxa"/>
            <w:tcBorders/>
            <w:shd w:fill="CCEEFF" w:val="clear"/>
            <w:vAlign w:val="bottom"/>
          </w:tcPr>
          <w:p>
            <w:pPr>
              <w:pStyle w:val="TableContents"/>
              <w:bidi w:val="0"/>
              <w:spacing w:before="0" w:after="283"/>
              <w:jc w:val="left"/>
              <w:rPr>
                <w:b/>
              </w:rPr>
            </w:pPr>
            <w:r>
              <w:rPr>
                <w:b/>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15.2</w:t>
            </w:r>
          </w:p>
        </w:tc>
        <w:tc>
          <w:tcPr>
            <w:tcW w:w="283"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18.8</w:t>
            </w:r>
          </w:p>
        </w:tc>
        <w:tc>
          <w:tcPr>
            <w:tcW w:w="28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center"/>
              <w:rPr>
                <w:b/>
              </w:rPr>
            </w:pPr>
            <w:r>
              <w:rPr>
                <w:b/>
              </w:rPr>
              <w:t>122 bps</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-239 bps</w:t>
            </w:r>
          </w:p>
        </w:tc>
        <w:tc>
          <w:tcPr>
            <w:tcW w:w="66" w:type="dxa"/>
            <w:tcBorders/>
            <w:shd w:fill="CCEEFF" w:val="clear"/>
            <w:vAlign w:val="bottom"/>
          </w:tcPr>
          <w:p>
            <w:pPr>
              <w:pStyle w:val="TableContents"/>
              <w:bidi w:val="0"/>
              <w:spacing w:before="0" w:after="283"/>
              <w:jc w:val="left"/>
              <w:rPr/>
            </w:pPr>
            <w:r>
              <w:rPr/>
              <w:t> </w:t>
            </w:r>
          </w:p>
        </w:tc>
      </w:tr>
      <w:tr>
        <w:trPr/>
        <w:tc>
          <w:tcPr>
            <w:tcW w:w="3457" w:type="dxa"/>
            <w:tcBorders/>
            <w:vAlign w:val="bottom"/>
          </w:tcPr>
          <w:p>
            <w:pPr>
              <w:pStyle w:val="TableContents"/>
              <w:bidi w:val="0"/>
              <w:spacing w:before="0" w:after="0"/>
              <w:jc w:val="left"/>
              <w:rPr>
                <w:rFonts w:ascii="Arial" w:hAnsi="Arial"/>
                <w:sz w:val="20"/>
              </w:rPr>
            </w:pPr>
            <w:r>
              <w:rPr>
                <w:rFonts w:ascii="Arial" w:hAnsi="Arial"/>
                <w:sz w:val="20"/>
              </w:rPr>
              <w:t>Adjusted EBITDA*</w:t>
            </w:r>
          </w:p>
        </w:tc>
        <w:tc>
          <w:tcPr>
            <w:tcW w:w="18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48" w:type="dxa"/>
            <w:tcBorders/>
            <w:vAlign w:val="bottom"/>
          </w:tcPr>
          <w:p>
            <w:pPr>
              <w:pStyle w:val="TableContents"/>
              <w:bidi w:val="0"/>
              <w:spacing w:before="0" w:after="283"/>
              <w:jc w:val="right"/>
              <w:rPr>
                <w:b/>
              </w:rPr>
            </w:pPr>
            <w:r>
              <w:rPr>
                <w:b/>
              </w:rPr>
              <w:t>632</w:t>
            </w:r>
          </w:p>
        </w:tc>
        <w:tc>
          <w:tcPr>
            <w:tcW w:w="32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578</w:t>
            </w:r>
          </w:p>
        </w:tc>
        <w:tc>
          <w:tcPr>
            <w:tcW w:w="28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728</w:t>
            </w:r>
          </w:p>
        </w:tc>
        <w:tc>
          <w:tcPr>
            <w:tcW w:w="283"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center"/>
              <w:rPr>
                <w:b/>
              </w:rPr>
            </w:pPr>
            <w:r>
              <w:rPr>
                <w:b/>
              </w:rPr>
              <w:t>9%</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-13%</w:t>
            </w:r>
          </w:p>
        </w:tc>
        <w:tc>
          <w:tcPr>
            <w:tcW w:w="66" w:type="dxa"/>
            <w:tcBorders/>
            <w:vAlign w:val="bottom"/>
          </w:tcPr>
          <w:p>
            <w:pPr>
              <w:pStyle w:val="TableContents"/>
              <w:bidi w:val="0"/>
              <w:spacing w:before="0" w:after="283"/>
              <w:jc w:val="left"/>
              <w:rPr/>
            </w:pPr>
            <w:r>
              <w:rPr/>
              <w:t> </w:t>
            </w:r>
          </w:p>
        </w:tc>
      </w:tr>
      <w:tr>
        <w:trPr/>
        <w:tc>
          <w:tcPr>
            <w:tcW w:w="3457"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18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b/>
              </w:rPr>
            </w:pPr>
            <w:r>
              <w:rPr>
                <w:b/>
              </w:rPr>
              <w:t>21.9</w:t>
            </w:r>
          </w:p>
        </w:tc>
        <w:tc>
          <w:tcPr>
            <w:tcW w:w="323" w:type="dxa"/>
            <w:tcBorders/>
            <w:shd w:fill="CCEEFF" w:val="clear"/>
            <w:vAlign w:val="bottom"/>
          </w:tcPr>
          <w:p>
            <w:pPr>
              <w:pStyle w:val="TableContents"/>
              <w:bidi w:val="0"/>
              <w:spacing w:before="0" w:after="283"/>
              <w:jc w:val="left"/>
              <w:rPr>
                <w:b/>
              </w:rPr>
            </w:pPr>
            <w:r>
              <w:rPr>
                <w:b/>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21.1</w:t>
            </w:r>
          </w:p>
        </w:tc>
        <w:tc>
          <w:tcPr>
            <w:tcW w:w="283"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24.5</w:t>
            </w:r>
          </w:p>
        </w:tc>
        <w:tc>
          <w:tcPr>
            <w:tcW w:w="283"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center"/>
              <w:rPr>
                <w:b/>
              </w:rPr>
            </w:pPr>
            <w:r>
              <w:rPr>
                <w:b/>
              </w:rPr>
              <w:t>80 bps</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-266 bps</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reconciliation in the section “Supplementary Information” for details.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Well Construction revenue of $2.89 billion increased 5% sequentially, driven by higher drilling activity in the Middle East, led by strong drilling fluids sales and increased drilling measurements activity. In Latin America, revenue benefited from double-digit growth in Argentina, Guyana and Brazil, partially offset by lower activity in Mexico. North America increased on stronger U.S. land activity and the seasonal recovery in Canada, while Asia continued to benefit from robust offshore drilling activity. </w:t>
      </w:r>
    </w:p>
    <w:p>
      <w:pPr>
        <w:pStyle w:val="TextBody"/>
        <w:bidi w:val="0"/>
        <w:spacing w:before="240" w:after="0"/>
        <w:jc w:val="left"/>
        <w:rPr>
          <w:rFonts w:ascii="Arial" w:hAnsi="Arial"/>
          <w:sz w:val="20"/>
        </w:rPr>
      </w:pPr>
      <w:r>
        <w:rPr>
          <w:rFonts w:ascii="Arial" w:hAnsi="Arial"/>
          <w:sz w:val="20"/>
        </w:rPr>
        <w:t xml:space="preserve">Year on year, revenue decreased 3%, reflecting the lingering impact of Middle East conflict-related disruptions. This decline was partially offset by strong offshore drilling activity across Latin America, Europe &amp; Africa and the Gulf of America. </w:t>
      </w:r>
    </w:p>
    <w:p>
      <w:pPr>
        <w:pStyle w:val="TextBody"/>
        <w:bidi w:val="0"/>
        <w:spacing w:before="240" w:after="0"/>
        <w:jc w:val="left"/>
        <w:rPr>
          <w:rFonts w:ascii="Arial" w:hAnsi="Arial"/>
          <w:sz w:val="20"/>
        </w:rPr>
      </w:pPr>
      <w:r>
        <w:rPr>
          <w:rFonts w:ascii="Arial" w:hAnsi="Arial"/>
          <w:sz w:val="20"/>
        </w:rPr>
        <w:t xml:space="preserve">Well Construction pretax operating margin of 16% increased 122 bps sequentially, driven primarily by improved profitability in the Middle East as operations recovered during the quarter. </w:t>
      </w:r>
    </w:p>
    <w:p>
      <w:pPr>
        <w:pStyle w:val="TextBody"/>
        <w:bidi w:val="0"/>
        <w:spacing w:before="240" w:after="0"/>
        <w:jc w:val="left"/>
        <w:rPr>
          <w:rFonts w:ascii="Arial" w:hAnsi="Arial"/>
          <w:sz w:val="20"/>
        </w:rPr>
      </w:pPr>
      <w:r>
        <w:rPr>
          <w:rFonts w:ascii="Arial" w:hAnsi="Arial"/>
          <w:sz w:val="20"/>
        </w:rPr>
        <w:t xml:space="preserve">Year on year, pretax operating margin declined 239 bps, reflecting lower profitability in the Middle East, where activity levels remained below the prior year despite the sequential recovery.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Production Systems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5"/>
        <w:gridCol w:w="221"/>
        <w:gridCol w:w="178"/>
        <w:gridCol w:w="714"/>
        <w:gridCol w:w="324"/>
        <w:gridCol w:w="167"/>
        <w:gridCol w:w="154"/>
        <w:gridCol w:w="627"/>
        <w:gridCol w:w="284"/>
        <w:gridCol w:w="167"/>
        <w:gridCol w:w="172"/>
        <w:gridCol w:w="691"/>
        <w:gridCol w:w="284"/>
        <w:gridCol w:w="167"/>
        <w:gridCol w:w="87"/>
        <w:gridCol w:w="1008"/>
        <w:gridCol w:w="60"/>
        <w:gridCol w:w="167"/>
        <w:gridCol w:w="108"/>
        <w:gridCol w:w="1202"/>
        <w:gridCol w:w="68"/>
      </w:tblGrid>
      <w:tr>
        <w:trPr/>
        <w:tc>
          <w:tcPr>
            <w:tcW w:w="335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3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561" w:type="dxa"/>
            <w:gridSpan w:val="18"/>
            <w:tcBorders/>
            <w:vAlign w:val="bottom"/>
          </w:tcPr>
          <w:p>
            <w:pPr>
              <w:pStyle w:val="TableContents"/>
              <w:bidi w:val="0"/>
              <w:spacing w:before="0" w:after="283"/>
              <w:jc w:val="right"/>
              <w:rPr/>
            </w:pPr>
            <w:r>
              <w:rPr/>
              <w:t>(Stated in millions)</w:t>
            </w:r>
          </w:p>
        </w:tc>
        <w:tc>
          <w:tcPr>
            <w:tcW w:w="68" w:type="dxa"/>
            <w:tcBorders/>
            <w:vAlign w:val="bottom"/>
          </w:tcPr>
          <w:p>
            <w:pPr>
              <w:pStyle w:val="TableContents"/>
              <w:bidi w:val="0"/>
              <w:spacing w:before="0" w:after="283"/>
              <w:jc w:val="left"/>
              <w:rPr/>
            </w:pPr>
            <w:r>
              <w:rPr/>
              <w:t> </w:t>
            </w:r>
          </w:p>
        </w:tc>
      </w:tr>
      <w:tr>
        <w:trPr/>
        <w:tc>
          <w:tcPr>
            <w:tcW w:w="3355" w:type="dxa"/>
            <w:tcBorders/>
            <w:vAlign w:val="bottom"/>
          </w:tcPr>
          <w:p>
            <w:pPr>
              <w:pStyle w:val="TableContents"/>
              <w:bidi w:val="0"/>
              <w:spacing w:before="0" w:after="283"/>
              <w:jc w:val="left"/>
              <w:rPr>
                <w:b/>
              </w:rPr>
            </w:pPr>
            <w:r>
              <w:rPr>
                <w:b/>
              </w:rPr>
              <w:t>As reported</w:t>
            </w:r>
          </w:p>
        </w:tc>
        <w:tc>
          <w:tcPr>
            <w:tcW w:w="221" w:type="dxa"/>
            <w:tcBorders/>
            <w:vAlign w:val="bottom"/>
          </w:tcPr>
          <w:p>
            <w:pPr>
              <w:pStyle w:val="TableContents"/>
              <w:bidi w:val="0"/>
              <w:spacing w:before="0" w:after="283"/>
              <w:jc w:val="left"/>
              <w:rPr/>
            </w:pPr>
            <w:r>
              <w:rPr/>
              <w:t>  </w:t>
            </w:r>
          </w:p>
        </w:tc>
        <w:tc>
          <w:tcPr>
            <w:tcW w:w="347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6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8" w:type="dxa"/>
            <w:tcBorders/>
            <w:vAlign w:val="bottom"/>
          </w:tcPr>
          <w:p>
            <w:pPr>
              <w:pStyle w:val="TableContents"/>
              <w:bidi w:val="0"/>
              <w:spacing w:before="0" w:after="283"/>
              <w:jc w:val="left"/>
              <w:rPr/>
            </w:pPr>
            <w:r>
              <w:rPr/>
              <w:t> </w:t>
            </w:r>
          </w:p>
        </w:tc>
      </w:tr>
      <w:tr>
        <w:trPr/>
        <w:tc>
          <w:tcPr>
            <w:tcW w:w="33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8" w:type="dxa"/>
            <w:tcBorders/>
            <w:vAlign w:val="bottom"/>
          </w:tcPr>
          <w:p>
            <w:pPr>
              <w:pStyle w:val="TableContents"/>
              <w:bidi w:val="0"/>
              <w:spacing w:before="0" w:after="283"/>
              <w:jc w:val="left"/>
              <w:rPr/>
            </w:pPr>
            <w:r>
              <w:rPr/>
              <w:t> </w:t>
            </w:r>
          </w:p>
        </w:tc>
      </w:tr>
      <w:tr>
        <w:trPr/>
        <w:tc>
          <w:tcPr>
            <w:tcW w:w="3355"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1"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355" w:type="dxa"/>
            <w:tcBorders/>
          </w:tcPr>
          <w:p>
            <w:pPr>
              <w:pStyle w:val="TableContents"/>
              <w:bidi w:val="0"/>
              <w:spacing w:before="0" w:after="0"/>
              <w:jc w:val="left"/>
              <w:rPr>
                <w:rFonts w:ascii="Arial" w:hAnsi="Arial"/>
                <w:sz w:val="20"/>
              </w:rPr>
            </w:pPr>
            <w:r>
              <w:rPr>
                <w:rFonts w:ascii="Arial" w:hAnsi="Arial"/>
                <w:sz w:val="20"/>
              </w:rPr>
              <w:t>International</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2,642</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2,478</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2,440</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center"/>
              <w:rPr>
                <w:b/>
              </w:rPr>
            </w:pPr>
            <w:r>
              <w:rPr>
                <w:b/>
              </w:rPr>
              <w:t>7%</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center"/>
              <w:rPr/>
            </w:pPr>
            <w:r>
              <w:rPr/>
              <w:t>8%</w:t>
            </w:r>
          </w:p>
        </w:tc>
        <w:tc>
          <w:tcPr>
            <w:tcW w:w="68" w:type="dxa"/>
            <w:tcBorders/>
            <w:vAlign w:val="bottom"/>
          </w:tcPr>
          <w:p>
            <w:pPr>
              <w:pStyle w:val="TableContents"/>
              <w:bidi w:val="0"/>
              <w:spacing w:before="0" w:after="283"/>
              <w:jc w:val="left"/>
              <w:rPr/>
            </w:pPr>
            <w:r>
              <w:rPr/>
              <w:t> </w:t>
            </w:r>
          </w:p>
        </w:tc>
      </w:tr>
      <w:tr>
        <w:trPr/>
        <w:tc>
          <w:tcPr>
            <w:tcW w:w="3355"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1,335</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1,259</w:t>
            </w:r>
          </w:p>
        </w:tc>
        <w:tc>
          <w:tcPr>
            <w:tcW w:w="28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1,008</w:t>
            </w:r>
          </w:p>
        </w:tc>
        <w:tc>
          <w:tcPr>
            <w:tcW w:w="28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center"/>
              <w:rPr>
                <w:b/>
              </w:rPr>
            </w:pPr>
            <w:r>
              <w:rPr>
                <w:b/>
              </w:rPr>
              <w:t>6%</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32%</w:t>
            </w:r>
          </w:p>
        </w:tc>
        <w:tc>
          <w:tcPr>
            <w:tcW w:w="68" w:type="dxa"/>
            <w:tcBorders/>
            <w:shd w:fill="CCEEFF" w:val="clear"/>
            <w:vAlign w:val="bottom"/>
          </w:tcPr>
          <w:p>
            <w:pPr>
              <w:pStyle w:val="TableContents"/>
              <w:bidi w:val="0"/>
              <w:spacing w:before="0" w:after="283"/>
              <w:jc w:val="left"/>
              <w:rPr/>
            </w:pPr>
            <w:r>
              <w:rPr/>
              <w:t> </w:t>
            </w:r>
          </w:p>
        </w:tc>
      </w:tr>
      <w:tr>
        <w:trPr/>
        <w:tc>
          <w:tcPr>
            <w:tcW w:w="3355" w:type="dxa"/>
            <w:tcBorders/>
          </w:tcPr>
          <w:p>
            <w:pPr>
              <w:pStyle w:val="TableContents"/>
              <w:bidi w:val="0"/>
              <w:spacing w:before="0" w:after="0"/>
              <w:jc w:val="left"/>
              <w:rPr>
                <w:rFonts w:ascii="Arial" w:hAnsi="Arial"/>
                <w:sz w:val="20"/>
              </w:rPr>
            </w:pPr>
            <w:r>
              <w:rPr>
                <w:rFonts w:ascii="Arial" w:hAnsi="Arial"/>
                <w:sz w:val="20"/>
              </w:rPr>
              <w:t>Other</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23</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34</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26</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center"/>
              <w:rPr/>
            </w:pPr>
            <w:r>
              <w:rPr/>
              <w:t>n/m</w:t>
            </w:r>
          </w:p>
        </w:tc>
        <w:tc>
          <w:tcPr>
            <w:tcW w:w="68" w:type="dxa"/>
            <w:tcBorders/>
            <w:vAlign w:val="bottom"/>
          </w:tcPr>
          <w:p>
            <w:pPr>
              <w:pStyle w:val="TableContents"/>
              <w:bidi w:val="0"/>
              <w:spacing w:before="0" w:after="283"/>
              <w:jc w:val="left"/>
              <w:rPr/>
            </w:pPr>
            <w:r>
              <w:rPr/>
              <w:t> </w:t>
            </w:r>
          </w:p>
        </w:tc>
      </w:tr>
      <w:tr>
        <w:trPr/>
        <w:tc>
          <w:tcPr>
            <w:tcW w:w="3355"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355" w:type="dxa"/>
            <w:tcBorders/>
            <w:shd w:fill="CCEEFF" w:val="clear"/>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4,000</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3,771</w:t>
            </w:r>
          </w:p>
        </w:tc>
        <w:tc>
          <w:tcPr>
            <w:tcW w:w="28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3,474</w:t>
            </w:r>
          </w:p>
        </w:tc>
        <w:tc>
          <w:tcPr>
            <w:tcW w:w="28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center"/>
              <w:rPr>
                <w:b/>
              </w:rPr>
            </w:pPr>
            <w:r>
              <w:rPr>
                <w:b/>
              </w:rPr>
              <w:t>6%</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15%</w:t>
            </w:r>
          </w:p>
        </w:tc>
        <w:tc>
          <w:tcPr>
            <w:tcW w:w="68" w:type="dxa"/>
            <w:tcBorders/>
            <w:shd w:fill="CCEEFF" w:val="clear"/>
            <w:vAlign w:val="bottom"/>
          </w:tcPr>
          <w:p>
            <w:pPr>
              <w:pStyle w:val="TableContents"/>
              <w:bidi w:val="0"/>
              <w:spacing w:before="0" w:after="283"/>
              <w:jc w:val="left"/>
              <w:rPr/>
            </w:pPr>
            <w:r>
              <w:rPr/>
              <w:t> </w:t>
            </w:r>
          </w:p>
        </w:tc>
      </w:tr>
      <w:tr>
        <w:trPr/>
        <w:tc>
          <w:tcPr>
            <w:tcW w:w="3355"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355"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646</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586</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559</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center"/>
              <w:rPr>
                <w:b/>
              </w:rPr>
            </w:pPr>
            <w:r>
              <w:rPr>
                <w:b/>
              </w:rPr>
              <w:t>10%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center"/>
              <w:rPr/>
            </w:pPr>
            <w:r>
              <w:rPr/>
              <w:t>16%</w:t>
            </w:r>
          </w:p>
        </w:tc>
        <w:tc>
          <w:tcPr>
            <w:tcW w:w="68" w:type="dxa"/>
            <w:tcBorders/>
            <w:vAlign w:val="bottom"/>
          </w:tcPr>
          <w:p>
            <w:pPr>
              <w:pStyle w:val="TableContents"/>
              <w:bidi w:val="0"/>
              <w:spacing w:before="0" w:after="283"/>
              <w:jc w:val="left"/>
              <w:rPr/>
            </w:pPr>
            <w:r>
              <w:rPr/>
              <w:t> </w:t>
            </w:r>
          </w:p>
        </w:tc>
      </w:tr>
      <w:tr>
        <w:trPr/>
        <w:tc>
          <w:tcPr>
            <w:tcW w:w="3355"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16.1</w:t>
            </w:r>
          </w:p>
        </w:tc>
        <w:tc>
          <w:tcPr>
            <w:tcW w:w="324"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15.5</w:t>
            </w:r>
          </w:p>
        </w:tc>
        <w:tc>
          <w:tcPr>
            <w:tcW w:w="28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16.1</w:t>
            </w:r>
          </w:p>
        </w:tc>
        <w:tc>
          <w:tcPr>
            <w:tcW w:w="28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center"/>
              <w:rPr>
                <w:b/>
              </w:rPr>
            </w:pPr>
            <w:r>
              <w:rPr>
                <w:b/>
              </w:rPr>
              <w:t>60 bps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6 bps</w:t>
            </w:r>
          </w:p>
        </w:tc>
        <w:tc>
          <w:tcPr>
            <w:tcW w:w="68" w:type="dxa"/>
            <w:tcBorders/>
            <w:shd w:fill="CCEEFF" w:val="clear"/>
            <w:vAlign w:val="bottom"/>
          </w:tcPr>
          <w:p>
            <w:pPr>
              <w:pStyle w:val="TableContents"/>
              <w:bidi w:val="0"/>
              <w:spacing w:before="0" w:after="283"/>
              <w:jc w:val="left"/>
              <w:rPr/>
            </w:pPr>
            <w:r>
              <w:rPr/>
              <w:t> </w:t>
            </w:r>
          </w:p>
        </w:tc>
      </w:tr>
      <w:tr>
        <w:trPr/>
        <w:tc>
          <w:tcPr>
            <w:tcW w:w="3355" w:type="dxa"/>
            <w:tcBorders/>
          </w:tcPr>
          <w:p>
            <w:pPr>
              <w:pStyle w:val="TableContents"/>
              <w:bidi w:val="0"/>
              <w:spacing w:before="0" w:after="0"/>
              <w:jc w:val="left"/>
              <w:rPr>
                <w:rFonts w:ascii="Arial" w:hAnsi="Arial"/>
                <w:sz w:val="20"/>
              </w:rPr>
            </w:pPr>
            <w:r>
              <w:rPr>
                <w:rFonts w:ascii="Arial" w:hAnsi="Arial"/>
                <w:sz w:val="20"/>
              </w:rPr>
              <w:t>Adjusted EBITDA*</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800</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738</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690</w:t>
            </w:r>
          </w:p>
        </w:tc>
        <w:tc>
          <w:tcPr>
            <w:tcW w:w="28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center"/>
              <w:rPr>
                <w:b/>
              </w:rPr>
            </w:pPr>
            <w:r>
              <w:rPr>
                <w:b/>
              </w:rPr>
              <w:t>8%</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center"/>
              <w:rPr/>
            </w:pPr>
            <w:r>
              <w:rPr/>
              <w:t>16%</w:t>
            </w:r>
          </w:p>
        </w:tc>
        <w:tc>
          <w:tcPr>
            <w:tcW w:w="68" w:type="dxa"/>
            <w:tcBorders/>
            <w:vAlign w:val="bottom"/>
          </w:tcPr>
          <w:p>
            <w:pPr>
              <w:pStyle w:val="TableContents"/>
              <w:bidi w:val="0"/>
              <w:spacing w:before="0" w:after="283"/>
              <w:jc w:val="left"/>
              <w:rPr/>
            </w:pPr>
            <w:r>
              <w:rPr/>
              <w:t> </w:t>
            </w:r>
          </w:p>
        </w:tc>
      </w:tr>
      <w:tr>
        <w:trPr/>
        <w:tc>
          <w:tcPr>
            <w:tcW w:w="3355" w:type="dxa"/>
            <w:tcBorders/>
            <w:shd w:fill="CCEEFF" w:val="clear"/>
          </w:tcPr>
          <w:p>
            <w:pPr>
              <w:pStyle w:val="TableContents"/>
              <w:bidi w:val="0"/>
              <w:spacing w:before="0" w:after="0"/>
              <w:jc w:val="left"/>
              <w:rPr>
                <w:rFonts w:ascii="Arial" w:hAnsi="Arial"/>
                <w:sz w:val="20"/>
              </w:rPr>
            </w:pPr>
            <w:r>
              <w:rPr>
                <w:rFonts w:ascii="Arial" w:hAnsi="Arial"/>
                <w:sz w:val="20"/>
              </w:rPr>
              <w:t>Adjusted EBITDA margin*</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20.0</w:t>
            </w:r>
          </w:p>
        </w:tc>
        <w:tc>
          <w:tcPr>
            <w:tcW w:w="324"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19.6</w:t>
            </w:r>
          </w:p>
        </w:tc>
        <w:tc>
          <w:tcPr>
            <w:tcW w:w="28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19.9</w:t>
            </w:r>
          </w:p>
        </w:tc>
        <w:tc>
          <w:tcPr>
            <w:tcW w:w="28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center"/>
              <w:rPr>
                <w:b/>
              </w:rPr>
            </w:pPr>
            <w:r>
              <w:rPr>
                <w:b/>
              </w:rPr>
              <w:t>42 bps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14 bps</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reconciliation in the section “Supplementary Information” for details. </w:t>
            </w:r>
          </w:p>
        </w:tc>
      </w:tr>
    </w:tbl>
    <w:p>
      <w:pPr>
        <w:pStyle w:val="TextBody"/>
        <w:bidi w:val="0"/>
        <w:spacing w:before="12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Production Systems revenue of $4.00 billion increased 6% sequentially, driven by higher sales of completions, production chemicals and artificial lift in the Middle East, as well as stronger SLB OneSubsea revenue in Scandinavia and Angola. Additional growth came from increased SLB OneSubsea projects in Latin America and Asia, along with stronger U.S. land sales of artificial lift and production chemicals. </w:t>
      </w:r>
    </w:p>
    <w:p>
      <w:pPr>
        <w:pStyle w:val="TextBody"/>
        <w:bidi w:val="0"/>
        <w:spacing w:before="240" w:after="0"/>
        <w:jc w:val="left"/>
        <w:rPr>
          <w:rFonts w:ascii="Arial" w:hAnsi="Arial"/>
          <w:sz w:val="20"/>
        </w:rPr>
      </w:pPr>
      <w:r>
        <w:rPr>
          <w:rFonts w:ascii="Arial" w:hAnsi="Arial"/>
          <w:sz w:val="20"/>
        </w:rPr>
        <w:t xml:space="preserve">Year on year, revenue increased 15%, primarily reflecting the contribution of ChampionX production chemicals and artificial lift businesses. These businesses contributed $950 million of revenue in the third quarter of 2026, compared with $575 million in the third quarter of 2025, when results reflected only two months of ChampionX operations. </w:t>
      </w:r>
    </w:p>
    <w:p>
      <w:pPr>
        <w:pStyle w:val="TextBody"/>
        <w:bidi w:val="0"/>
        <w:spacing w:before="240" w:after="0"/>
        <w:jc w:val="left"/>
        <w:rPr>
          <w:rFonts w:ascii="Arial" w:hAnsi="Arial"/>
          <w:sz w:val="20"/>
        </w:rPr>
      </w:pPr>
      <w:r>
        <w:rPr>
          <w:rFonts w:ascii="Arial" w:hAnsi="Arial"/>
          <w:sz w:val="20"/>
        </w:rPr>
        <w:t xml:space="preserve">Excluding the impact of the acquisition, Production Systems revenue increased 5% year on year, driven by strong growth in SLB OneSubsea, valves and completions. This performance underscores the resilience of international and offshore markets despite the disruptions associated with the Middle East conflict. </w:t>
      </w:r>
    </w:p>
    <w:p>
      <w:pPr>
        <w:pStyle w:val="TextBody"/>
        <w:bidi w:val="0"/>
        <w:spacing w:before="240" w:after="0"/>
        <w:jc w:val="left"/>
        <w:rPr>
          <w:rFonts w:ascii="Arial" w:hAnsi="Arial"/>
          <w:sz w:val="20"/>
        </w:rPr>
      </w:pPr>
      <w:r>
        <w:rPr>
          <w:rFonts w:ascii="Arial" w:hAnsi="Arial"/>
          <w:sz w:val="20"/>
        </w:rPr>
        <w:t xml:space="preserve">Production Systems pretax operating margin was 16%, expanding 60 bps sequentially. Margin expansion was driven by improved profitability in SLB OneSubsea, artificial lift, completions and production chemicals, supported by the recovery in Middle East operations. Stronger offshore activity across Europe &amp; Africa, Latin America and Asia also contributed to the improvement. In addition, margins benefited from the accretive contribution of ChampionX’s production chemicals and artificial lift businesses. Notably, ChampionX delivered sequential pretax operating margin expansion for the fourth consecutive quarter. </w:t>
      </w:r>
    </w:p>
    <w:p>
      <w:pPr>
        <w:pStyle w:val="TextBody"/>
        <w:bidi w:val="0"/>
        <w:spacing w:before="240" w:after="0"/>
        <w:jc w:val="left"/>
        <w:rPr>
          <w:rFonts w:ascii="Arial" w:hAnsi="Arial"/>
          <w:sz w:val="20"/>
        </w:rPr>
      </w:pPr>
      <w:r>
        <w:rPr>
          <w:rFonts w:ascii="Arial" w:hAnsi="Arial"/>
          <w:sz w:val="20"/>
        </w:rPr>
        <w:t xml:space="preserve">Year on year, pretax operating margin was essentially flat. Lower profitability in the Middle East was offset by improved profitability in Europe &amp; Africa, Latin America and Asia, driven by higher SLB OneSubsea offshore activity. Profitability in North America also improved, reflecting the strong performance of ChampionX’s production chemicals and artificial lift businesses. </w:t>
      </w:r>
    </w:p>
    <w:p>
      <w:pPr>
        <w:pStyle w:val="TextBody"/>
        <w:bidi w:val="0"/>
        <w:spacing w:before="240" w:after="0"/>
        <w:jc w:val="left"/>
        <w:rPr>
          <w:rFonts w:ascii="Arial" w:hAnsi="Arial"/>
          <w:sz w:val="20"/>
        </w:rPr>
      </w:pPr>
      <w:r>
        <w:rPr>
          <w:rFonts w:ascii="Arial" w:hAnsi="Arial"/>
          <w:sz w:val="20"/>
        </w:rPr>
        <w:t xml:space="preserve">The following table and commentary are presented on a pro forma basis assuming that ChampionX was acquired on January 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47"/>
        <w:gridCol w:w="239"/>
        <w:gridCol w:w="178"/>
        <w:gridCol w:w="716"/>
        <w:gridCol w:w="60"/>
        <w:gridCol w:w="239"/>
        <w:gridCol w:w="140"/>
        <w:gridCol w:w="582"/>
        <w:gridCol w:w="60"/>
        <w:gridCol w:w="239"/>
        <w:gridCol w:w="172"/>
        <w:gridCol w:w="695"/>
        <w:gridCol w:w="60"/>
        <w:gridCol w:w="239"/>
        <w:gridCol w:w="138"/>
        <w:gridCol w:w="966"/>
        <w:gridCol w:w="60"/>
        <w:gridCol w:w="186"/>
        <w:gridCol w:w="149"/>
        <w:gridCol w:w="1174"/>
        <w:gridCol w:w="66"/>
      </w:tblGrid>
      <w:tr>
        <w:trPr/>
        <w:tc>
          <w:tcPr>
            <w:tcW w:w="3847"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8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053" w:type="dxa"/>
            <w:gridSpan w:val="18"/>
            <w:tcBorders/>
            <w:vAlign w:val="bottom"/>
          </w:tcPr>
          <w:p>
            <w:pPr>
              <w:pStyle w:val="TableContents"/>
              <w:bidi w:val="0"/>
              <w:spacing w:before="0" w:after="283"/>
              <w:jc w:val="right"/>
              <w:rPr/>
            </w:pPr>
            <w:r>
              <w:rPr/>
              <w:t>(Stated in millions)</w:t>
            </w:r>
          </w:p>
        </w:tc>
        <w:tc>
          <w:tcPr>
            <w:tcW w:w="66" w:type="dxa"/>
            <w:tcBorders/>
            <w:vAlign w:val="bottom"/>
          </w:tcPr>
          <w:p>
            <w:pPr>
              <w:pStyle w:val="TableContents"/>
              <w:bidi w:val="0"/>
              <w:spacing w:before="0" w:after="283"/>
              <w:jc w:val="left"/>
              <w:rPr/>
            </w:pPr>
            <w:r>
              <w:rPr/>
              <w:t> </w:t>
            </w:r>
          </w:p>
        </w:tc>
      </w:tr>
      <w:tr>
        <w:trPr/>
        <w:tc>
          <w:tcPr>
            <w:tcW w:w="3847" w:type="dxa"/>
            <w:tcBorders/>
            <w:vAlign w:val="bottom"/>
          </w:tcPr>
          <w:p>
            <w:pPr>
              <w:pStyle w:val="TableContents"/>
              <w:bidi w:val="0"/>
              <w:spacing w:before="0" w:after="283"/>
              <w:jc w:val="left"/>
              <w:rPr>
                <w:b/>
              </w:rPr>
            </w:pPr>
            <w:r>
              <w:rPr>
                <w:b/>
              </w:rPr>
              <w:t>Pro forma</w:t>
            </w:r>
          </w:p>
        </w:tc>
        <w:tc>
          <w:tcPr>
            <w:tcW w:w="239" w:type="dxa"/>
            <w:tcBorders/>
            <w:vAlign w:val="bottom"/>
          </w:tcPr>
          <w:p>
            <w:pPr>
              <w:pStyle w:val="TableContents"/>
              <w:bidi w:val="0"/>
              <w:spacing w:before="0" w:after="283"/>
              <w:jc w:val="left"/>
              <w:rPr/>
            </w:pPr>
            <w:r>
              <w:rPr/>
              <w:t>  </w:t>
            </w:r>
          </w:p>
        </w:tc>
        <w:tc>
          <w:tcPr>
            <w:tcW w:w="308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6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6" w:type="dxa"/>
            <w:tcBorders/>
            <w:vAlign w:val="bottom"/>
          </w:tcPr>
          <w:p>
            <w:pPr>
              <w:pStyle w:val="TableContents"/>
              <w:bidi w:val="0"/>
              <w:spacing w:before="0" w:after="283"/>
              <w:jc w:val="left"/>
              <w:rPr/>
            </w:pPr>
            <w:r>
              <w:rPr/>
              <w:t> </w:t>
            </w:r>
          </w:p>
        </w:tc>
      </w:tr>
      <w:tr>
        <w:trPr/>
        <w:tc>
          <w:tcPr>
            <w:tcW w:w="38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6" w:type="dxa"/>
            <w:tcBorders/>
            <w:vAlign w:val="bottom"/>
          </w:tcPr>
          <w:p>
            <w:pPr>
              <w:pStyle w:val="TableContents"/>
              <w:bidi w:val="0"/>
              <w:spacing w:before="0" w:after="283"/>
              <w:jc w:val="left"/>
              <w:rPr/>
            </w:pPr>
            <w:r>
              <w:rPr/>
              <w:t> </w:t>
            </w:r>
          </w:p>
        </w:tc>
      </w:tr>
      <w:tr>
        <w:trPr/>
        <w:tc>
          <w:tcPr>
            <w:tcW w:w="3847"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847" w:type="dxa"/>
            <w:tcBorders/>
          </w:tcPr>
          <w:p>
            <w:pPr>
              <w:pStyle w:val="TableContents"/>
              <w:bidi w:val="0"/>
              <w:spacing w:before="0" w:after="0"/>
              <w:jc w:val="left"/>
              <w:rPr>
                <w:rFonts w:ascii="Arial" w:hAnsi="Arial"/>
                <w:sz w:val="20"/>
              </w:rPr>
            </w:pPr>
            <w:r>
              <w:rPr>
                <w:rFonts w:ascii="Arial" w:hAnsi="Arial"/>
                <w:sz w:val="20"/>
              </w:rPr>
              <w:t>International</w:t>
            </w:r>
          </w:p>
        </w:tc>
        <w:tc>
          <w:tcPr>
            <w:tcW w:w="2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6" w:type="dxa"/>
            <w:tcBorders/>
            <w:vAlign w:val="bottom"/>
          </w:tcPr>
          <w:p>
            <w:pPr>
              <w:pStyle w:val="TableContents"/>
              <w:bidi w:val="0"/>
              <w:spacing w:before="0" w:after="283"/>
              <w:jc w:val="right"/>
              <w:rPr>
                <w:b/>
              </w:rPr>
            </w:pPr>
            <w:r>
              <w:rPr>
                <w:b/>
              </w:rPr>
              <w:t>2,642</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2" w:type="dxa"/>
            <w:tcBorders/>
            <w:vAlign w:val="bottom"/>
          </w:tcPr>
          <w:p>
            <w:pPr>
              <w:pStyle w:val="TableContents"/>
              <w:bidi w:val="0"/>
              <w:spacing w:before="0" w:after="283"/>
              <w:jc w:val="right"/>
              <w:rPr/>
            </w:pPr>
            <w:r>
              <w:rPr/>
              <w:t>2,478</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2,527</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center"/>
              <w:rPr>
                <w:b/>
              </w:rPr>
            </w:pPr>
            <w:r>
              <w:rPr>
                <w:b/>
              </w:rPr>
              <w:t>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center"/>
              <w:rPr/>
            </w:pPr>
            <w:r>
              <w:rPr/>
              <w:t>5%</w:t>
            </w:r>
          </w:p>
        </w:tc>
        <w:tc>
          <w:tcPr>
            <w:tcW w:w="66" w:type="dxa"/>
            <w:tcBorders/>
            <w:vAlign w:val="bottom"/>
          </w:tcPr>
          <w:p>
            <w:pPr>
              <w:pStyle w:val="TableContents"/>
              <w:bidi w:val="0"/>
              <w:spacing w:before="0" w:after="283"/>
              <w:jc w:val="left"/>
              <w:rPr/>
            </w:pPr>
            <w:r>
              <w:rPr/>
              <w:t> </w:t>
            </w:r>
          </w:p>
        </w:tc>
      </w:tr>
      <w:tr>
        <w:trPr/>
        <w:tc>
          <w:tcPr>
            <w:tcW w:w="3847"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b/>
              </w:rPr>
            </w:pPr>
            <w:r>
              <w:rPr>
                <w:b/>
              </w:rPr>
              <w:t>1,335</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1,259</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1,211</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center"/>
              <w:rPr>
                <w:b/>
              </w:rPr>
            </w:pPr>
            <w:r>
              <w:rPr>
                <w:b/>
              </w:rPr>
              <w:t>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center"/>
              <w:rPr/>
            </w:pPr>
            <w:r>
              <w:rPr/>
              <w:t>10%</w:t>
            </w:r>
          </w:p>
        </w:tc>
        <w:tc>
          <w:tcPr>
            <w:tcW w:w="66" w:type="dxa"/>
            <w:tcBorders/>
            <w:shd w:fill="CCEEFF" w:val="clear"/>
            <w:vAlign w:val="bottom"/>
          </w:tcPr>
          <w:p>
            <w:pPr>
              <w:pStyle w:val="TableContents"/>
              <w:bidi w:val="0"/>
              <w:spacing w:before="0" w:after="283"/>
              <w:jc w:val="left"/>
              <w:rPr/>
            </w:pPr>
            <w:r>
              <w:rPr/>
              <w:t> </w:t>
            </w:r>
          </w:p>
        </w:tc>
      </w:tr>
      <w:tr>
        <w:trPr/>
        <w:tc>
          <w:tcPr>
            <w:tcW w:w="3847" w:type="dxa"/>
            <w:tcBorders/>
          </w:tcPr>
          <w:p>
            <w:pPr>
              <w:pStyle w:val="TableContents"/>
              <w:bidi w:val="0"/>
              <w:spacing w:before="0" w:after="0"/>
              <w:jc w:val="left"/>
              <w:rPr>
                <w:rFonts w:ascii="Arial" w:hAnsi="Arial"/>
                <w:sz w:val="20"/>
              </w:rPr>
            </w:pPr>
            <w:r>
              <w:rPr>
                <w:rFonts w:ascii="Arial" w:hAnsi="Arial"/>
                <w:sz w:val="20"/>
              </w:rPr>
              <w:t>Other</w:t>
            </w:r>
          </w:p>
        </w:tc>
        <w:tc>
          <w:tcPr>
            <w:tcW w:w="2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b/>
              </w:rPr>
            </w:pPr>
            <w:r>
              <w:rPr>
                <w:b/>
              </w:rPr>
              <w:t>23</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center"/>
              <w:rPr/>
            </w:pPr>
            <w:r>
              <w:rPr/>
              <w:t>n/m</w:t>
            </w:r>
          </w:p>
        </w:tc>
        <w:tc>
          <w:tcPr>
            <w:tcW w:w="66" w:type="dxa"/>
            <w:tcBorders/>
            <w:vAlign w:val="bottom"/>
          </w:tcPr>
          <w:p>
            <w:pPr>
              <w:pStyle w:val="TableContents"/>
              <w:bidi w:val="0"/>
              <w:spacing w:before="0" w:after="283"/>
              <w:jc w:val="left"/>
              <w:rPr/>
            </w:pPr>
            <w:r>
              <w:rPr/>
              <w:t> </w:t>
            </w:r>
          </w:p>
        </w:tc>
      </w:tr>
      <w:tr>
        <w:trPr/>
        <w:tc>
          <w:tcPr>
            <w:tcW w:w="3847"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847" w:type="dxa"/>
            <w:tcBorders/>
            <w:shd w:fill="CCEEFF" w:val="clear"/>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6" w:type="dxa"/>
            <w:tcBorders/>
            <w:shd w:fill="CCEEFF" w:val="clear"/>
            <w:vAlign w:val="bottom"/>
          </w:tcPr>
          <w:p>
            <w:pPr>
              <w:pStyle w:val="TableContents"/>
              <w:bidi w:val="0"/>
              <w:spacing w:before="0" w:after="283"/>
              <w:jc w:val="right"/>
              <w:rPr>
                <w:b/>
              </w:rPr>
            </w:pPr>
            <w:r>
              <w:rPr>
                <w:b/>
              </w:rPr>
              <w:t>4,000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3,771</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3,774</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center"/>
              <w:rPr>
                <w:b/>
              </w:rPr>
            </w:pPr>
            <w:r>
              <w:rPr>
                <w:b/>
              </w:rPr>
              <w:t>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center"/>
              <w:rPr/>
            </w:pPr>
            <w:r>
              <w:rPr/>
              <w:t>6%</w:t>
            </w:r>
          </w:p>
        </w:tc>
        <w:tc>
          <w:tcPr>
            <w:tcW w:w="66" w:type="dxa"/>
            <w:tcBorders/>
            <w:shd w:fill="CCEEFF" w:val="clear"/>
            <w:vAlign w:val="bottom"/>
          </w:tcPr>
          <w:p>
            <w:pPr>
              <w:pStyle w:val="TableContents"/>
              <w:bidi w:val="0"/>
              <w:spacing w:before="0" w:after="283"/>
              <w:jc w:val="left"/>
              <w:rPr/>
            </w:pPr>
            <w:r>
              <w:rPr/>
              <w:t> </w:t>
            </w:r>
          </w:p>
        </w:tc>
      </w:tr>
      <w:tr>
        <w:trPr/>
        <w:tc>
          <w:tcPr>
            <w:tcW w:w="3847"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Production Systems revenue of $4.00 billion increased 6% year on year. Revenue increase across Latin America, Europe &amp; Africa, Asia and North America largely compensated for lower revenue in the Middle East.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All Other </w:t>
      </w:r>
    </w:p>
    <w:p>
      <w:pPr>
        <w:pStyle w:val="TextBody"/>
        <w:bidi w:val="0"/>
        <w:spacing w:before="120" w:after="0"/>
        <w:jc w:val="left"/>
        <w:rPr>
          <w:rFonts w:ascii="Arial" w:hAnsi="Arial"/>
          <w:sz w:val="20"/>
        </w:rPr>
      </w:pPr>
      <w:r>
        <w:rPr>
          <w:rFonts w:ascii="Arial" w:hAnsi="Arial"/>
          <w:sz w:val="20"/>
        </w:rPr>
        <w:t xml:space="preserve">All Other is comprised of APS, Data Center Solutions and SLB Capturi. </w:t>
      </w:r>
    </w:p>
    <w:p>
      <w:pPr>
        <w:pStyle w:val="TextBody"/>
        <w:bidi w:val="0"/>
        <w:spacing w:before="240" w:after="0"/>
        <w:jc w:val="left"/>
        <w:rPr>
          <w:rFonts w:ascii="Arial" w:hAnsi="Arial"/>
          <w:sz w:val="20"/>
        </w:rPr>
      </w:pPr>
      <w:r>
        <w:rPr>
          <w:rFonts w:ascii="Arial" w:hAnsi="Arial"/>
          <w:sz w:val="20"/>
        </w:rPr>
        <w:t xml:space="preserve">Revenue increased 8% sequentially, driven by strong growth in Data Center Solutions, where revenue increased 23%. Higher APS revenue also contributed to growth, partially offset by lower revenue in SLB Capturi. </w:t>
      </w:r>
    </w:p>
    <w:p>
      <w:pPr>
        <w:pStyle w:val="TextBody"/>
        <w:bidi w:val="0"/>
        <w:spacing w:before="240" w:after="0"/>
        <w:jc w:val="left"/>
        <w:rPr>
          <w:rFonts w:ascii="Arial" w:hAnsi="Arial"/>
          <w:sz w:val="20"/>
        </w:rPr>
      </w:pPr>
      <w:r>
        <w:rPr>
          <w:rFonts w:ascii="Arial" w:hAnsi="Arial"/>
          <w:sz w:val="20"/>
        </w:rPr>
        <w:t xml:space="preserve">Year on year, revenue increased 37%, primarily reflecting a 76% increase in Data Center Solutions revenue. Growth was further supported by higher APS revenue, as the prior-year period was affected by pipeline-related disruptions. These gains were partially offset by lower revenue in SLB Capturi following the completion of project milestones. </w:t>
      </w:r>
    </w:p>
    <w:p>
      <w:pPr>
        <w:pStyle w:val="TextBody"/>
        <w:bidi w:val="0"/>
        <w:spacing w:before="240" w:after="0"/>
        <w:jc w:val="left"/>
        <w:rPr>
          <w:rFonts w:ascii="Arial" w:hAnsi="Arial"/>
          <w:sz w:val="20"/>
        </w:rPr>
      </w:pPr>
      <w:r>
        <w:rPr>
          <w:rFonts w:ascii="Arial" w:hAnsi="Arial"/>
          <w:sz w:val="20"/>
        </w:rPr>
        <w:t xml:space="preserve">Pretax operating income decreased sequentially as ramp-up costs associated with new Data Center Solutions projects impacted profitability. </w:t>
      </w:r>
    </w:p>
    <w:p>
      <w:pPr>
        <w:pStyle w:val="TextBody"/>
        <w:bidi w:val="0"/>
        <w:spacing w:before="240" w:after="0"/>
        <w:jc w:val="left"/>
        <w:rPr>
          <w:rFonts w:ascii="Arial" w:hAnsi="Arial"/>
          <w:sz w:val="20"/>
        </w:rPr>
      </w:pPr>
      <w:r>
        <w:rPr>
          <w:rFonts w:ascii="Arial" w:hAnsi="Arial"/>
          <w:sz w:val="20"/>
        </w:rPr>
        <w:t xml:space="preserve">Year on year, pretax operating income increased driven by higher Data Center Solutions activity and improved profitability in APS projects.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Quarterly Highlights </w:t>
      </w:r>
    </w:p>
    <w:p>
      <w:pPr>
        <w:pStyle w:val="TextBody"/>
        <w:bidi w:val="0"/>
        <w:spacing w:before="120" w:after="0"/>
        <w:jc w:val="left"/>
        <w:rPr>
          <w:rFonts w:ascii="Arial" w:hAnsi="Arial"/>
          <w:b/>
          <w:sz w:val="20"/>
        </w:rPr>
      </w:pPr>
      <w:r>
        <w:rPr>
          <w:rFonts w:ascii="Arial" w:hAnsi="Arial"/>
          <w:b/>
          <w:sz w:val="20"/>
        </w:rPr>
        <w:t xml:space="preserve">Core </w:t>
      </w:r>
    </w:p>
    <w:p>
      <w:pPr>
        <w:pStyle w:val="TextBody"/>
        <w:bidi w:val="0"/>
        <w:spacing w:before="120" w:after="0"/>
        <w:jc w:val="left"/>
        <w:rPr>
          <w:rFonts w:ascii="Arial" w:hAnsi="Arial"/>
          <w:b/>
          <w:sz w:val="20"/>
        </w:rPr>
      </w:pPr>
      <w:r>
        <w:rPr>
          <w:rFonts w:ascii="Arial" w:hAnsi="Arial"/>
          <w:b/>
          <w:sz w:val="20"/>
        </w:rPr>
        <w:t xml:space="preserve">Contract Awards </w:t>
      </w:r>
    </w:p>
    <w:p>
      <w:pPr>
        <w:pStyle w:val="TextBody"/>
        <w:bidi w:val="0"/>
        <w:spacing w:before="120" w:after="0"/>
        <w:jc w:val="left"/>
        <w:rPr>
          <w:rFonts w:ascii="Arial" w:hAnsi="Arial"/>
          <w:sz w:val="20"/>
        </w:rPr>
      </w:pPr>
      <w:r>
        <w:rPr>
          <w:rFonts w:ascii="Arial" w:hAnsi="Arial"/>
          <w:sz w:val="20"/>
        </w:rPr>
        <w:t xml:space="preserve">SLB continues to win new contract awards that align with SLB’s strengths in the Core. Notable highlights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SLB has been awarded four integrated well construction contracts by Aramco to support oil and gas development across the Kingdom of Saudi Arabia. Under the contracts, SLB will manage end-to-end well construction services, delivering more than 450 wells in the three-year term, with an optional extension of up to two years. SLB’s integrated well construction model brings together every aspect of well delivery through a technology-enabled operating model. It combines digital drilling workflows with automated drilling, evaluation, fluids, cementing and completions products and services to improve efficiency, consistency and well performance across diverse, large-scale drilling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The SLB OneSubsea joint venture has been awarded a contract by ExxonMobil Moçambique, Limitada, on behalf of its Area 4 partners, (ENH, CNPC, Eni, KOGAS and XRG), to deliver subsea production systems for the first phase of the offshore Rovuma LNG project in Mozambique. The contract scope includes the delivery of subsea trees, manifolds, umbilicals and associated control systems designed to support efficient production from the deepwater field. SLB OneSubsea will provide engineering, procurement and manufacturing, along with installation services, leveraging its experience in delivering subsea systems for complex deepwater developments worldwide.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and Equinor have signed a multi-year agreement for advanced reservoir stimulation services across the Norwegian Continental Shelf, including a major upgrade of the well stimulation vessel MV Island Captain. The agreement secures dedicated capacity to support development of tight offshore reservoirs and helps maximize recovery from future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SLB has been awarded a contract by Brunei Shell Petroleum (BSP) to support production restoration from shut-in wells across multiple offshore fields. The contract scope spans subsurface evaluation, well candidate selection, engineering and offshore execution. Project management, intervention services, monitoring, metering and marine logistics are integrated within a single coordinated execution model designed to support efficient production restoration.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Oman, Petroleum Development Oman awarded SLB a 5-year contract for the provision of integrated fracturing services onshore Block-6 in both oil and gas fields. The scope includes the deployment of advanced stimulation, well intervention, fracturing automation and digital solutions capabilities that will enhance productivity, improve reservoir contact and maximize asset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Kuwait, Kuwait Oil Company (KOC) awarded SLB a five-year reservoir characterization technology contract for specialized services for unconventional reservoirs. The contract deploys SLB’s Ora deep transient testing, OnWave autonomous logging platform and Reveal surveillance solutions, together with different subsurface, conveyance and digital technologies, to support advanced formation evaluation across different reservoirs in Kuwait.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Pakistan, Oil &amp; Gas Development Company (OGDC) awarded SLB a three-year contract for electric submersible pump (ESP) and electric submersible progressing cavity pump (ESPCP) technologies, marking the third consecutive ESP award from OGDC. Through its existing ESP program with SLB, OGDC has delivered approximately 11,000 barrels per day of incremental oil production and 5.3 million barrels cumulatively. The new contract expands deployments across OGDC concessions, supported by SLB’s Avalon real-time surveillance to optimize performance and reliability.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Australia, GB Energy partnered with SLB to deliver an integrated package of critical midstream gas processing equipment and valve systems for the country’s first offshore gas storage reservoir initiative. SLB will supply key gas processing and flow control technologies, including flowline monoethylene glycol regeneration, triethylene glycol dehydration, mercury and H2S removal, sand removal, and onshore manual and actuated valves for the gas processing facility and pipeline. The project supports south-east Australia’s long-term gas supply strategy, with initial capacity expected to meet approximately one-third of Victoria’s peak-day gas demand. The project will increase gas storage capacity in south-east Australia by more than 70% and strengthen energy security and grid stability in the region.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Technology Highlights </w:t>
      </w:r>
    </w:p>
    <w:p>
      <w:pPr>
        <w:pStyle w:val="TextBody"/>
        <w:bidi w:val="0"/>
        <w:spacing w:before="120" w:after="0"/>
        <w:jc w:val="left"/>
        <w:rPr>
          <w:rFonts w:ascii="Arial" w:hAnsi="Arial"/>
          <w:sz w:val="20"/>
        </w:rPr>
      </w:pPr>
      <w:r>
        <w:rPr>
          <w:rFonts w:ascii="Arial" w:hAnsi="Arial"/>
          <w:sz w:val="20"/>
        </w:rPr>
        <w:t xml:space="preserve">Notable technology introductions and deployments in the quarter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the United States, SLB deployed a sensor-based production chemistry optimization program across nearly 1,400 producing wells for a major operator in the Permian Basin, replacing manual inventory management with real-time monitoring, machine learning anomaly detection, and AI-driven injection control. Pump monitor controller units and tank-level monitor units enabled remote recalibration and centralized weekly operational reviews. The program increased on-target injection performance from 63% to 92%, reduced overtreatment from 17% to 3%, and avoided $4.4 million in net costs in the first nine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Also in the United States, SLB and CNX deployed Invincible Trim extreme-wear-resistant choke trim in one of North America’s most abrasive unconventional gas basins, improving production uptime during a critical phase of well life. Purpose-engineered for high-erosion environments, the technology reduced shutdowns and interventions associated with conventional choke trim and supported continuous production through the most erosive period. The deployment helped optimize production, reduce maintenance requirements and improve well economics for CNX, reinforcing SLB’s ability to deliver advanced flow control solutions that enhance asset performance in challenging unconventional environments.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Ecuador, SLB partnered with an onshore operator to reverse prolonged production decline at a mature onshore field through an integrated recovery program combining waterflooding, infill drilling and the country’s first chemical-enhanced oil recovery pilot. The program, supported by Agora edge AI and IoT solutions, reduced intervention time by 98%, restored production to a peak of 86,000 barrels of oil per day, delivered 1.9 times the reserves projected at baseline and is projected to enable a 7% incremental recovery factor by 2035.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Offshore Brazil, SLB delivered a 37-well subsea plug and abandonment campaign for a deepwater operator, completing an average of 18 days per well against a 22-day target and a 33-day industry benchmark. Using an integrated portfolio of digital slickline services — including the eFire-SL slickline-deployed electronic firing head, SIMplus retrievable bridge plugs, and SIM permanent plugs — alongside coiled tubing intervention, SLB reduced personnel on board by 19% compared to the benchmark and delivered $900,000 in avoided costs per well. The campaign, completed over 20 months with more than 150 digital slickline runs and 130 coiled tubing runs, demonstrates how fit-for-purpose wellbore decommissioning technology can compress both cost and cycle time at scale in deepwater environments.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Kuwait, SLB used precise multilateral access to control water and unlock oil production for KOC. A mature three-lateral producer experienced a water cut increase that rose to approximately 98%, threatening the well’s economic viability. Using the access service of ExaCT electrical downhole CT control system, SLB established fast, repeatable access to each lateral, identified the dominant water-producing branch, and executed a targeted water shutoff treatment. The intervention reduced water cut by approximately 20%, increased oil production by about 505 barrels per day, and saved an estimated 96 hours compared with a conventional approach.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Brunei, SLB and BSP successfully completed the first deployment of the Retina at-bit imaging system in Southeast Asia, delivering high-resolution subsurface data with no impact on drilling performance. Enabled by a fit-for-purpose bit design and integrated with Automated Lithology, the Retina system captured 100% of the interval in a single run across two sections while providing detailed imaging of geological features. The deployment demonstrates how at-bit measurements can be converted into high-quality borehole images to strengthen formation evaluation, well planning and drilling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Offshore Malaysia, an operator sought to maximize recovery from a thin, variably dipping sand reservoir while minimizing drilling risk amid subsurface uncertainty. SLB deployed a fully autonomous geosteering system combining Subsurface Advisor intelligent subsurface drilling solution, Neuro autonomous geosteering and GeoSphere HD high-definition reservoir mapping-while-drilling service. The system executed four autonomous trajectory changes with sub-20-second decision cycles, maintaining reservoir contact within 3 meters of the reservoir base throughout the lateral section, marking Asia’s first fully autonomous geosteering operation.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Digital </w:t>
      </w:r>
    </w:p>
    <w:p>
      <w:pPr>
        <w:pStyle w:val="TextBody"/>
        <w:bidi w:val="0"/>
        <w:spacing w:before="120" w:after="0"/>
        <w:jc w:val="left"/>
        <w:rPr>
          <w:rFonts w:ascii="Arial" w:hAnsi="Arial"/>
          <w:sz w:val="20"/>
        </w:rPr>
      </w:pPr>
      <w:r>
        <w:rPr>
          <w:rFonts w:ascii="Arial" w:hAnsi="Arial"/>
          <w:sz w:val="20"/>
        </w:rPr>
        <w:t xml:space="preserve">SLB is deploying digital technology at scale, partnering with customers to migrate their technology and workflows into the cloud, to embrace new AI-enabled capabilities, and to leverage insights to elevate their performance. Notable highlights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SLB has announced that Chevron Technical Center, a division of Chevron U.S.A. Inc. (Chevron), has joined the long-term digital subsurface collaboration established by SLB and TotalEnergies in 2024, adding a second global operator to the co-development of next generation digital technologies for reservoir engineering and geoscience. Chevron will contribute investment, intellectual property and technical expertise to the collaboration. The company will also bring industry-leading expertise in uncertainty analysis, optimization and field development planning, that will help shape the roadmap for scalable digital subsurface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SLB announced a 15-year agreement with TotalEnergies to use the DrillPlan coherent well planning and engineering solution. The agreement will support TotalEnergies’ transition to a digital planning environment, connecting subsurface insights with well planning and engineering. Enabled by SLB’s DrillPlan solution and the expertise of both companies, the agreement marks a significant step in the companies’ digital collaboration and reflects a broader shift across the industry as operators move toward scalable, interoperable digital platforms to improve engineering and well construction execution.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and Eni expanded AI-driven workflows across subsurface domains, accelerating real-time operations in petrophysics and geomechanics for improved efficiency using SLB’s on-premises Lumi data and AI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SLB announced the launch of the Amapá 3D multiclient seismic survey in partnership with Shearwater GeoServices. Located offshore Amapá in northern Brazil’s Equatorial Margin, the project represents one of SLB’s most significant investments in exploration data in the prolific deepwater Atlantic Margin and will expand high-quality 3D seismic coverage in an underexplored area of the basin.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Angola, Azule Energy became one of the first African energy companies to fully plan and execute a well using SLB DrillPlan and DrillOps solutions. The digital workflow automated 95% of engineering tasks, cut planning time from 192 to 31 hours, and enabled autonomous drilling of a 2,000-meter section with zero nonproductive time and a 16% increase in net rate of penetration versus the field benchmark.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ADNOC has deployed its AI-enabled Real-Time Operations Center (RTOC) across its fleet of more than 120 onshore and offshore drilling rigs, enabled by SLB’s DrillOps intelligent well delivery and insights solutions. The platform brings live drilling data into a unified, real-time environment that helps ADNOC teams improve coordination, identify risks earlier and make faster, more informed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Brunei, BSP awarded SLB an on-premises software contract, expanding upon the existing relationship between the two companies. SLB will provide services to BSP for subsurface and engineering needs, including geology, geophysics, petrophysics, reservoir engineering, drilling and production. The contract establishes an integrated subsurface and production environment anchored by Petrel subsurface software and Techlog wellbore software, enhanced with digital and AI capabilities. The award reflects a significant expansion in software scope following a competitive evaluation, enabling SLB to consolidate workflows onto a unified platform supported by targeted deployment and onsite technical support.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New Horizons of Growth </w:t>
      </w:r>
    </w:p>
    <w:p>
      <w:pPr>
        <w:pStyle w:val="TextBody"/>
        <w:bidi w:val="0"/>
        <w:spacing w:before="120" w:after="0"/>
        <w:jc w:val="left"/>
        <w:rPr>
          <w:rFonts w:ascii="Arial" w:hAnsi="Arial"/>
          <w:sz w:val="20"/>
        </w:rPr>
      </w:pPr>
      <w:r>
        <w:rPr>
          <w:rFonts w:ascii="Arial" w:hAnsi="Arial"/>
          <w:sz w:val="20"/>
        </w:rPr>
        <w:t xml:space="preserve">SLB is participating in high-growth markets like Data Center Solutions, through strategic innovative technology and partnerships,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Canada, following its recent contract award from Meta, SLB is establishing a facility to assemble and test critical data center infrastructure. Expected to open in the first half of 2027, the facility will enable SLB to serve as Meta’s delivery partner for modular offsite assembly, installation and commissioning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the Norwegian North Sea, SLB has been selected as strategic reservoir partner for Harbour Energy’s Havstjerne carbon storage project, a large-scale offshore development intended to serve industrial emitters across Europe. SLB will provide technology and engineering services for the concept and FEED phases, coordinating an integrated scope that connects underground storage reservoir analysis with injection well design, subsea infrastructure and plans for monitoring stored CO2. Delivered in collaboration with SLB OneSubsea joint venture, the work will support development of the project’s technical, cost and schedule basis ahead of a final investment decision.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Arial" w:hAnsi="Arial"/>
                <w:sz w:val="20"/>
              </w:rPr>
            </w:pPr>
            <w:r>
              <w:rPr>
                <w:rFonts w:ascii="Arial" w:hAnsi="Arial"/>
                <w:sz w:val="20"/>
              </w:rPr>
              <w:t xml:space="preserve">In Poland, ORLEN Petrobaltic awarded SLB a multi-year carbon capture and storage (CCS) and measurement, monitoring and verification (MMV) subsurface study. The work will help derisk key storage and development decisions for the project and advance ORLEN’s CCS strategy in the Baltic region, supporting the development of long-term CO2 storage capacity and the decarbonization of industrial emissions.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FINANCIAL TABLES </w:t>
      </w:r>
    </w:p>
    <w:p>
      <w:pPr>
        <w:pStyle w:val="TextBody"/>
        <w:bidi w:val="0"/>
        <w:spacing w:before="120" w:after="0"/>
        <w:jc w:val="left"/>
        <w:rPr>
          <w:rFonts w:ascii="Arial" w:hAnsi="Arial"/>
          <w:b/>
          <w:sz w:val="20"/>
        </w:rPr>
      </w:pPr>
      <w:r>
        <w:rPr>
          <w:rFonts w:ascii="Arial" w:hAnsi="Arial"/>
          <w:b/>
          <w:sz w:val="20"/>
        </w:rPr>
        <w:t xml:space="preserve">Condensed Consolidated Statement of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6"/>
        <w:gridCol w:w="144"/>
        <w:gridCol w:w="140"/>
        <w:gridCol w:w="574"/>
        <w:gridCol w:w="60"/>
        <w:gridCol w:w="144"/>
        <w:gridCol w:w="140"/>
        <w:gridCol w:w="574"/>
        <w:gridCol w:w="60"/>
        <w:gridCol w:w="144"/>
        <w:gridCol w:w="140"/>
        <w:gridCol w:w="803"/>
        <w:gridCol w:w="60"/>
        <w:gridCol w:w="144"/>
        <w:gridCol w:w="140"/>
        <w:gridCol w:w="717"/>
        <w:gridCol w:w="65"/>
      </w:tblGrid>
      <w:tr>
        <w:trPr/>
        <w:tc>
          <w:tcPr>
            <w:tcW w:w="6156"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15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840" w:type="dxa"/>
            <w:gridSpan w:val="14"/>
            <w:tcBorders/>
            <w:vAlign w:val="bottom"/>
          </w:tcPr>
          <w:p>
            <w:pPr>
              <w:pStyle w:val="TableContents"/>
              <w:bidi w:val="0"/>
              <w:spacing w:before="0" w:after="283"/>
              <w:jc w:val="center"/>
              <w:rPr/>
            </w:pPr>
            <w:r>
              <w:rPr/>
              <w:t>(Stated in millions, except per share amounts)</w:t>
            </w:r>
          </w:p>
        </w:tc>
        <w:tc>
          <w:tcPr>
            <w:tcW w:w="65" w:type="dxa"/>
            <w:tcBorders/>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32" w:type="dxa"/>
            <w:gridSpan w:val="6"/>
            <w:tcBorders>
              <w:bottom w:val="single" w:sz="8" w:space="0" w:color="000000"/>
            </w:tcBorders>
            <w:tcMar>
              <w:bottom w:w="28" w:type="dxa"/>
            </w:tcMar>
            <w:vAlign w:val="bottom"/>
          </w:tcPr>
          <w:p>
            <w:pPr>
              <w:pStyle w:val="TableContents"/>
              <w:bidi w:val="0"/>
              <w:spacing w:before="0" w:after="283"/>
              <w:jc w:val="center"/>
              <w:rPr/>
            </w:pPr>
            <w:r>
              <w:rPr/>
              <w:t>Third Quarter</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004" w:type="dxa"/>
            <w:gridSpan w:val="6"/>
            <w:tcBorders>
              <w:bottom w:val="single" w:sz="8" w:space="0" w:color="000000"/>
            </w:tcBorders>
            <w:tcMar>
              <w:bottom w:w="28" w:type="dxa"/>
            </w:tcMar>
            <w:vAlign w:val="bottom"/>
          </w:tcPr>
          <w:p>
            <w:pPr>
              <w:pStyle w:val="TableContents"/>
              <w:bidi w:val="0"/>
              <w:spacing w:before="0" w:after="283"/>
              <w:jc w:val="center"/>
              <w:rPr/>
            </w:pPr>
            <w:r>
              <w:rPr/>
              <w:t>Nine Months</w:t>
            </w:r>
          </w:p>
        </w:tc>
        <w:tc>
          <w:tcPr>
            <w:tcW w:w="65" w:type="dxa"/>
            <w:tcBorders/>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Revenue</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9,449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8,928</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left"/>
              <w:rPr>
                <w:b/>
              </w:rPr>
            </w:pPr>
            <w:r>
              <w:rPr>
                <w:b/>
              </w:rPr>
              <w:t>$27,142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25,963</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tcPr>
          <w:p>
            <w:pPr>
              <w:pStyle w:val="TableContents"/>
              <w:bidi w:val="0"/>
              <w:spacing w:before="0" w:after="0"/>
              <w:jc w:val="left"/>
              <w:rPr>
                <w:rFonts w:ascii="Arial" w:hAnsi="Arial"/>
                <w:sz w:val="20"/>
              </w:rPr>
            </w:pPr>
            <w:r>
              <w:rPr>
                <w:rFonts w:ascii="Arial" w:hAnsi="Arial"/>
                <w:sz w:val="20"/>
              </w:rPr>
              <w:t>Interest &amp; other income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68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187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408</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tcPr>
          <w:p>
            <w:pPr>
              <w:pStyle w:val="TableContents"/>
              <w:bidi w:val="0"/>
              <w:spacing w:before="0" w:after="0"/>
              <w:jc w:val="left"/>
              <w:rPr>
                <w:rFonts w:ascii="Arial" w:hAnsi="Arial"/>
                <w:sz w:val="20"/>
              </w:rPr>
            </w:pPr>
            <w:r>
              <w:rPr>
                <w:rFonts w:ascii="Arial" w:hAnsi="Arial"/>
                <w:sz w:val="20"/>
              </w:rPr>
              <w:t>Expenses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Cost of revenue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7,883</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7,370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22,850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21,185</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Research &amp; engineering</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156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491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522</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General &amp; administrative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84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265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256</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tcPr>
          <w:p>
            <w:pPr>
              <w:pStyle w:val="TableContents"/>
              <w:bidi w:val="0"/>
              <w:spacing w:before="0" w:after="0"/>
              <w:jc w:val="left"/>
              <w:rPr>
                <w:rFonts w:ascii="Arial" w:hAnsi="Arial"/>
                <w:sz w:val="20"/>
              </w:rPr>
            </w:pPr>
            <w:r>
              <w:rPr>
                <w:rFonts w:ascii="Arial" w:hAnsi="Arial"/>
                <w:sz w:val="20"/>
              </w:rPr>
              <w:t>Merger &amp; integration (1)</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55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143</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165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226</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tcPr>
          <w:p>
            <w:pPr>
              <w:pStyle w:val="TableContents"/>
              <w:bidi w:val="0"/>
              <w:spacing w:before="0" w:after="0"/>
              <w:jc w:val="left"/>
              <w:rPr>
                <w:rFonts w:ascii="Arial" w:hAnsi="Arial"/>
                <w:sz w:val="20"/>
              </w:rPr>
            </w:pPr>
            <w:r>
              <w:rPr>
                <w:rFonts w:ascii="Arial" w:hAnsi="Arial"/>
                <w:sz w:val="20"/>
              </w:rPr>
              <w:t>Restructuring &amp; other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187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109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187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402</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133</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142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377</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432</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Income before taxes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1,019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2,994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3,348</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Tax expense (1)</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239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226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638</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697</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Net income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780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774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2,356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2,651</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Net income attributable to noncontrolling interests (1)</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45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83</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101</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Net income attributable to SLB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735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739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2,273</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2,550</w:t>
            </w:r>
          </w:p>
        </w:tc>
        <w:tc>
          <w:tcPr>
            <w:tcW w:w="65" w:type="dxa"/>
            <w:tcBorders/>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Diluted earnings per share of SLB (1)</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0.49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0.50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3" w:type="dxa"/>
            <w:tcBorders/>
            <w:shd w:fill="CCEEFF" w:val="clear"/>
            <w:vAlign w:val="bottom"/>
          </w:tcPr>
          <w:p>
            <w:pPr>
              <w:pStyle w:val="TableContents"/>
              <w:bidi w:val="0"/>
              <w:spacing w:before="0" w:after="283"/>
              <w:jc w:val="right"/>
              <w:rPr>
                <w:b/>
              </w:rPr>
            </w:pPr>
            <w:r>
              <w:rPr>
                <w:b/>
              </w:rPr>
              <w:t>1.51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1.80</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Average shares outstanding</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1,481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1,471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1,490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1,396</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Average shares outstanding assuming dilution</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1,497</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1,488</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1,506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1,414</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Depreciation &amp; amortization included in expenses (2)</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698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638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2,095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1,911</w:t>
            </w:r>
          </w:p>
        </w:tc>
        <w:tc>
          <w:tcPr>
            <w:tcW w:w="65" w:type="dxa"/>
            <w:tcBorders/>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Condensed Consolidated Balance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6"/>
        <w:gridCol w:w="381"/>
        <w:gridCol w:w="140"/>
        <w:gridCol w:w="736"/>
        <w:gridCol w:w="60"/>
        <w:gridCol w:w="381"/>
        <w:gridCol w:w="297"/>
        <w:gridCol w:w="1531"/>
        <w:gridCol w:w="63"/>
      </w:tblGrid>
      <w:tr>
        <w:trPr/>
        <w:tc>
          <w:tcPr>
            <w:tcW w:w="6616"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616"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828" w:type="dxa"/>
            <w:gridSpan w:val="2"/>
            <w:tcBorders/>
            <w:vAlign w:val="bottom"/>
          </w:tcPr>
          <w:p>
            <w:pPr>
              <w:pStyle w:val="TableContents"/>
              <w:bidi w:val="0"/>
              <w:spacing w:before="0" w:after="283"/>
              <w:jc w:val="center"/>
              <w:rPr/>
            </w:pPr>
            <w:r>
              <w:rPr/>
              <w:t>(Stated in millions)</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2025</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Assets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53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616" w:type="dxa"/>
            <w:tcBorders/>
          </w:tcPr>
          <w:p>
            <w:pPr>
              <w:pStyle w:val="TableContents"/>
              <w:bidi w:val="0"/>
              <w:spacing w:before="0" w:after="0"/>
              <w:jc w:val="left"/>
              <w:rPr>
                <w:rFonts w:ascii="Arial" w:hAnsi="Arial"/>
                <w:sz w:val="20"/>
              </w:rPr>
            </w:pPr>
            <w:r>
              <w:rPr>
                <w:rFonts w:ascii="Arial" w:hAnsi="Arial"/>
                <w:sz w:val="20"/>
              </w:rPr>
              <w:t>Current Assets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153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Cash and short-term investments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36" w:type="dxa"/>
            <w:tcBorders/>
            <w:shd w:fill="CCEEFF" w:val="clear"/>
            <w:vAlign w:val="bottom"/>
          </w:tcPr>
          <w:p>
            <w:pPr>
              <w:pStyle w:val="TableContents"/>
              <w:bidi w:val="0"/>
              <w:spacing w:before="0" w:after="283"/>
              <w:jc w:val="right"/>
              <w:rPr>
                <w:b/>
              </w:rPr>
            </w:pPr>
            <w:r>
              <w:rPr>
                <w:b/>
              </w:rPr>
              <w:t>3,551</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4,212</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Receivables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9,735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8,689</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Inventories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5,517</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5,032</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Other current assets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1,694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1,580</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20,497</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19,513</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Investment in affiliated companies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1,712</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1,783</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Fixed assets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7,707</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7,894</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Goodwill</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17,263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16,794</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Intangible assets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4,927</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4,988</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Other assets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4,094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3,896</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36" w:type="dxa"/>
            <w:tcBorders/>
            <w:shd w:fill="CCEEFF" w:val="clear"/>
            <w:vAlign w:val="bottom"/>
          </w:tcPr>
          <w:p>
            <w:pPr>
              <w:pStyle w:val="TableContents"/>
              <w:bidi w:val="0"/>
              <w:spacing w:before="0" w:after="283"/>
              <w:jc w:val="right"/>
              <w:rPr>
                <w:b/>
              </w:rPr>
            </w:pPr>
            <w:r>
              <w:rPr>
                <w:b/>
              </w:rPr>
              <w:t>56,200</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54,868</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Liabilities and Equity</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153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Current Liabilities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53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616" w:type="dxa"/>
            <w:tcBorders/>
          </w:tcPr>
          <w:p>
            <w:pPr>
              <w:pStyle w:val="TableContents"/>
              <w:bidi w:val="0"/>
              <w:spacing w:before="0" w:after="0"/>
              <w:jc w:val="left"/>
              <w:rPr>
                <w:rFonts w:ascii="Arial" w:hAnsi="Arial"/>
                <w:sz w:val="20"/>
              </w:rPr>
            </w:pPr>
            <w:r>
              <w:rPr>
                <w:rFonts w:ascii="Arial" w:hAnsi="Arial"/>
                <w:sz w:val="20"/>
              </w:rPr>
              <w:t>Accounts payable and accrued liabilities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36" w:type="dxa"/>
            <w:tcBorders/>
            <w:vAlign w:val="bottom"/>
          </w:tcPr>
          <w:p>
            <w:pPr>
              <w:pStyle w:val="TableContents"/>
              <w:bidi w:val="0"/>
              <w:spacing w:before="0" w:after="283"/>
              <w:jc w:val="right"/>
              <w:rPr>
                <w:b/>
              </w:rPr>
            </w:pPr>
            <w:r>
              <w:rPr>
                <w:b/>
              </w:rPr>
              <w:t>11,955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11,490</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Estimated liability for taxes on income</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695</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894</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Short-term borrowings and current portion of long-term debt</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1,653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1,894</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Dividends payable</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454</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443</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14,757</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14,721</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Long-term debt</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11,147</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9,742</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Other liabilities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3,083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3,114</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28,987</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27,577</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Equity</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27,213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27,291</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36" w:type="dxa"/>
            <w:tcBorders/>
            <w:shd w:fill="CCEEFF" w:val="clear"/>
            <w:vAlign w:val="bottom"/>
          </w:tcPr>
          <w:p>
            <w:pPr>
              <w:pStyle w:val="TableContents"/>
              <w:bidi w:val="0"/>
              <w:spacing w:before="0" w:after="283"/>
              <w:jc w:val="right"/>
              <w:rPr>
                <w:b/>
              </w:rPr>
            </w:pPr>
            <w:r>
              <w:rPr>
                <w:b/>
              </w:rPr>
              <w:t>56,200</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54,868</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Liquidity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59"/>
        <w:gridCol w:w="276"/>
        <w:gridCol w:w="140"/>
        <w:gridCol w:w="779"/>
        <w:gridCol w:w="155"/>
        <w:gridCol w:w="231"/>
        <w:gridCol w:w="140"/>
        <w:gridCol w:w="779"/>
        <w:gridCol w:w="155"/>
        <w:gridCol w:w="231"/>
        <w:gridCol w:w="140"/>
        <w:gridCol w:w="779"/>
        <w:gridCol w:w="155"/>
        <w:gridCol w:w="231"/>
        <w:gridCol w:w="140"/>
        <w:gridCol w:w="638"/>
        <w:gridCol w:w="160"/>
      </w:tblGrid>
      <w:tr>
        <w:trPr/>
        <w:tc>
          <w:tcPr>
            <w:tcW w:w="4259"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5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1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1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083" w:type="dxa"/>
            <w:gridSpan w:val="6"/>
            <w:tcBorders/>
            <w:vAlign w:val="bottom"/>
          </w:tcPr>
          <w:p>
            <w:pPr>
              <w:pStyle w:val="TableContents"/>
              <w:bidi w:val="0"/>
              <w:spacing w:before="0" w:after="20"/>
              <w:jc w:val="center"/>
              <w:rPr>
                <w:rFonts w:ascii="Arial" w:hAnsi="Arial"/>
                <w:sz w:val="16"/>
              </w:rPr>
            </w:pPr>
            <w:r>
              <w:rPr>
                <w:rFonts w:ascii="Arial" w:hAnsi="Arial"/>
                <w:sz w:val="16"/>
              </w:rPr>
              <w:t>(Stated in millions)</w:t>
            </w:r>
          </w:p>
        </w:tc>
        <w:tc>
          <w:tcPr>
            <w:tcW w:w="160" w:type="dxa"/>
            <w:tcBorders/>
            <w:vAlign w:val="bottom"/>
          </w:tcPr>
          <w:p>
            <w:pPr>
              <w:pStyle w:val="TableContents"/>
              <w:bidi w:val="0"/>
              <w:spacing w:before="0" w:after="283"/>
              <w:jc w:val="left"/>
              <w:rPr/>
            </w:pPr>
            <w:r>
              <w:rPr/>
              <w:t> </w:t>
            </w:r>
          </w:p>
        </w:tc>
      </w:tr>
      <w:tr>
        <w:trPr/>
        <w:tc>
          <w:tcPr>
            <w:tcW w:w="4259"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Components of Liquidity</w:t>
            </w:r>
          </w:p>
        </w:tc>
        <w:tc>
          <w:tcPr>
            <w:tcW w:w="276"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2025</w:t>
            </w:r>
          </w:p>
        </w:tc>
        <w:tc>
          <w:tcPr>
            <w:tcW w:w="160" w:type="dxa"/>
            <w:tcBorders/>
            <w:vAlign w:val="bottom"/>
          </w:tcPr>
          <w:p>
            <w:pPr>
              <w:pStyle w:val="TableContents"/>
              <w:bidi w:val="0"/>
              <w:spacing w:before="0" w:after="283"/>
              <w:jc w:val="left"/>
              <w:rPr/>
            </w:pPr>
            <w:r>
              <w:rPr/>
              <w:t> </w:t>
            </w:r>
          </w:p>
        </w:tc>
      </w:tr>
      <w:tr>
        <w:trPr/>
        <w:tc>
          <w:tcPr>
            <w:tcW w:w="4259" w:type="dxa"/>
            <w:tcBorders/>
            <w:shd w:fill="CCEEFF" w:val="clear"/>
          </w:tcPr>
          <w:p>
            <w:pPr>
              <w:pStyle w:val="TableContents"/>
              <w:bidi w:val="0"/>
              <w:spacing w:before="0" w:after="0"/>
              <w:jc w:val="left"/>
              <w:rPr>
                <w:rFonts w:ascii="Arial" w:hAnsi="Arial"/>
                <w:sz w:val="20"/>
              </w:rPr>
            </w:pPr>
            <w:r>
              <w:rPr>
                <w:rFonts w:ascii="Arial" w:hAnsi="Arial"/>
                <w:sz w:val="20"/>
              </w:rPr>
              <w:t>Cash and short-term investments</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79" w:type="dxa"/>
            <w:tcBorders/>
            <w:shd w:fill="CCEEFF" w:val="clear"/>
            <w:vAlign w:val="bottom"/>
          </w:tcPr>
          <w:p>
            <w:pPr>
              <w:pStyle w:val="TableContents"/>
              <w:bidi w:val="0"/>
              <w:spacing w:before="0" w:after="283"/>
              <w:jc w:val="right"/>
              <w:rPr>
                <w:b/>
              </w:rPr>
            </w:pPr>
            <w:r>
              <w:rPr>
                <w:b/>
              </w:rPr>
              <w:t>3,551</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4,071</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3,585</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4,212</w:t>
            </w:r>
          </w:p>
        </w:tc>
        <w:tc>
          <w:tcPr>
            <w:tcW w:w="160" w:type="dxa"/>
            <w:tcBorders/>
            <w:shd w:fill="CCEEFF" w:val="clear"/>
            <w:vAlign w:val="bottom"/>
          </w:tcPr>
          <w:p>
            <w:pPr>
              <w:pStyle w:val="TableContents"/>
              <w:bidi w:val="0"/>
              <w:spacing w:before="0" w:after="283"/>
              <w:jc w:val="left"/>
              <w:rPr/>
            </w:pPr>
            <w:r>
              <w:rPr/>
              <w:t> </w:t>
            </w:r>
          </w:p>
        </w:tc>
      </w:tr>
      <w:tr>
        <w:trPr/>
        <w:tc>
          <w:tcPr>
            <w:tcW w:w="4259" w:type="dxa"/>
            <w:tcBorders/>
          </w:tcPr>
          <w:p>
            <w:pPr>
              <w:pStyle w:val="TableContents"/>
              <w:bidi w:val="0"/>
              <w:spacing w:before="0" w:after="0"/>
              <w:jc w:val="left"/>
              <w:rPr>
                <w:rFonts w:ascii="Arial" w:hAnsi="Arial"/>
                <w:sz w:val="20"/>
              </w:rPr>
            </w:pPr>
            <w:r>
              <w:rPr>
                <w:rFonts w:ascii="Arial" w:hAnsi="Arial"/>
                <w:sz w:val="20"/>
              </w:rPr>
              <w:t>Short-term borrowings and current portion of long-term debt</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b/>
              </w:rPr>
            </w:pPr>
            <w:r>
              <w:rPr>
                <w:b/>
              </w:rPr>
              <w:t>(1,653</w:t>
            </w:r>
          </w:p>
        </w:tc>
        <w:tc>
          <w:tcPr>
            <w:tcW w:w="155" w:type="dxa"/>
            <w:tcBorders/>
            <w:vAlign w:val="bottom"/>
          </w:tcPr>
          <w:p>
            <w:pPr>
              <w:pStyle w:val="TableContents"/>
              <w:bidi w:val="0"/>
              <w:spacing w:before="0" w:after="283"/>
              <w:jc w:val="left"/>
              <w:rPr>
                <w:b/>
              </w:rPr>
            </w:pPr>
            <w:r>
              <w:rPr>
                <w:b/>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(1,658</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(1,923</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(1,894</w:t>
            </w:r>
          </w:p>
        </w:tc>
        <w:tc>
          <w:tcPr>
            <w:tcW w:w="160" w:type="dxa"/>
            <w:tcBorders/>
            <w:vAlign w:val="bottom"/>
          </w:tcPr>
          <w:p>
            <w:pPr>
              <w:pStyle w:val="TableContents"/>
              <w:bidi w:val="0"/>
              <w:spacing w:before="0" w:after="283"/>
              <w:jc w:val="left"/>
              <w:rPr/>
            </w:pPr>
            <w:r>
              <w:rPr/>
              <w:t>) </w:t>
            </w:r>
          </w:p>
        </w:tc>
      </w:tr>
      <w:tr>
        <w:trPr/>
        <w:tc>
          <w:tcPr>
            <w:tcW w:w="4259" w:type="dxa"/>
            <w:tcBorders/>
            <w:shd w:fill="CCEEFF" w:val="clear"/>
          </w:tcPr>
          <w:p>
            <w:pPr>
              <w:pStyle w:val="TableContents"/>
              <w:bidi w:val="0"/>
              <w:spacing w:before="0" w:after="0"/>
              <w:jc w:val="left"/>
              <w:rPr>
                <w:rFonts w:ascii="Arial" w:hAnsi="Arial"/>
                <w:sz w:val="20"/>
              </w:rPr>
            </w:pPr>
            <w:r>
              <w:rPr>
                <w:rFonts w:ascii="Arial" w:hAnsi="Arial"/>
                <w:sz w:val="20"/>
              </w:rPr>
              <w:t>Long-term debt</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b/>
              </w:rPr>
            </w:pPr>
            <w:r>
              <w:rPr>
                <w:b/>
              </w:rPr>
              <w:t>(11,147</w:t>
            </w:r>
          </w:p>
        </w:tc>
        <w:tc>
          <w:tcPr>
            <w:tcW w:w="155" w:type="dxa"/>
            <w:tcBorders/>
            <w:shd w:fill="CCEEFF" w:val="clear"/>
            <w:vAlign w:val="bottom"/>
          </w:tcPr>
          <w:p>
            <w:pPr>
              <w:pStyle w:val="TableContents"/>
              <w:bidi w:val="0"/>
              <w:spacing w:before="0" w:after="283"/>
              <w:jc w:val="left"/>
              <w:rPr>
                <w:b/>
              </w:rPr>
            </w:pPr>
            <w:r>
              <w:rPr>
                <w:b/>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(11,140</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(10,843</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(9,742</w:t>
            </w:r>
          </w:p>
        </w:tc>
        <w:tc>
          <w:tcPr>
            <w:tcW w:w="160" w:type="dxa"/>
            <w:tcBorders/>
            <w:shd w:fill="CCEEFF" w:val="clear"/>
            <w:vAlign w:val="bottom"/>
          </w:tcPr>
          <w:p>
            <w:pPr>
              <w:pStyle w:val="TableContents"/>
              <w:bidi w:val="0"/>
              <w:spacing w:before="0" w:after="283"/>
              <w:jc w:val="left"/>
              <w:rPr/>
            </w:pPr>
            <w:r>
              <w:rPr/>
              <w:t>) </w:t>
            </w:r>
          </w:p>
        </w:tc>
      </w:tr>
      <w:tr>
        <w:trPr/>
        <w:tc>
          <w:tcPr>
            <w:tcW w:w="4259"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59" w:type="dxa"/>
            <w:tcBorders/>
          </w:tcPr>
          <w:p>
            <w:pPr>
              <w:pStyle w:val="TableContents"/>
              <w:bidi w:val="0"/>
              <w:spacing w:before="0" w:after="0"/>
              <w:jc w:val="left"/>
              <w:rPr>
                <w:rFonts w:ascii="Arial" w:hAnsi="Arial"/>
                <w:sz w:val="20"/>
              </w:rPr>
            </w:pPr>
            <w:r>
              <w:rPr>
                <w:rFonts w:ascii="Arial" w:hAnsi="Arial"/>
                <w:sz w:val="20"/>
              </w:rPr>
              <w:t>Net Debt (1)</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79" w:type="dxa"/>
            <w:tcBorders/>
            <w:vAlign w:val="bottom"/>
          </w:tcPr>
          <w:p>
            <w:pPr>
              <w:pStyle w:val="TableContents"/>
              <w:bidi w:val="0"/>
              <w:spacing w:before="0" w:after="283"/>
              <w:jc w:val="right"/>
              <w:rPr>
                <w:b/>
              </w:rPr>
            </w:pPr>
            <w:r>
              <w:rPr>
                <w:b/>
              </w:rPr>
              <w:t>(9,249</w:t>
            </w:r>
          </w:p>
        </w:tc>
        <w:tc>
          <w:tcPr>
            <w:tcW w:w="155" w:type="dxa"/>
            <w:tcBorders/>
            <w:vAlign w:val="bottom"/>
          </w:tcPr>
          <w:p>
            <w:pPr>
              <w:pStyle w:val="TableContents"/>
              <w:bidi w:val="0"/>
              <w:spacing w:before="0" w:after="283"/>
              <w:jc w:val="left"/>
              <w:rPr>
                <w:b/>
              </w:rPr>
            </w:pPr>
            <w:r>
              <w:rPr>
                <w:b/>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(8,727</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(9,181</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(7,424</w:t>
            </w:r>
          </w:p>
        </w:tc>
        <w:tc>
          <w:tcPr>
            <w:tcW w:w="160" w:type="dxa"/>
            <w:tcBorders/>
            <w:vAlign w:val="bottom"/>
          </w:tcPr>
          <w:p>
            <w:pPr>
              <w:pStyle w:val="TableContents"/>
              <w:bidi w:val="0"/>
              <w:spacing w:before="0" w:after="283"/>
              <w:jc w:val="left"/>
              <w:rPr/>
            </w:pPr>
            <w:r>
              <w:rPr/>
              <w:t>) </w:t>
            </w:r>
          </w:p>
        </w:tc>
      </w:tr>
      <w:tr>
        <w:trPr/>
        <w:tc>
          <w:tcPr>
            <w:tcW w:w="4259"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Details of changes in liquidity follow: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747"/>
        <w:gridCol w:w="253"/>
        <w:gridCol w:w="144"/>
        <w:gridCol w:w="709"/>
        <w:gridCol w:w="155"/>
        <w:gridCol w:w="199"/>
        <w:gridCol w:w="152"/>
        <w:gridCol w:w="737"/>
        <w:gridCol w:w="155"/>
        <w:gridCol w:w="199"/>
        <w:gridCol w:w="140"/>
        <w:gridCol w:w="639"/>
        <w:gridCol w:w="159"/>
      </w:tblGrid>
      <w:tr>
        <w:trPr/>
        <w:tc>
          <w:tcPr>
            <w:tcW w:w="5747"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47"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Periods Ended September 30,</w:t>
            </w:r>
          </w:p>
        </w:tc>
        <w:tc>
          <w:tcPr>
            <w:tcW w:w="253" w:type="dxa"/>
            <w:tcBorders/>
            <w:vAlign w:val="bottom"/>
          </w:tcPr>
          <w:p>
            <w:pPr>
              <w:pStyle w:val="TableContents"/>
              <w:bidi w:val="0"/>
              <w:spacing w:before="0" w:after="283"/>
              <w:jc w:val="left"/>
              <w:rPr/>
            </w:pPr>
            <w:r>
              <w:rPr/>
              <w:t>  </w:t>
            </w:r>
          </w:p>
        </w:tc>
        <w:tc>
          <w:tcPr>
            <w:tcW w:w="8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w:t>
              <w:br/>
              <w:t>Months</w:t>
              <w:br/>
              <w:t>2026</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w:t>
              <w:br/>
              <w:t>Quarter</w:t>
              <w:br/>
              <w:t>2026</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pPr>
            <w:r>
              <w:rPr/>
              <w:t>Nine</w:t>
              <w:br/>
              <w:t>Months</w:t>
              <w:br/>
              <w:t>2025</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Net income</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709" w:type="dxa"/>
            <w:tcBorders/>
            <w:shd w:fill="CCEEFF" w:val="clear"/>
            <w:vAlign w:val="bottom"/>
          </w:tcPr>
          <w:p>
            <w:pPr>
              <w:pStyle w:val="TableContents"/>
              <w:bidi w:val="0"/>
              <w:spacing w:before="0" w:after="283"/>
              <w:jc w:val="right"/>
              <w:rPr>
                <w:b/>
              </w:rPr>
            </w:pPr>
            <w:r>
              <w:rPr>
                <w:b/>
              </w:rPr>
              <w:t>2,356</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737" w:type="dxa"/>
            <w:tcBorders/>
            <w:shd w:fill="CCEEFF" w:val="clear"/>
            <w:vAlign w:val="bottom"/>
          </w:tcPr>
          <w:p>
            <w:pPr>
              <w:pStyle w:val="TableContents"/>
              <w:bidi w:val="0"/>
              <w:spacing w:before="0" w:after="283"/>
              <w:jc w:val="right"/>
              <w:rPr>
                <w:b/>
              </w:rPr>
            </w:pPr>
            <w:r>
              <w:rPr>
                <w:b/>
              </w:rPr>
              <w:t>780</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9" w:type="dxa"/>
            <w:tcBorders/>
            <w:shd w:fill="CCEEFF" w:val="clear"/>
            <w:vAlign w:val="bottom"/>
          </w:tcPr>
          <w:p>
            <w:pPr>
              <w:pStyle w:val="TableContents"/>
              <w:bidi w:val="0"/>
              <w:spacing w:before="0" w:after="283"/>
              <w:jc w:val="right"/>
              <w:rPr/>
            </w:pPr>
            <w:r>
              <w:rPr/>
              <w:t>2,651</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sz w:val="20"/>
              </w:rPr>
              <w:t>Non-cash pension settlement charge</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187</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187</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Amortization of inventory purchases accounting fair value adjustment</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66</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sz w:val="20"/>
              </w:rPr>
              <w:t>Gain on sale of APS project</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(149</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Impairment of equity method investment</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121</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sz w:val="20"/>
              </w:rPr>
              <w:t>Depreciation and amortization (2)</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2,095</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698</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1,911</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Stock-based compensation expense</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251</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b/>
              </w:rPr>
            </w:pPr>
            <w:r>
              <w:rPr>
                <w:b/>
              </w:rPr>
              <w:t>72</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257</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sz w:val="20"/>
              </w:rPr>
              <w:t>Change in working capital</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(1,546</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(202</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(1,273</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Other</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13</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b/>
              </w:rPr>
            </w:pPr>
            <w:r>
              <w:rPr>
                <w:b/>
              </w:rPr>
              <w:t>(25</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(100</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b/>
                <w:sz w:val="20"/>
              </w:rPr>
            </w:pPr>
            <w:r>
              <w:rPr>
                <w:rFonts w:ascii="Arial" w:hAnsi="Arial"/>
                <w:b/>
                <w:sz w:val="20"/>
              </w:rPr>
              <w:t xml:space="preserve">Cash flow from operations </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709" w:type="dxa"/>
            <w:tcBorders/>
            <w:vAlign w:val="bottom"/>
          </w:tcPr>
          <w:p>
            <w:pPr>
              <w:pStyle w:val="TableContents"/>
              <w:bidi w:val="0"/>
              <w:spacing w:before="0" w:after="283"/>
              <w:jc w:val="right"/>
              <w:rPr>
                <w:b/>
              </w:rPr>
            </w:pPr>
            <w:r>
              <w:rPr>
                <w:b/>
              </w:rPr>
              <w:t>3,356</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737" w:type="dxa"/>
            <w:tcBorders/>
            <w:vAlign w:val="bottom"/>
          </w:tcPr>
          <w:p>
            <w:pPr>
              <w:pStyle w:val="TableContents"/>
              <w:bidi w:val="0"/>
              <w:spacing w:before="0" w:after="283"/>
              <w:jc w:val="right"/>
              <w:rPr>
                <w:b/>
              </w:rPr>
            </w:pPr>
            <w:r>
              <w:rPr>
                <w:b/>
              </w:rPr>
              <w:t>1,510</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3,484</w:t>
            </w:r>
          </w:p>
        </w:tc>
        <w:tc>
          <w:tcPr>
            <w:tcW w:w="159" w:type="dxa"/>
            <w:tcBorders/>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Capital expenditures</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(1,287</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b/>
              </w:rPr>
            </w:pPr>
            <w:r>
              <w:rPr>
                <w:b/>
              </w:rPr>
              <w:t>(485</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(1,178</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sz w:val="20"/>
              </w:rPr>
              <w:t>APS investments</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(340</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(114</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(312</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Exploration data capitalized</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(208</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b/>
              </w:rPr>
            </w:pPr>
            <w:r>
              <w:rPr>
                <w:b/>
              </w:rPr>
              <w:t>(83</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(168</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b/>
                <w:sz w:val="20"/>
              </w:rPr>
              <w:t xml:space="preserve">Free cash flow </w:t>
            </w:r>
            <w:r>
              <w:rPr>
                <w:rFonts w:ascii="Arial" w:hAnsi="Arial"/>
                <w:sz w:val="20"/>
              </w:rPr>
              <w:t>(3)</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1,521</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828</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1,826</w:t>
            </w:r>
          </w:p>
        </w:tc>
        <w:tc>
          <w:tcPr>
            <w:tcW w:w="159" w:type="dxa"/>
            <w:tcBorders/>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Stock repurchase program</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(1,755</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b/>
              </w:rPr>
            </w:pPr>
            <w:r>
              <w:rPr>
                <w:b/>
              </w:rPr>
              <w:t>(656</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(2,414</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sz w:val="20"/>
              </w:rPr>
              <w:t>Dividends paid</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(1,305</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(439</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(1,176</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from employee stock plans</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347</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b/>
              </w:rPr>
            </w:pPr>
            <w:r>
              <w:rPr>
                <w:b/>
              </w:rPr>
              <w:t>136</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230</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sz w:val="20"/>
              </w:rPr>
              <w:t>Business acquisitions and investments, net of cash acquired plus debt assumed</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(583</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(334</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(144</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from sale of APS project</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338</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sz w:val="20"/>
              </w:rPr>
              <w:t>Proceeds from sale of ChampionX Drilling Technologies business</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286</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Net debt assumed in connection with ChampionX acquisition</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(133</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sz w:val="20"/>
              </w:rPr>
            </w:pPr>
            <w:r>
              <w:rPr>
                <w:rFonts w:ascii="Arial" w:hAnsi="Arial"/>
                <w:sz w:val="20"/>
              </w:rPr>
              <w:t>Taxes paid on net settled stock-based compensation awards</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(71</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(8</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(61</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Other</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(99</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b/>
              </w:rPr>
            </w:pPr>
            <w:r>
              <w:rPr>
                <w:b/>
              </w:rPr>
              <w:t>(57</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(57</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b/>
                <w:sz w:val="20"/>
              </w:rPr>
            </w:pPr>
            <w:r>
              <w:rPr>
                <w:rFonts w:ascii="Arial" w:hAnsi="Arial"/>
                <w:b/>
                <w:sz w:val="20"/>
              </w:rPr>
              <w:t>Increase in Net Debt before impact of changes in foreign exchange rates</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(1,945</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(530</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(1,305</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Impact of changes in foreign exchange rates on net debt</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120</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b/>
              </w:rPr>
            </w:pPr>
            <w:r>
              <w:rPr>
                <w:b/>
              </w:rPr>
              <w:t>8</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(471</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b/>
                <w:sz w:val="20"/>
              </w:rPr>
            </w:pPr>
            <w:r>
              <w:rPr>
                <w:rFonts w:ascii="Arial" w:hAnsi="Arial"/>
                <w:b/>
                <w:sz w:val="20"/>
              </w:rPr>
              <w:t>Increase in Net Debt</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b/>
              </w:rPr>
            </w:pPr>
            <w:r>
              <w:rPr>
                <w:b/>
              </w:rPr>
              <w:t>(1,825</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right"/>
              <w:rPr>
                <w:b/>
              </w:rPr>
            </w:pPr>
            <w:r>
              <w:rPr>
                <w:b/>
              </w:rPr>
              <w:t>(522</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(1,776</w:t>
            </w:r>
          </w:p>
        </w:tc>
        <w:tc>
          <w:tcPr>
            <w:tcW w:w="159" w:type="dxa"/>
            <w:tcBorders/>
            <w:vAlign w:val="bottom"/>
          </w:tcPr>
          <w:p>
            <w:pPr>
              <w:pStyle w:val="TableContents"/>
              <w:bidi w:val="0"/>
              <w:spacing w:before="0" w:after="283"/>
              <w:jc w:val="left"/>
              <w:rPr/>
            </w:pPr>
            <w:r>
              <w:rPr/>
              <w:t>) </w:t>
            </w:r>
          </w:p>
        </w:tc>
      </w:tr>
      <w:tr>
        <w:trPr/>
        <w:tc>
          <w:tcPr>
            <w:tcW w:w="5747" w:type="dxa"/>
            <w:tcBorders/>
            <w:shd w:fill="CCEEFF" w:val="clear"/>
            <w:vAlign w:val="bottom"/>
          </w:tcPr>
          <w:p>
            <w:pPr>
              <w:pStyle w:val="TableContents"/>
              <w:bidi w:val="0"/>
              <w:spacing w:before="0" w:after="0"/>
              <w:jc w:val="left"/>
              <w:rPr>
                <w:rFonts w:ascii="Arial" w:hAnsi="Arial"/>
                <w:sz w:val="20"/>
              </w:rPr>
            </w:pPr>
            <w:r>
              <w:rPr>
                <w:rFonts w:ascii="Arial" w:hAnsi="Arial"/>
                <w:sz w:val="20"/>
              </w:rPr>
              <w:t>Net Debt, beginning of period</w:t>
            </w:r>
          </w:p>
        </w:tc>
        <w:tc>
          <w:tcPr>
            <w:tcW w:w="25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b/>
              </w:rPr>
            </w:pPr>
            <w:r>
              <w:rPr>
                <w:b/>
              </w:rPr>
              <w:t>(7,424</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b/>
              </w:rPr>
            </w:pPr>
            <w:r>
              <w:rPr>
                <w:b/>
              </w:rPr>
              <w:t>(8,727</w:t>
            </w:r>
          </w:p>
        </w:tc>
        <w:tc>
          <w:tcPr>
            <w:tcW w:w="155" w:type="dxa"/>
            <w:tcBorders/>
            <w:shd w:fill="CCEEFF" w:val="clear"/>
            <w:vAlign w:val="bottom"/>
          </w:tcPr>
          <w:p>
            <w:pPr>
              <w:pStyle w:val="TableContents"/>
              <w:bidi w:val="0"/>
              <w:spacing w:before="0" w:after="283"/>
              <w:jc w:val="left"/>
              <w:rPr>
                <w:b/>
              </w:rPr>
            </w:pPr>
            <w:r>
              <w:rPr>
                <w:b/>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(7,405</w:t>
            </w:r>
          </w:p>
        </w:tc>
        <w:tc>
          <w:tcPr>
            <w:tcW w:w="159"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747" w:type="dxa"/>
            <w:tcBorders/>
            <w:vAlign w:val="bottom"/>
          </w:tcPr>
          <w:p>
            <w:pPr>
              <w:pStyle w:val="TableContents"/>
              <w:bidi w:val="0"/>
              <w:spacing w:before="0" w:after="0"/>
              <w:jc w:val="left"/>
              <w:rPr>
                <w:rFonts w:ascii="Arial" w:hAnsi="Arial"/>
                <w:b/>
                <w:sz w:val="20"/>
              </w:rPr>
            </w:pPr>
            <w:r>
              <w:rPr>
                <w:rFonts w:ascii="Arial" w:hAnsi="Arial"/>
                <w:b/>
                <w:sz w:val="20"/>
              </w:rPr>
              <w:t>Net Debt, end of period</w:t>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709" w:type="dxa"/>
            <w:tcBorders/>
            <w:vAlign w:val="bottom"/>
          </w:tcPr>
          <w:p>
            <w:pPr>
              <w:pStyle w:val="TableContents"/>
              <w:bidi w:val="0"/>
              <w:spacing w:before="0" w:after="283"/>
              <w:jc w:val="right"/>
              <w:rPr>
                <w:b/>
              </w:rPr>
            </w:pPr>
            <w:r>
              <w:rPr>
                <w:b/>
              </w:rPr>
              <w:t>(9,249</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737" w:type="dxa"/>
            <w:tcBorders/>
            <w:vAlign w:val="bottom"/>
          </w:tcPr>
          <w:p>
            <w:pPr>
              <w:pStyle w:val="TableContents"/>
              <w:bidi w:val="0"/>
              <w:spacing w:before="0" w:after="283"/>
              <w:jc w:val="right"/>
              <w:rPr>
                <w:b/>
              </w:rPr>
            </w:pPr>
            <w:r>
              <w:rPr>
                <w:b/>
              </w:rPr>
              <w:t>(9,249</w:t>
            </w:r>
          </w:p>
        </w:tc>
        <w:tc>
          <w:tcPr>
            <w:tcW w:w="155" w:type="dxa"/>
            <w:tcBorders/>
            <w:vAlign w:val="bottom"/>
          </w:tcPr>
          <w:p>
            <w:pPr>
              <w:pStyle w:val="TableContents"/>
              <w:bidi w:val="0"/>
              <w:spacing w:before="0" w:after="283"/>
              <w:jc w:val="left"/>
              <w:rPr>
                <w:b/>
              </w:rPr>
            </w:pPr>
            <w:r>
              <w:rPr>
                <w:b/>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(9,181</w:t>
            </w:r>
          </w:p>
        </w:tc>
        <w:tc>
          <w:tcPr>
            <w:tcW w:w="159" w:type="dxa"/>
            <w:tcBorders/>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7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pPr>
            <w:r>
              <w:rPr/>
              <w:t>“</w:t>
            </w:r>
            <w:r>
              <w:rPr>
                <w:rFonts w:ascii="Arial" w:hAnsi="Arial"/>
                <w:sz w:val="20"/>
              </w:rPr>
              <w:t xml:space="preserve">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pPr>
            <w:r>
              <w:rPr/>
              <w:t>“</w:t>
            </w:r>
            <w:r>
              <w:rPr>
                <w:rFonts w:ascii="Arial" w:hAnsi="Arial"/>
                <w:sz w:val="20"/>
              </w:rPr>
              <w:t xml:space="preserve">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Charges &amp; Credits </w:t>
      </w:r>
    </w:p>
    <w:p>
      <w:pPr>
        <w:pStyle w:val="TextBody"/>
        <w:bidi w:val="0"/>
        <w:spacing w:before="120" w:after="0"/>
        <w:jc w:val="left"/>
        <w:rPr>
          <w:rFonts w:ascii="Arial" w:hAnsi="Arial"/>
          <w:sz w:val="20"/>
        </w:rPr>
      </w:pPr>
      <w:r>
        <w:rPr>
          <w:rFonts w:ascii="Arial" w:hAnsi="Arial"/>
          <w:sz w:val="20"/>
        </w:rPr>
        <w:t xml:space="preserve">In addition to financial results determined in accordance with US generally accepted accounting principles (GAAP), this third-quarter 2026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provides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7"/>
        <w:gridCol w:w="188"/>
        <w:gridCol w:w="140"/>
        <w:gridCol w:w="573"/>
        <w:gridCol w:w="60"/>
        <w:gridCol w:w="188"/>
        <w:gridCol w:w="207"/>
        <w:gridCol w:w="575"/>
        <w:gridCol w:w="88"/>
        <w:gridCol w:w="238"/>
        <w:gridCol w:w="243"/>
        <w:gridCol w:w="663"/>
        <w:gridCol w:w="88"/>
        <w:gridCol w:w="238"/>
        <w:gridCol w:w="207"/>
        <w:gridCol w:w="850"/>
        <w:gridCol w:w="88"/>
        <w:gridCol w:w="238"/>
        <w:gridCol w:w="207"/>
        <w:gridCol w:w="660"/>
        <w:gridCol w:w="69"/>
      </w:tblGrid>
      <w:tr>
        <w:trPr/>
        <w:tc>
          <w:tcPr>
            <w:tcW w:w="4397"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5298" w:type="dxa"/>
            <w:gridSpan w:val="4"/>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590" w:type="dxa"/>
            <w:gridSpan w:val="14"/>
            <w:tcBorders/>
            <w:vAlign w:val="bottom"/>
          </w:tcPr>
          <w:p>
            <w:pPr>
              <w:pStyle w:val="TableContents"/>
              <w:bidi w:val="0"/>
              <w:spacing w:before="0" w:after="283"/>
              <w:jc w:val="right"/>
              <w:rPr/>
            </w:pPr>
            <w:r>
              <w:rPr/>
              <w:t>(Stated in millions, except per share amounts)</w:t>
            </w:r>
          </w:p>
        </w:tc>
        <w:tc>
          <w:tcPr>
            <w:tcW w:w="69"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55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Third Quarter 2026</w:t>
            </w:r>
          </w:p>
        </w:tc>
        <w:tc>
          <w:tcPr>
            <w:tcW w:w="69"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9"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1,019</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239</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45</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735</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0.49</w:t>
            </w:r>
          </w:p>
        </w:tc>
        <w:tc>
          <w:tcPr>
            <w:tcW w:w="69"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Arial" w:hAnsi="Arial"/>
                <w:sz w:val="20"/>
              </w:rPr>
            </w:pPr>
            <w:r>
              <w:rPr>
                <w:rFonts w:ascii="Arial" w:hAnsi="Arial"/>
                <w:sz w:val="20"/>
              </w:rPr>
              <w:t>Pension settlement charge (1)</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187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187</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0.12</w:t>
            </w:r>
          </w:p>
        </w:tc>
        <w:tc>
          <w:tcPr>
            <w:tcW w:w="69"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Arial" w:hAnsi="Arial"/>
                <w:sz w:val="20"/>
              </w:rPr>
            </w:pPr>
            <w:r>
              <w:rPr>
                <w:rFonts w:ascii="Arial" w:hAnsi="Arial"/>
                <w:sz w:val="20"/>
              </w:rPr>
              <w:t>Merger and integration (2)</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13</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2</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40</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0.03</w:t>
            </w:r>
          </w:p>
        </w:tc>
        <w:tc>
          <w:tcPr>
            <w:tcW w:w="69" w:type="dxa"/>
            <w:tcBorders/>
            <w:shd w:fill="CCEEFF" w:val="clear"/>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1,261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252</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47</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962</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0.64</w:t>
            </w:r>
          </w:p>
        </w:tc>
        <w:tc>
          <w:tcPr>
            <w:tcW w:w="69"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rHeight w:val="240" w:hRule="atLeast"/>
        </w:trPr>
        <w:tc>
          <w:tcPr>
            <w:tcW w:w="4397" w:type="dxa"/>
            <w:tcBorders/>
            <w:vAlign w:val="center"/>
          </w:tcPr>
          <w:p>
            <w:pPr>
              <w:pStyle w:val="TableContents"/>
              <w:bidi w:val="0"/>
              <w:spacing w:before="0" w:after="283"/>
              <w:jc w:val="left"/>
              <w:rPr>
                <w:sz w:val="4"/>
                <w:szCs w:val="4"/>
              </w:rPr>
            </w:pPr>
            <w:r>
              <w:rPr>
                <w:sz w:val="4"/>
                <w:szCs w:val="4"/>
              </w:rPr>
            </w:r>
          </w:p>
        </w:tc>
        <w:tc>
          <w:tcPr>
            <w:tcW w:w="5808" w:type="dxa"/>
            <w:gridSpan w:val="20"/>
            <w:tcBorders/>
            <w:vAlign w:val="center"/>
          </w:tcPr>
          <w:p>
            <w:pPr>
              <w:pStyle w:val="TableContents"/>
              <w:bidi w:val="0"/>
              <w:spacing w:before="0" w:after="283"/>
              <w:jc w:val="left"/>
              <w:rPr>
                <w:sz w:val="4"/>
                <w:szCs w:val="4"/>
              </w:rPr>
            </w:pPr>
            <w:r>
              <w:rPr>
                <w:sz w:val="4"/>
                <w:szCs w:val="4"/>
              </w:rPr>
            </w:r>
          </w:p>
        </w:tc>
      </w:tr>
      <w:tr>
        <w:trPr/>
        <w:tc>
          <w:tcPr>
            <w:tcW w:w="439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55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Second Quarter 2026</w:t>
            </w:r>
          </w:p>
        </w:tc>
        <w:tc>
          <w:tcPr>
            <w:tcW w:w="69"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9"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1,019</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204</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29</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786</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0.52</w:t>
            </w:r>
          </w:p>
        </w:tc>
        <w:tc>
          <w:tcPr>
            <w:tcW w:w="69"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Arial" w:hAnsi="Arial"/>
                <w:sz w:val="20"/>
              </w:rPr>
            </w:pPr>
            <w:r>
              <w:rPr>
                <w:rFonts w:ascii="Arial" w:hAnsi="Arial"/>
                <w:sz w:val="20"/>
              </w:rPr>
              <w:t>Merger and integration (2)</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19</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3</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47</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0.03</w:t>
            </w:r>
          </w:p>
        </w:tc>
        <w:tc>
          <w:tcPr>
            <w:tcW w:w="69"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1,088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223</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32</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833</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0.55</w:t>
            </w:r>
          </w:p>
        </w:tc>
        <w:tc>
          <w:tcPr>
            <w:tcW w:w="69" w:type="dxa"/>
            <w:tcBorders/>
            <w:shd w:fill="CCEEFF" w:val="clear"/>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rHeight w:val="240" w:hRule="atLeast"/>
        </w:trPr>
        <w:tc>
          <w:tcPr>
            <w:tcW w:w="4397" w:type="dxa"/>
            <w:tcBorders/>
            <w:vAlign w:val="center"/>
          </w:tcPr>
          <w:p>
            <w:pPr>
              <w:pStyle w:val="TableContents"/>
              <w:bidi w:val="0"/>
              <w:spacing w:before="0" w:after="283"/>
              <w:jc w:val="left"/>
              <w:rPr>
                <w:sz w:val="4"/>
                <w:szCs w:val="4"/>
              </w:rPr>
            </w:pPr>
            <w:r>
              <w:rPr>
                <w:sz w:val="4"/>
                <w:szCs w:val="4"/>
              </w:rPr>
            </w:r>
          </w:p>
        </w:tc>
        <w:tc>
          <w:tcPr>
            <w:tcW w:w="5808" w:type="dxa"/>
            <w:gridSpan w:val="20"/>
            <w:tcBorders/>
            <w:vAlign w:val="center"/>
          </w:tcPr>
          <w:p>
            <w:pPr>
              <w:pStyle w:val="TableContents"/>
              <w:bidi w:val="0"/>
              <w:spacing w:before="0" w:after="283"/>
              <w:jc w:val="left"/>
              <w:rPr>
                <w:sz w:val="4"/>
                <w:szCs w:val="4"/>
              </w:rPr>
            </w:pPr>
            <w:r>
              <w:rPr>
                <w:sz w:val="4"/>
                <w:szCs w:val="4"/>
              </w:rPr>
            </w:r>
          </w:p>
        </w:tc>
      </w:tr>
      <w:tr>
        <w:trPr/>
        <w:tc>
          <w:tcPr>
            <w:tcW w:w="439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55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Third Quarter 2025</w:t>
            </w:r>
          </w:p>
        </w:tc>
        <w:tc>
          <w:tcPr>
            <w:tcW w:w="69"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 *</w:t>
            </w:r>
          </w:p>
        </w:tc>
        <w:tc>
          <w:tcPr>
            <w:tcW w:w="69"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226</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35</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739</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0.50</w:t>
            </w:r>
          </w:p>
        </w:tc>
        <w:tc>
          <w:tcPr>
            <w:tcW w:w="69"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Arial" w:hAnsi="Arial"/>
                <w:sz w:val="20"/>
              </w:rPr>
            </w:pPr>
            <w:r>
              <w:rPr>
                <w:rFonts w:ascii="Arial" w:hAnsi="Arial"/>
                <w:sz w:val="20"/>
              </w:rPr>
              <w:t>Amortization of inventory purchase accounting fair value adjustment (3)</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15</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51</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0.03</w:t>
            </w:r>
          </w:p>
        </w:tc>
        <w:tc>
          <w:tcPr>
            <w:tcW w:w="69"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Arial" w:hAnsi="Arial"/>
                <w:sz w:val="20"/>
              </w:rPr>
            </w:pPr>
            <w:r>
              <w:rPr>
                <w:rFonts w:ascii="Arial" w:hAnsi="Arial"/>
                <w:sz w:val="20"/>
              </w:rPr>
              <w:t>Acquisition-related professional fees (2)</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61</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0.04</w:t>
            </w:r>
          </w:p>
        </w:tc>
        <w:tc>
          <w:tcPr>
            <w:tcW w:w="69"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Arial" w:hAnsi="Arial"/>
                <w:sz w:val="20"/>
              </w:rPr>
            </w:pPr>
            <w:r>
              <w:rPr>
                <w:rFonts w:ascii="Arial" w:hAnsi="Arial"/>
                <w:sz w:val="20"/>
              </w:rPr>
              <w:t>Workforce reductions (1)</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4</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53</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0.03</w:t>
            </w:r>
          </w:p>
        </w:tc>
        <w:tc>
          <w:tcPr>
            <w:tcW w:w="69"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Arial" w:hAnsi="Arial"/>
                <w:sz w:val="20"/>
              </w:rPr>
            </w:pPr>
            <w:r>
              <w:rPr>
                <w:rFonts w:ascii="Arial" w:hAnsi="Arial"/>
                <w:sz w:val="20"/>
              </w:rPr>
              <w:t>Acquisition-related employee benefits (2)</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54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52</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0.03</w:t>
            </w:r>
          </w:p>
        </w:tc>
        <w:tc>
          <w:tcPr>
            <w:tcW w:w="69" w:type="dxa"/>
            <w:tcBorders/>
            <w:shd w:fill="CCEEFF" w:val="clear"/>
            <w:vAlign w:val="bottom"/>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Arial" w:hAnsi="Arial"/>
                <w:sz w:val="20"/>
              </w:rPr>
            </w:pPr>
            <w:r>
              <w:rPr>
                <w:rFonts w:ascii="Arial" w:hAnsi="Arial"/>
                <w:sz w:val="20"/>
              </w:rPr>
              <w:t>Impairment of equity-method investment (1)</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4</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48</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0.03</w:t>
            </w:r>
          </w:p>
        </w:tc>
        <w:tc>
          <w:tcPr>
            <w:tcW w:w="69" w:type="dxa"/>
            <w:tcBorders/>
            <w:vAlign w:val="bottom"/>
          </w:tcPr>
          <w:p>
            <w:pPr>
              <w:pStyle w:val="TableContents"/>
              <w:bidi w:val="0"/>
              <w:spacing w:before="0" w:after="283"/>
              <w:jc w:val="left"/>
              <w:rPr/>
            </w:pPr>
            <w:r>
              <w:rPr/>
              <w:t> </w:t>
            </w:r>
          </w:p>
        </w:tc>
      </w:tr>
      <w:tr>
        <w:trPr/>
        <w:tc>
          <w:tcPr>
            <w:tcW w:w="4397" w:type="dxa"/>
            <w:tcBorders/>
            <w:shd w:fill="CCEEFF" w:val="clear"/>
          </w:tcPr>
          <w:p>
            <w:pPr>
              <w:pStyle w:val="TableContents"/>
              <w:bidi w:val="0"/>
              <w:spacing w:before="0" w:after="0"/>
              <w:jc w:val="left"/>
              <w:rPr>
                <w:rFonts w:ascii="Arial" w:hAnsi="Arial"/>
                <w:sz w:val="20"/>
              </w:rPr>
            </w:pPr>
            <w:r>
              <w:rPr>
                <w:rFonts w:ascii="Arial" w:hAnsi="Arial"/>
                <w:sz w:val="20"/>
              </w:rPr>
              <w:t>Other merger and integration (2)</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3</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23</w:t>
            </w:r>
          </w:p>
        </w:tc>
        <w:tc>
          <w:tcPr>
            <w:tcW w:w="8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0.02</w:t>
            </w:r>
          </w:p>
        </w:tc>
        <w:tc>
          <w:tcPr>
            <w:tcW w:w="69" w:type="dxa"/>
            <w:tcBorders/>
            <w:shd w:fill="CCEEFF" w:val="clear"/>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397" w:type="dxa"/>
            <w:tcBorders/>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1,318</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253</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38</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1,027</w:t>
            </w:r>
          </w:p>
        </w:tc>
        <w:tc>
          <w:tcPr>
            <w:tcW w:w="8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0.69</w:t>
            </w:r>
          </w:p>
        </w:tc>
        <w:tc>
          <w:tcPr>
            <w:tcW w:w="69" w:type="dxa"/>
            <w:tcBorders/>
            <w:vAlign w:val="bottom"/>
          </w:tcPr>
          <w:p>
            <w:pPr>
              <w:pStyle w:val="TableContents"/>
              <w:bidi w:val="0"/>
              <w:spacing w:before="0" w:after="283"/>
              <w:jc w:val="left"/>
              <w:rPr/>
            </w:pPr>
            <w:r>
              <w:rPr/>
              <w:t> </w:t>
            </w:r>
          </w:p>
        </w:tc>
      </w:tr>
      <w:tr>
        <w:trPr/>
        <w:tc>
          <w:tcPr>
            <w:tcW w:w="4397"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663"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934"/>
        <w:gridCol w:w="205"/>
        <w:gridCol w:w="140"/>
        <w:gridCol w:w="588"/>
        <w:gridCol w:w="155"/>
        <w:gridCol w:w="152"/>
        <w:gridCol w:w="140"/>
        <w:gridCol w:w="381"/>
        <w:gridCol w:w="155"/>
        <w:gridCol w:w="152"/>
        <w:gridCol w:w="262"/>
        <w:gridCol w:w="727"/>
        <w:gridCol w:w="60"/>
        <w:gridCol w:w="205"/>
        <w:gridCol w:w="140"/>
        <w:gridCol w:w="588"/>
        <w:gridCol w:w="155"/>
        <w:gridCol w:w="152"/>
        <w:gridCol w:w="153"/>
        <w:gridCol w:w="598"/>
        <w:gridCol w:w="163"/>
      </w:tblGrid>
      <w:tr>
        <w:trPr/>
        <w:tc>
          <w:tcPr>
            <w:tcW w:w="4934"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20"/>
            <w:tcBorders/>
            <w:vAlign w:val="bottom"/>
          </w:tcPr>
          <w:p>
            <w:pPr>
              <w:pStyle w:val="TableContents"/>
              <w:bidi w:val="0"/>
              <w:spacing w:before="0" w:after="283"/>
              <w:jc w:val="right"/>
              <w:rPr/>
            </w:pPr>
            <w:r>
              <w:rPr/>
              <w:t>(Stated in millions, except per share amounts)</w:t>
            </w:r>
          </w:p>
        </w:tc>
        <w:tc>
          <w:tcPr>
            <w:tcW w:w="163" w:type="dxa"/>
            <w:tcBorders/>
            <w:vAlign w:val="bottom"/>
          </w:tcPr>
          <w:p>
            <w:pPr>
              <w:pStyle w:val="TableContents"/>
              <w:bidi w:val="0"/>
              <w:spacing w:before="0" w:after="283"/>
              <w:jc w:val="left"/>
              <w:rPr/>
            </w:pPr>
            <w:r>
              <w:rPr/>
              <w:t> </w:t>
            </w:r>
          </w:p>
        </w:tc>
      </w:tr>
      <w:tr>
        <w:trPr/>
        <w:tc>
          <w:tcPr>
            <w:tcW w:w="493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0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2026</w:t>
            </w:r>
          </w:p>
        </w:tc>
        <w:tc>
          <w:tcPr>
            <w:tcW w:w="163" w:type="dxa"/>
            <w:tcBorders/>
            <w:vAlign w:val="bottom"/>
          </w:tcPr>
          <w:p>
            <w:pPr>
              <w:pStyle w:val="TableContents"/>
              <w:bidi w:val="0"/>
              <w:spacing w:before="0" w:after="283"/>
              <w:jc w:val="left"/>
              <w:rPr/>
            </w:pPr>
            <w:r>
              <w:rPr/>
              <w:t> </w:t>
            </w:r>
          </w:p>
        </w:tc>
      </w:tr>
      <w:tr>
        <w:trPr/>
        <w:tc>
          <w:tcPr>
            <w:tcW w:w="493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51"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163" w:type="dxa"/>
            <w:tcBorders/>
            <w:vAlign w:val="bottom"/>
          </w:tcPr>
          <w:p>
            <w:pPr>
              <w:pStyle w:val="TableContents"/>
              <w:bidi w:val="0"/>
              <w:spacing w:before="0" w:after="283"/>
              <w:jc w:val="left"/>
              <w:rPr/>
            </w:pPr>
            <w:r>
              <w:rPr/>
              <w:t> </w:t>
            </w:r>
          </w:p>
        </w:tc>
      </w:tr>
      <w:tr>
        <w:trPr/>
        <w:tc>
          <w:tcPr>
            <w:tcW w:w="4934"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2,994</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638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2,273</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1.51</w:t>
            </w:r>
          </w:p>
        </w:tc>
        <w:tc>
          <w:tcPr>
            <w:tcW w:w="163" w:type="dxa"/>
            <w:tcBorders/>
            <w:shd w:fill="CCEEFF" w:val="clear"/>
            <w:vAlign w:val="bottom"/>
          </w:tcPr>
          <w:p>
            <w:pPr>
              <w:pStyle w:val="TableContents"/>
              <w:bidi w:val="0"/>
              <w:spacing w:before="0" w:after="283"/>
              <w:jc w:val="left"/>
              <w:rPr/>
            </w:pPr>
            <w:r>
              <w:rPr/>
              <w:t> </w:t>
            </w:r>
          </w:p>
        </w:tc>
      </w:tr>
      <w:tr>
        <w:trPr/>
        <w:tc>
          <w:tcPr>
            <w:tcW w:w="4934" w:type="dxa"/>
            <w:tcBorders/>
          </w:tcPr>
          <w:p>
            <w:pPr>
              <w:pStyle w:val="TableContents"/>
              <w:bidi w:val="0"/>
              <w:spacing w:before="0" w:after="0"/>
              <w:jc w:val="left"/>
              <w:rPr>
                <w:rFonts w:ascii="Arial" w:hAnsi="Arial"/>
                <w:sz w:val="20"/>
              </w:rPr>
            </w:pPr>
            <w:r>
              <w:rPr>
                <w:rFonts w:ascii="Arial" w:hAnsi="Arial"/>
                <w:sz w:val="20"/>
              </w:rPr>
              <w:t>Pension settlement charge (1)</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0.12</w:t>
            </w:r>
          </w:p>
        </w:tc>
        <w:tc>
          <w:tcPr>
            <w:tcW w:w="163" w:type="dxa"/>
            <w:tcBorders/>
            <w:vAlign w:val="bottom"/>
          </w:tcPr>
          <w:p>
            <w:pPr>
              <w:pStyle w:val="TableContents"/>
              <w:bidi w:val="0"/>
              <w:spacing w:before="0" w:after="283"/>
              <w:jc w:val="left"/>
              <w:rPr/>
            </w:pPr>
            <w:r>
              <w:rPr/>
              <w:t> </w:t>
            </w:r>
          </w:p>
        </w:tc>
      </w:tr>
      <w:tr>
        <w:trPr/>
        <w:tc>
          <w:tcPr>
            <w:tcW w:w="4934" w:type="dxa"/>
            <w:tcBorders/>
            <w:shd w:fill="CCEEFF" w:val="clear"/>
          </w:tcPr>
          <w:p>
            <w:pPr>
              <w:pStyle w:val="TableContents"/>
              <w:bidi w:val="0"/>
              <w:spacing w:before="0" w:after="0"/>
              <w:jc w:val="left"/>
              <w:rPr>
                <w:rFonts w:ascii="Arial" w:hAnsi="Arial"/>
                <w:sz w:val="20"/>
              </w:rPr>
            </w:pPr>
            <w:r>
              <w:rPr>
                <w:rFonts w:ascii="Arial" w:hAnsi="Arial"/>
                <w:sz w:val="20"/>
              </w:rPr>
              <w:t>Merger and integration (2)</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0.08</w:t>
            </w:r>
          </w:p>
        </w:tc>
        <w:tc>
          <w:tcPr>
            <w:tcW w:w="163" w:type="dxa"/>
            <w:tcBorders/>
            <w:shd w:fill="CCEEFF" w:val="clear"/>
            <w:vAlign w:val="bottom"/>
          </w:tcPr>
          <w:p>
            <w:pPr>
              <w:pStyle w:val="TableContents"/>
              <w:bidi w:val="0"/>
              <w:spacing w:before="0" w:after="283"/>
              <w:jc w:val="left"/>
              <w:rPr/>
            </w:pPr>
            <w:r>
              <w:rPr/>
              <w:t> </w:t>
            </w:r>
          </w:p>
        </w:tc>
      </w:tr>
      <w:tr>
        <w:trPr/>
        <w:tc>
          <w:tcPr>
            <w:tcW w:w="4934"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7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34" w:type="dxa"/>
            <w:tcBorders/>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3,346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678</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727"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2,579</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598" w:type="dxa"/>
            <w:tcBorders/>
            <w:vAlign w:val="bottom"/>
          </w:tcPr>
          <w:p>
            <w:pPr>
              <w:pStyle w:val="TableContents"/>
              <w:bidi w:val="0"/>
              <w:spacing w:before="0" w:after="283"/>
              <w:jc w:val="right"/>
              <w:rPr/>
            </w:pPr>
            <w:r>
              <w:rPr/>
              <w:t>1.71</w:t>
            </w:r>
          </w:p>
        </w:tc>
        <w:tc>
          <w:tcPr>
            <w:tcW w:w="163" w:type="dxa"/>
            <w:tcBorders/>
            <w:vAlign w:val="bottom"/>
          </w:tcPr>
          <w:p>
            <w:pPr>
              <w:pStyle w:val="TableContents"/>
              <w:bidi w:val="0"/>
              <w:spacing w:before="0" w:after="283"/>
              <w:jc w:val="left"/>
              <w:rPr/>
            </w:pPr>
            <w:r>
              <w:rPr/>
              <w:t> </w:t>
            </w:r>
          </w:p>
        </w:tc>
      </w:tr>
      <w:tr>
        <w:trPr/>
        <w:tc>
          <w:tcPr>
            <w:tcW w:w="4934"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5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rHeight w:val="240" w:hRule="atLeast"/>
        </w:trPr>
        <w:tc>
          <w:tcPr>
            <w:tcW w:w="4934" w:type="dxa"/>
            <w:tcBorders/>
            <w:vAlign w:val="center"/>
          </w:tcPr>
          <w:p>
            <w:pPr>
              <w:pStyle w:val="TableContents"/>
              <w:bidi w:val="0"/>
              <w:spacing w:before="0" w:after="283"/>
              <w:jc w:val="left"/>
              <w:rPr>
                <w:sz w:val="4"/>
                <w:szCs w:val="4"/>
              </w:rPr>
            </w:pPr>
            <w:r>
              <w:rPr>
                <w:sz w:val="4"/>
                <w:szCs w:val="4"/>
              </w:rPr>
            </w:r>
          </w:p>
        </w:tc>
        <w:tc>
          <w:tcPr>
            <w:tcW w:w="5271" w:type="dxa"/>
            <w:gridSpan w:val="20"/>
            <w:tcBorders/>
            <w:vAlign w:val="center"/>
          </w:tcPr>
          <w:p>
            <w:pPr>
              <w:pStyle w:val="TableContents"/>
              <w:bidi w:val="0"/>
              <w:spacing w:before="0" w:after="283"/>
              <w:jc w:val="left"/>
              <w:rPr>
                <w:sz w:val="4"/>
                <w:szCs w:val="4"/>
              </w:rPr>
            </w:pPr>
            <w:r>
              <w:rPr>
                <w:sz w:val="4"/>
                <w:szCs w:val="4"/>
              </w:rPr>
            </w:r>
          </w:p>
        </w:tc>
      </w:tr>
      <w:tr>
        <w:trPr/>
        <w:tc>
          <w:tcPr>
            <w:tcW w:w="493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0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2025</w:t>
            </w:r>
          </w:p>
        </w:tc>
        <w:tc>
          <w:tcPr>
            <w:tcW w:w="163" w:type="dxa"/>
            <w:tcBorders/>
            <w:vAlign w:val="bottom"/>
          </w:tcPr>
          <w:p>
            <w:pPr>
              <w:pStyle w:val="TableContents"/>
              <w:bidi w:val="0"/>
              <w:spacing w:before="0" w:after="283"/>
              <w:jc w:val="left"/>
              <w:rPr/>
            </w:pPr>
            <w:r>
              <w:rPr/>
              <w:t> </w:t>
            </w:r>
          </w:p>
        </w:tc>
      </w:tr>
      <w:tr>
        <w:trPr/>
        <w:tc>
          <w:tcPr>
            <w:tcW w:w="493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51"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 *</w:t>
            </w:r>
          </w:p>
        </w:tc>
        <w:tc>
          <w:tcPr>
            <w:tcW w:w="163" w:type="dxa"/>
            <w:tcBorders/>
            <w:vAlign w:val="bottom"/>
          </w:tcPr>
          <w:p>
            <w:pPr>
              <w:pStyle w:val="TableContents"/>
              <w:bidi w:val="0"/>
              <w:spacing w:before="0" w:after="283"/>
              <w:jc w:val="left"/>
              <w:rPr/>
            </w:pPr>
            <w:r>
              <w:rPr/>
              <w:t> </w:t>
            </w:r>
          </w:p>
        </w:tc>
      </w:tr>
      <w:tr>
        <w:trPr/>
        <w:tc>
          <w:tcPr>
            <w:tcW w:w="4934"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3,348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697</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2,550</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1.80</w:t>
            </w:r>
          </w:p>
        </w:tc>
        <w:tc>
          <w:tcPr>
            <w:tcW w:w="163" w:type="dxa"/>
            <w:tcBorders/>
            <w:shd w:fill="CCEEFF" w:val="clear"/>
            <w:vAlign w:val="bottom"/>
          </w:tcPr>
          <w:p>
            <w:pPr>
              <w:pStyle w:val="TableContents"/>
              <w:bidi w:val="0"/>
              <w:spacing w:before="0" w:after="283"/>
              <w:jc w:val="left"/>
              <w:rPr/>
            </w:pPr>
            <w:r>
              <w:rPr/>
              <w:t> </w:t>
            </w:r>
          </w:p>
        </w:tc>
      </w:tr>
      <w:tr>
        <w:trPr/>
        <w:tc>
          <w:tcPr>
            <w:tcW w:w="4934" w:type="dxa"/>
            <w:tcBorders/>
          </w:tcPr>
          <w:p>
            <w:pPr>
              <w:pStyle w:val="TableContents"/>
              <w:bidi w:val="0"/>
              <w:spacing w:before="0" w:after="0"/>
              <w:jc w:val="left"/>
              <w:rPr>
                <w:rFonts w:ascii="Arial" w:hAnsi="Arial"/>
                <w:sz w:val="20"/>
              </w:rPr>
            </w:pPr>
            <w:r>
              <w:rPr>
                <w:rFonts w:ascii="Arial" w:hAnsi="Arial"/>
                <w:sz w:val="20"/>
              </w:rPr>
              <w:t>Workforce reductions (1)</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281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262</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0.19</w:t>
            </w:r>
          </w:p>
        </w:tc>
        <w:tc>
          <w:tcPr>
            <w:tcW w:w="163" w:type="dxa"/>
            <w:tcBorders/>
            <w:vAlign w:val="bottom"/>
          </w:tcPr>
          <w:p>
            <w:pPr>
              <w:pStyle w:val="TableContents"/>
              <w:bidi w:val="0"/>
              <w:spacing w:before="0" w:after="283"/>
              <w:jc w:val="left"/>
              <w:rPr/>
            </w:pPr>
            <w:r>
              <w:rPr/>
              <w:t> </w:t>
            </w:r>
          </w:p>
        </w:tc>
      </w:tr>
      <w:tr>
        <w:trPr/>
        <w:tc>
          <w:tcPr>
            <w:tcW w:w="4934" w:type="dxa"/>
            <w:tcBorders/>
            <w:shd w:fill="CCEEFF" w:val="clear"/>
          </w:tcPr>
          <w:p>
            <w:pPr>
              <w:pStyle w:val="TableContents"/>
              <w:bidi w:val="0"/>
              <w:spacing w:before="0" w:after="0"/>
              <w:jc w:val="left"/>
              <w:rPr>
                <w:rFonts w:ascii="Arial" w:hAnsi="Arial"/>
                <w:sz w:val="20"/>
              </w:rPr>
            </w:pPr>
            <w:r>
              <w:rPr>
                <w:rFonts w:ascii="Arial" w:hAnsi="Arial"/>
                <w:sz w:val="20"/>
              </w:rPr>
              <w:t>Impairment of equity-method investment (1)</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0.07</w:t>
            </w:r>
          </w:p>
        </w:tc>
        <w:tc>
          <w:tcPr>
            <w:tcW w:w="163" w:type="dxa"/>
            <w:tcBorders/>
            <w:shd w:fill="CCEEFF" w:val="clear"/>
            <w:vAlign w:val="bottom"/>
          </w:tcPr>
          <w:p>
            <w:pPr>
              <w:pStyle w:val="TableContents"/>
              <w:bidi w:val="0"/>
              <w:spacing w:before="0" w:after="283"/>
              <w:jc w:val="left"/>
              <w:rPr/>
            </w:pPr>
            <w:r>
              <w:rPr/>
              <w:t> </w:t>
            </w:r>
          </w:p>
        </w:tc>
      </w:tr>
      <w:tr>
        <w:trPr/>
        <w:tc>
          <w:tcPr>
            <w:tcW w:w="4934" w:type="dxa"/>
            <w:tcBorders/>
          </w:tcPr>
          <w:p>
            <w:pPr>
              <w:pStyle w:val="TableContents"/>
              <w:bidi w:val="0"/>
              <w:spacing w:before="0" w:after="0"/>
              <w:jc w:val="left"/>
              <w:rPr>
                <w:rFonts w:ascii="Arial" w:hAnsi="Arial"/>
                <w:sz w:val="20"/>
              </w:rPr>
            </w:pPr>
            <w:r>
              <w:rPr>
                <w:rFonts w:ascii="Arial" w:hAnsi="Arial"/>
                <w:sz w:val="20"/>
              </w:rPr>
              <w:t>Acquisition-related professional fees (2)</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0.05</w:t>
            </w:r>
          </w:p>
        </w:tc>
        <w:tc>
          <w:tcPr>
            <w:tcW w:w="163" w:type="dxa"/>
            <w:tcBorders/>
            <w:vAlign w:val="bottom"/>
          </w:tcPr>
          <w:p>
            <w:pPr>
              <w:pStyle w:val="TableContents"/>
              <w:bidi w:val="0"/>
              <w:spacing w:before="0" w:after="283"/>
              <w:jc w:val="left"/>
              <w:rPr/>
            </w:pPr>
            <w:r>
              <w:rPr/>
              <w:t> </w:t>
            </w:r>
          </w:p>
        </w:tc>
      </w:tr>
      <w:tr>
        <w:trPr/>
        <w:tc>
          <w:tcPr>
            <w:tcW w:w="4934" w:type="dxa"/>
            <w:tcBorders/>
            <w:shd w:fill="CCEEFF" w:val="clear"/>
          </w:tcPr>
          <w:p>
            <w:pPr>
              <w:pStyle w:val="TableContents"/>
              <w:bidi w:val="0"/>
              <w:spacing w:before="0" w:after="0"/>
              <w:jc w:val="left"/>
              <w:rPr>
                <w:rFonts w:ascii="Arial" w:hAnsi="Arial"/>
                <w:sz w:val="20"/>
              </w:rPr>
            </w:pPr>
            <w:r>
              <w:rPr>
                <w:rFonts w:ascii="Arial" w:hAnsi="Arial"/>
                <w:sz w:val="20"/>
              </w:rPr>
              <w:t>Amortization of inventory purchase accounting fair value adjustment (3)</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0.04</w:t>
            </w:r>
          </w:p>
        </w:tc>
        <w:tc>
          <w:tcPr>
            <w:tcW w:w="163" w:type="dxa"/>
            <w:tcBorders/>
            <w:shd w:fill="CCEEFF" w:val="clear"/>
            <w:vAlign w:val="bottom"/>
          </w:tcPr>
          <w:p>
            <w:pPr>
              <w:pStyle w:val="TableContents"/>
              <w:bidi w:val="0"/>
              <w:spacing w:before="0" w:after="283"/>
              <w:jc w:val="left"/>
              <w:rPr/>
            </w:pPr>
            <w:r>
              <w:rPr/>
              <w:t> </w:t>
            </w:r>
          </w:p>
        </w:tc>
      </w:tr>
      <w:tr>
        <w:trPr/>
        <w:tc>
          <w:tcPr>
            <w:tcW w:w="4934" w:type="dxa"/>
            <w:tcBorders/>
          </w:tcPr>
          <w:p>
            <w:pPr>
              <w:pStyle w:val="TableContents"/>
              <w:bidi w:val="0"/>
              <w:spacing w:before="0" w:after="0"/>
              <w:jc w:val="left"/>
              <w:rPr>
                <w:rFonts w:ascii="Arial" w:hAnsi="Arial"/>
                <w:sz w:val="20"/>
              </w:rPr>
            </w:pPr>
            <w:r>
              <w:rPr>
                <w:rFonts w:ascii="Arial" w:hAnsi="Arial"/>
                <w:sz w:val="20"/>
              </w:rPr>
              <w:t>Acquisition-related employee benefits (2)</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0.04</w:t>
            </w:r>
          </w:p>
        </w:tc>
        <w:tc>
          <w:tcPr>
            <w:tcW w:w="163" w:type="dxa"/>
            <w:tcBorders/>
            <w:vAlign w:val="bottom"/>
          </w:tcPr>
          <w:p>
            <w:pPr>
              <w:pStyle w:val="TableContents"/>
              <w:bidi w:val="0"/>
              <w:spacing w:before="0" w:after="283"/>
              <w:jc w:val="left"/>
              <w:rPr/>
            </w:pPr>
            <w:r>
              <w:rPr/>
              <w:t> </w:t>
            </w:r>
          </w:p>
        </w:tc>
      </w:tr>
      <w:tr>
        <w:trPr/>
        <w:tc>
          <w:tcPr>
            <w:tcW w:w="4934" w:type="dxa"/>
            <w:tcBorders/>
            <w:shd w:fill="CCEEFF" w:val="clear"/>
          </w:tcPr>
          <w:p>
            <w:pPr>
              <w:pStyle w:val="TableContents"/>
              <w:bidi w:val="0"/>
              <w:spacing w:before="0" w:after="0"/>
              <w:jc w:val="left"/>
              <w:rPr>
                <w:rFonts w:ascii="Arial" w:hAnsi="Arial"/>
                <w:sz w:val="20"/>
              </w:rPr>
            </w:pPr>
            <w:r>
              <w:rPr>
                <w:rFonts w:ascii="Arial" w:hAnsi="Arial"/>
                <w:sz w:val="20"/>
              </w:rPr>
              <w:t>Other merger and integration (2)</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0.06</w:t>
            </w:r>
          </w:p>
        </w:tc>
        <w:tc>
          <w:tcPr>
            <w:tcW w:w="163" w:type="dxa"/>
            <w:tcBorders/>
            <w:shd w:fill="CCEEFF" w:val="clear"/>
            <w:vAlign w:val="bottom"/>
          </w:tcPr>
          <w:p>
            <w:pPr>
              <w:pStyle w:val="TableContents"/>
              <w:bidi w:val="0"/>
              <w:spacing w:before="0" w:after="283"/>
              <w:jc w:val="left"/>
              <w:rPr/>
            </w:pPr>
            <w:r>
              <w:rPr/>
              <w:t> </w:t>
            </w:r>
          </w:p>
        </w:tc>
      </w:tr>
      <w:tr>
        <w:trPr/>
        <w:tc>
          <w:tcPr>
            <w:tcW w:w="4934" w:type="dxa"/>
            <w:tcBorders/>
          </w:tcPr>
          <w:p>
            <w:pPr>
              <w:pStyle w:val="TableContents"/>
              <w:bidi w:val="0"/>
              <w:spacing w:before="0" w:after="0"/>
              <w:jc w:val="left"/>
              <w:rPr>
                <w:rFonts w:ascii="Arial" w:hAnsi="Arial"/>
                <w:sz w:val="20"/>
              </w:rPr>
            </w:pPr>
            <w:r>
              <w:rPr>
                <w:rFonts w:ascii="Arial" w:hAnsi="Arial"/>
                <w:sz w:val="20"/>
              </w:rPr>
              <w:t>Gain on sale of Palliser APS project (4)</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(0.10</w:t>
            </w:r>
          </w:p>
        </w:tc>
        <w:tc>
          <w:tcPr>
            <w:tcW w:w="163" w:type="dxa"/>
            <w:tcBorders/>
            <w:vAlign w:val="bottom"/>
          </w:tcPr>
          <w:p>
            <w:pPr>
              <w:pStyle w:val="TableContents"/>
              <w:bidi w:val="0"/>
              <w:spacing w:before="0" w:after="283"/>
              <w:jc w:val="left"/>
              <w:rPr/>
            </w:pPr>
            <w:r>
              <w:rPr/>
              <w:t>) </w:t>
            </w:r>
          </w:p>
        </w:tc>
      </w:tr>
      <w:tr>
        <w:trPr/>
        <w:tc>
          <w:tcPr>
            <w:tcW w:w="4934"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7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34"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3,894</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3,031</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2.14</w:t>
            </w:r>
          </w:p>
        </w:tc>
        <w:tc>
          <w:tcPr>
            <w:tcW w:w="163" w:type="dxa"/>
            <w:tcBorders/>
            <w:shd w:fill="CCEEFF" w:val="clear"/>
            <w:vAlign w:val="bottom"/>
          </w:tcPr>
          <w:p>
            <w:pPr>
              <w:pStyle w:val="TableContents"/>
              <w:bidi w:val="0"/>
              <w:spacing w:before="0" w:after="283"/>
              <w:jc w:val="left"/>
              <w:rPr/>
            </w:pPr>
            <w:r>
              <w:rPr/>
              <w:t> </w:t>
            </w:r>
          </w:p>
        </w:tc>
      </w:tr>
      <w:tr>
        <w:trPr/>
        <w:tc>
          <w:tcPr>
            <w:tcW w:w="4934"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5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Does not add due to rounding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Restructuring</w:t>
            </w:r>
            <w:r>
              <w:rPr>
                <w:rFonts w:ascii="Arial" w:hAnsi="Arial"/>
                <w:sz w:val="20"/>
              </w:rPr>
              <w:t> </w:t>
            </w:r>
            <w:r>
              <w:rPr>
                <w:rFonts w:ascii="Arial" w:hAnsi="Arial"/>
                <w:i/>
                <w:sz w:val="20"/>
              </w:rPr>
              <w:t>&amp; other</w:t>
            </w:r>
            <w:r>
              <w:rPr>
                <w:rFonts w:ascii="Arial" w:hAnsi="Arial"/>
                <w:sz w:val="20"/>
              </w:rPr>
              <w:t xml:space="preserve"> in the </w:t>
            </w:r>
            <w:r>
              <w:rPr>
                <w:rFonts w:ascii="Arial" w:hAnsi="Arial"/>
                <w:i/>
                <w:sz w:val="20"/>
              </w:rPr>
              <w:t>Condensed Consolidated Statement of Income</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Merger</w:t>
            </w:r>
            <w:r>
              <w:rPr>
                <w:rFonts w:ascii="Arial" w:hAnsi="Arial"/>
                <w:sz w:val="20"/>
              </w:rPr>
              <w:t> </w:t>
            </w:r>
            <w:r>
              <w:rPr>
                <w:rFonts w:ascii="Arial" w:hAnsi="Arial"/>
                <w:i/>
                <w:sz w:val="20"/>
              </w:rPr>
              <w:t xml:space="preserve">&amp; integration </w:t>
            </w:r>
            <w:r>
              <w:rPr>
                <w:rFonts w:ascii="Arial" w:hAnsi="Arial"/>
                <w:sz w:val="20"/>
              </w:rPr>
              <w:t xml:space="preserve">in the </w:t>
            </w:r>
            <w:r>
              <w:rPr>
                <w:rFonts w:ascii="Arial" w:hAnsi="Arial"/>
                <w:i/>
                <w:sz w:val="20"/>
              </w:rPr>
              <w:t>Condensed Consolidated Statement of Income</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 xml:space="preserve">Cost of revenue </w:t>
            </w:r>
            <w:r>
              <w:rPr>
                <w:rFonts w:ascii="Arial" w:hAnsi="Arial"/>
                <w:sz w:val="20"/>
              </w:rPr>
              <w:t xml:space="preserve">in the </w:t>
            </w:r>
            <w:r>
              <w:rPr>
                <w:rFonts w:ascii="Arial" w:hAnsi="Arial"/>
                <w:i/>
                <w:sz w:val="20"/>
              </w:rPr>
              <w:t>Condensed Consolidated Statement of Income</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Interest</w:t>
            </w:r>
            <w:r>
              <w:rPr>
                <w:rFonts w:ascii="Arial" w:hAnsi="Arial"/>
                <w:sz w:val="20"/>
              </w:rPr>
              <w:t> </w:t>
            </w:r>
            <w:r>
              <w:rPr>
                <w:rFonts w:ascii="Arial" w:hAnsi="Arial"/>
                <w:i/>
                <w:sz w:val="20"/>
              </w:rPr>
              <w:t xml:space="preserve">&amp; other income </w:t>
            </w:r>
            <w:r>
              <w:rPr>
                <w:rFonts w:ascii="Arial" w:hAnsi="Arial"/>
                <w:sz w:val="20"/>
              </w:rPr>
              <w:t xml:space="preserve">in the </w:t>
            </w:r>
            <w:r>
              <w:rPr>
                <w:rFonts w:ascii="Arial" w:hAnsi="Arial"/>
                <w:i/>
                <w:sz w:val="20"/>
              </w:rPr>
              <w:t>Condensed Consolidated Statement of Income</w:t>
            </w:r>
            <w:r>
              <w:rPr>
                <w:rFonts w:ascii="Arial" w:hAnsi="Arial"/>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Divisions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83"/>
        <w:gridCol w:w="135"/>
        <w:gridCol w:w="181"/>
        <w:gridCol w:w="724"/>
        <w:gridCol w:w="155"/>
        <w:gridCol w:w="83"/>
        <w:gridCol w:w="177"/>
        <w:gridCol w:w="610"/>
        <w:gridCol w:w="155"/>
        <w:gridCol w:w="83"/>
        <w:gridCol w:w="177"/>
        <w:gridCol w:w="710"/>
        <w:gridCol w:w="196"/>
        <w:gridCol w:w="95"/>
        <w:gridCol w:w="177"/>
        <w:gridCol w:w="712"/>
        <w:gridCol w:w="155"/>
        <w:gridCol w:w="83"/>
        <w:gridCol w:w="172"/>
        <w:gridCol w:w="692"/>
        <w:gridCol w:w="155"/>
        <w:gridCol w:w="83"/>
        <w:gridCol w:w="161"/>
        <w:gridCol w:w="585"/>
        <w:gridCol w:w="166"/>
      </w:tblGrid>
      <w:tr>
        <w:trPr/>
        <w:tc>
          <w:tcPr>
            <w:tcW w:w="358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39" w:type="dxa"/>
            <w:gridSpan w:val="24"/>
            <w:tcBorders/>
            <w:vAlign w:val="bottom"/>
          </w:tcPr>
          <w:p>
            <w:pPr>
              <w:pStyle w:val="TableContents"/>
              <w:bidi w:val="0"/>
              <w:spacing w:before="0" w:after="283"/>
              <w:jc w:val="right"/>
              <w:rPr/>
            </w:pPr>
            <w:r>
              <w:rPr/>
              <w:t>(Stated in millions)</w:t>
            </w:r>
          </w:p>
        </w:tc>
        <w:tc>
          <w:tcPr>
            <w:tcW w:w="166" w:type="dxa"/>
            <w:tcBorders/>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9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Third Quarter 2026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067" w:type="dxa"/>
            <w:gridSpan w:val="6"/>
            <w:tcBorders>
              <w:bottom w:val="single" w:sz="8" w:space="0" w:color="000000"/>
            </w:tcBorders>
            <w:tcMar>
              <w:bottom w:w="28" w:type="dxa"/>
            </w:tcMar>
            <w:vAlign w:val="bottom"/>
          </w:tcPr>
          <w:p>
            <w:pPr>
              <w:pStyle w:val="TableContents"/>
              <w:bidi w:val="0"/>
              <w:spacing w:before="0" w:after="283"/>
              <w:jc w:val="center"/>
              <w:rPr/>
            </w:pPr>
            <w:r>
              <w:rPr/>
              <w:t>Second Quarter 2026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848" w:type="dxa"/>
            <w:gridSpan w:val="6"/>
            <w:tcBorders>
              <w:bottom w:val="single" w:sz="8" w:space="0" w:color="000000"/>
            </w:tcBorders>
            <w:tcMar>
              <w:bottom w:w="28" w:type="dxa"/>
            </w:tcMar>
            <w:vAlign w:val="bottom"/>
          </w:tcPr>
          <w:p>
            <w:pPr>
              <w:pStyle w:val="TableContents"/>
              <w:bidi w:val="0"/>
              <w:spacing w:before="0" w:after="283"/>
              <w:jc w:val="center"/>
              <w:rPr/>
            </w:pPr>
            <w:r>
              <w:rPr/>
              <w:t>Third Quarter 2025</w:t>
            </w:r>
          </w:p>
        </w:tc>
        <w:tc>
          <w:tcPr>
            <w:tcW w:w="166" w:type="dxa"/>
            <w:tcBorders/>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9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66" w:type="dxa"/>
            <w:tcBorders/>
            <w:vAlign w:val="bottom"/>
          </w:tcPr>
          <w:p>
            <w:pPr>
              <w:pStyle w:val="TableContents"/>
              <w:bidi w:val="0"/>
              <w:spacing w:before="0" w:after="283"/>
              <w:jc w:val="left"/>
              <w:rPr/>
            </w:pPr>
            <w:r>
              <w:rPr/>
              <w:t> </w:t>
            </w:r>
          </w:p>
        </w:tc>
      </w:tr>
      <w:tr>
        <w:trPr/>
        <w:tc>
          <w:tcPr>
            <w:tcW w:w="3583"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w:t>
            </w:r>
          </w:p>
        </w:tc>
        <w:tc>
          <w:tcPr>
            <w:tcW w:w="1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24" w:type="dxa"/>
            <w:tcBorders/>
            <w:shd w:fill="CCEEFF" w:val="clear"/>
            <w:vAlign w:val="bottom"/>
          </w:tcPr>
          <w:p>
            <w:pPr>
              <w:pStyle w:val="TableContents"/>
              <w:bidi w:val="0"/>
              <w:spacing w:before="0" w:after="283"/>
              <w:jc w:val="right"/>
              <w:rPr>
                <w:b/>
              </w:rPr>
            </w:pPr>
            <w:r>
              <w:rPr>
                <w:b/>
              </w:rPr>
              <w:t>693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b/>
              </w:rPr>
            </w:pPr>
            <w:r>
              <w:rPr>
                <w:b/>
              </w:rPr>
              <w:t>$</w:t>
            </w:r>
          </w:p>
        </w:tc>
        <w:tc>
          <w:tcPr>
            <w:tcW w:w="610" w:type="dxa"/>
            <w:tcBorders/>
            <w:shd w:fill="CCEEFF" w:val="clear"/>
            <w:vAlign w:val="bottom"/>
          </w:tcPr>
          <w:p>
            <w:pPr>
              <w:pStyle w:val="TableContents"/>
              <w:bidi w:val="0"/>
              <w:spacing w:before="0" w:after="283"/>
              <w:jc w:val="right"/>
              <w:rPr>
                <w:b/>
              </w:rPr>
            </w:pPr>
            <w:r>
              <w:rPr>
                <w:b/>
              </w:rPr>
              <w:t>194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697</w:t>
            </w:r>
          </w:p>
        </w:tc>
        <w:tc>
          <w:tcPr>
            <w:tcW w:w="196"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194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658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187</w:t>
            </w:r>
          </w:p>
        </w:tc>
        <w:tc>
          <w:tcPr>
            <w:tcW w:w="166" w:type="dxa"/>
            <w:tcBorders/>
            <w:shd w:fill="CCEEFF" w:val="clear"/>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3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b/>
              </w:rPr>
            </w:pPr>
            <w:r>
              <w:rPr>
                <w:b/>
              </w:rPr>
              <w:t>1,634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b/>
              </w:rPr>
            </w:pPr>
            <w:r>
              <w:rPr>
                <w:b/>
              </w:rPr>
              <w:t>266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1,556</w:t>
            </w:r>
          </w:p>
        </w:tc>
        <w:tc>
          <w:tcPr>
            <w:tcW w:w="19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232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1,682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312</w:t>
            </w:r>
          </w:p>
        </w:tc>
        <w:tc>
          <w:tcPr>
            <w:tcW w:w="166" w:type="dxa"/>
            <w:tcBorders/>
            <w:vAlign w:val="bottom"/>
          </w:tcPr>
          <w:p>
            <w:pPr>
              <w:pStyle w:val="TableContents"/>
              <w:bidi w:val="0"/>
              <w:spacing w:before="0" w:after="283"/>
              <w:jc w:val="left"/>
              <w:rPr/>
            </w:pPr>
            <w:r>
              <w:rPr/>
              <w:t> </w:t>
            </w:r>
          </w:p>
        </w:tc>
      </w:tr>
      <w:tr>
        <w:trPr/>
        <w:tc>
          <w:tcPr>
            <w:tcW w:w="3583"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b/>
              </w:rPr>
            </w:pPr>
            <w:r>
              <w:rPr>
                <w:b/>
              </w:rPr>
              <w:t>2,888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b/>
              </w:rPr>
            </w:pPr>
            <w:r>
              <w:rPr>
                <w:b/>
              </w:rPr>
              <w:t>475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2,742</w:t>
            </w:r>
          </w:p>
        </w:tc>
        <w:tc>
          <w:tcPr>
            <w:tcW w:w="196"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417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2,967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558</w:t>
            </w:r>
          </w:p>
        </w:tc>
        <w:tc>
          <w:tcPr>
            <w:tcW w:w="166" w:type="dxa"/>
            <w:tcBorders/>
            <w:shd w:fill="CCEEFF" w:val="clear"/>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3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b/>
              </w:rPr>
            </w:pPr>
            <w:r>
              <w:rPr>
                <w:b/>
              </w:rPr>
              <w:t>4,000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b/>
              </w:rPr>
            </w:pPr>
            <w:r>
              <w:rPr>
                <w:b/>
              </w:rPr>
              <w:t>646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3,771</w:t>
            </w:r>
          </w:p>
        </w:tc>
        <w:tc>
          <w:tcPr>
            <w:tcW w:w="19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586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3,474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559</w:t>
            </w:r>
          </w:p>
        </w:tc>
        <w:tc>
          <w:tcPr>
            <w:tcW w:w="166" w:type="dxa"/>
            <w:tcBorders/>
            <w:vAlign w:val="bottom"/>
          </w:tcPr>
          <w:p>
            <w:pPr>
              <w:pStyle w:val="TableContents"/>
              <w:bidi w:val="0"/>
              <w:spacing w:before="0" w:after="283"/>
              <w:jc w:val="left"/>
              <w:rPr/>
            </w:pPr>
            <w:r>
              <w:rPr/>
              <w:t> </w:t>
            </w:r>
          </w:p>
        </w:tc>
      </w:tr>
      <w:tr>
        <w:trPr/>
        <w:tc>
          <w:tcPr>
            <w:tcW w:w="3583" w:type="dxa"/>
            <w:tcBorders/>
            <w:shd w:fill="CCEEFF" w:val="clear"/>
            <w:vAlign w:val="bottom"/>
          </w:tcPr>
          <w:p>
            <w:pPr>
              <w:pStyle w:val="TableContents"/>
              <w:bidi w:val="0"/>
              <w:spacing w:before="0" w:after="0"/>
              <w:jc w:val="left"/>
              <w:rPr>
                <w:rFonts w:ascii="Arial" w:hAnsi="Arial"/>
                <w:sz w:val="20"/>
              </w:rPr>
            </w:pPr>
            <w:r>
              <w:rPr>
                <w:rFonts w:ascii="Arial" w:hAnsi="Arial"/>
                <w:sz w:val="20"/>
              </w:rPr>
              <w:t>All Other</w:t>
            </w:r>
          </w:p>
        </w:tc>
        <w:tc>
          <w:tcPr>
            <w:tcW w:w="1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b/>
              </w:rPr>
            </w:pPr>
            <w:r>
              <w:rPr>
                <w:b/>
              </w:rPr>
              <w:t>544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b/>
              </w:rPr>
            </w:pPr>
            <w:r>
              <w:rPr>
                <w:b/>
              </w:rPr>
              <w:t>136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505</w:t>
            </w:r>
          </w:p>
        </w:tc>
        <w:tc>
          <w:tcPr>
            <w:tcW w:w="196"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142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397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96</w:t>
            </w:r>
          </w:p>
        </w:tc>
        <w:tc>
          <w:tcPr>
            <w:tcW w:w="166" w:type="dxa"/>
            <w:tcBorders/>
            <w:shd w:fill="CCEEFF" w:val="clear"/>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0"/>
              <w:jc w:val="left"/>
              <w:rPr>
                <w:rFonts w:ascii="Arial" w:hAnsi="Arial"/>
                <w:sz w:val="20"/>
              </w:rPr>
            </w:pPr>
            <w:r>
              <w:rPr>
                <w:rFonts w:ascii="Arial" w:hAnsi="Arial"/>
                <w:sz w:val="20"/>
              </w:rPr>
              <w:t>Eliminations &amp; other</w:t>
            </w:r>
          </w:p>
        </w:tc>
        <w:tc>
          <w:tcPr>
            <w:tcW w:w="13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b/>
              </w:rPr>
            </w:pPr>
            <w:r>
              <w:rPr>
                <w:b/>
              </w:rPr>
              <w:t>(310</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b/>
              </w:rPr>
            </w:pPr>
            <w:r>
              <w:rPr>
                <w:b/>
              </w:rPr>
              <w:t>(141</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(299</w:t>
            </w:r>
          </w:p>
        </w:tc>
        <w:tc>
          <w:tcPr>
            <w:tcW w:w="19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(167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(86</w:t>
            </w:r>
          </w:p>
        </w:tc>
        <w:tc>
          <w:tcPr>
            <w:tcW w:w="166" w:type="dxa"/>
            <w:tcBorders/>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623" w:type="dxa"/>
            <w:gridSpan w:val="4"/>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155" w:type="dxa"/>
            <w:tcBorders/>
            <w:shd w:fill="CCEEFF" w:val="clear"/>
          </w:tcPr>
          <w:p>
            <w:pPr>
              <w:pStyle w:val="TableContents"/>
              <w:bidi w:val="0"/>
              <w:spacing w:before="0" w:after="0"/>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b/>
              </w:rPr>
            </w:pPr>
            <w:r>
              <w:rPr>
                <w:b/>
              </w:rPr>
              <w:t>1,576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1,404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1,626</w:t>
            </w:r>
          </w:p>
        </w:tc>
        <w:tc>
          <w:tcPr>
            <w:tcW w:w="166" w:type="dxa"/>
            <w:tcBorders/>
            <w:shd w:fill="CCEEFF" w:val="clear"/>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0"/>
              <w:jc w:val="left"/>
              <w:rPr>
                <w:rFonts w:ascii="Arial" w:hAnsi="Arial"/>
                <w:sz w:val="20"/>
              </w:rPr>
            </w:pPr>
            <w:r>
              <w:rPr>
                <w:rFonts w:ascii="Arial" w:hAnsi="Arial"/>
                <w:sz w:val="20"/>
              </w:rPr>
              <w:t>Corporate &amp; other</w:t>
            </w:r>
          </w:p>
        </w:tc>
        <w:tc>
          <w:tcPr>
            <w:tcW w:w="13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(203</w:t>
            </w:r>
          </w:p>
        </w:tc>
        <w:tc>
          <w:tcPr>
            <w:tcW w:w="166" w:type="dxa"/>
            <w:tcBorders/>
            <w:vAlign w:val="bottom"/>
          </w:tcPr>
          <w:p>
            <w:pPr>
              <w:pStyle w:val="TableContents"/>
              <w:bidi w:val="0"/>
              <w:spacing w:before="0" w:after="283"/>
              <w:jc w:val="left"/>
              <w:rPr/>
            </w:pPr>
            <w:r>
              <w:rPr/>
              <w:t>) </w:t>
            </w:r>
          </w:p>
        </w:tc>
      </w:tr>
      <w:tr>
        <w:trPr/>
        <w:tc>
          <w:tcPr>
            <w:tcW w:w="3583"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 income (1)</w:t>
            </w:r>
          </w:p>
        </w:tc>
        <w:tc>
          <w:tcPr>
            <w:tcW w:w="1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b/>
              </w:rPr>
            </w:pPr>
            <w:r>
              <w:rPr>
                <w:b/>
              </w:rPr>
              <w:t>22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37</w:t>
            </w:r>
          </w:p>
        </w:tc>
        <w:tc>
          <w:tcPr>
            <w:tcW w:w="166" w:type="dxa"/>
            <w:tcBorders/>
            <w:shd w:fill="CCEEFF" w:val="clear"/>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0"/>
              <w:jc w:val="left"/>
              <w:rPr>
                <w:rFonts w:ascii="Arial" w:hAnsi="Arial"/>
                <w:sz w:val="20"/>
              </w:rPr>
            </w:pPr>
            <w:r>
              <w:rPr>
                <w:rFonts w:ascii="Arial" w:hAnsi="Arial"/>
                <w:sz w:val="20"/>
              </w:rPr>
              <w:t>Interest expense (1)</w:t>
            </w:r>
          </w:p>
        </w:tc>
        <w:tc>
          <w:tcPr>
            <w:tcW w:w="13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b/>
              </w:rPr>
            </w:pPr>
            <w:r>
              <w:rPr>
                <w:b/>
              </w:rPr>
              <w:t>(133</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(142</w:t>
            </w:r>
          </w:p>
        </w:tc>
        <w:tc>
          <w:tcPr>
            <w:tcW w:w="166" w:type="dxa"/>
            <w:tcBorders/>
            <w:vAlign w:val="bottom"/>
          </w:tcPr>
          <w:p>
            <w:pPr>
              <w:pStyle w:val="TableContents"/>
              <w:bidi w:val="0"/>
              <w:spacing w:before="0" w:after="283"/>
              <w:jc w:val="left"/>
              <w:rPr/>
            </w:pPr>
            <w:r>
              <w:rPr/>
              <w:t>) </w:t>
            </w:r>
          </w:p>
        </w:tc>
      </w:tr>
      <w:tr>
        <w:trPr/>
        <w:tc>
          <w:tcPr>
            <w:tcW w:w="3583"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3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b/>
              </w:rPr>
            </w:pPr>
            <w:r>
              <w:rPr>
                <w:b/>
              </w:rPr>
              <w:t>(242</w:t>
            </w:r>
          </w:p>
        </w:tc>
        <w:tc>
          <w:tcPr>
            <w:tcW w:w="155" w:type="dxa"/>
            <w:tcBorders/>
            <w:shd w:fill="CCEEFF" w:val="clear"/>
            <w:vAlign w:val="bottom"/>
          </w:tcPr>
          <w:p>
            <w:pPr>
              <w:pStyle w:val="TableContents"/>
              <w:bidi w:val="0"/>
              <w:spacing w:before="0" w:after="283"/>
              <w:jc w:val="left"/>
              <w:rPr>
                <w:b/>
              </w:rPr>
            </w:pPr>
            <w:r>
              <w:rPr>
                <w:b/>
              </w:rPr>
              <w:t>) </w:t>
            </w:r>
          </w:p>
        </w:tc>
        <w:tc>
          <w:tcPr>
            <w:tcW w:w="8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(318</w:t>
            </w:r>
          </w:p>
        </w:tc>
        <w:tc>
          <w:tcPr>
            <w:tcW w:w="166" w:type="dxa"/>
            <w:tcBorders/>
            <w:shd w:fill="CCEEFF" w:val="clear"/>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5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724" w:type="dxa"/>
            <w:tcBorders/>
            <w:vAlign w:val="bottom"/>
          </w:tcPr>
          <w:p>
            <w:pPr>
              <w:pStyle w:val="TableContents"/>
              <w:bidi w:val="0"/>
              <w:spacing w:before="0" w:after="283"/>
              <w:jc w:val="right"/>
              <w:rPr>
                <w:b/>
              </w:rPr>
            </w:pPr>
            <w:r>
              <w:rPr>
                <w:b/>
              </w:rPr>
              <w:t>9,449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b/>
              </w:rPr>
            </w:pPr>
            <w:r>
              <w:rPr>
                <w:b/>
              </w:rPr>
              <w:t>$</w:t>
            </w:r>
          </w:p>
        </w:tc>
        <w:tc>
          <w:tcPr>
            <w:tcW w:w="610" w:type="dxa"/>
            <w:tcBorders/>
            <w:vAlign w:val="bottom"/>
          </w:tcPr>
          <w:p>
            <w:pPr>
              <w:pStyle w:val="TableContents"/>
              <w:bidi w:val="0"/>
              <w:spacing w:before="0" w:after="283"/>
              <w:jc w:val="right"/>
              <w:rPr>
                <w:b/>
              </w:rPr>
            </w:pPr>
            <w:r>
              <w:rPr>
                <w:b/>
              </w:rPr>
              <w:t>1,019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8,972</w:t>
            </w:r>
          </w:p>
        </w:tc>
        <w:tc>
          <w:tcPr>
            <w:tcW w:w="19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712" w:type="dxa"/>
            <w:tcBorders/>
            <w:vAlign w:val="bottom"/>
          </w:tcPr>
          <w:p>
            <w:pPr>
              <w:pStyle w:val="TableContents"/>
              <w:bidi w:val="0"/>
              <w:spacing w:before="0" w:after="283"/>
              <w:jc w:val="right"/>
              <w:rPr/>
            </w:pPr>
            <w:r>
              <w:rPr/>
              <w:t>1,019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8,928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1,000</w:t>
            </w:r>
          </w:p>
        </w:tc>
        <w:tc>
          <w:tcPr>
            <w:tcW w:w="166" w:type="dxa"/>
            <w:tcBorders/>
            <w:vAlign w:val="bottom"/>
          </w:tcPr>
          <w:p>
            <w:pPr>
              <w:pStyle w:val="TableContents"/>
              <w:bidi w:val="0"/>
              <w:spacing w:before="0" w:after="283"/>
              <w:jc w:val="left"/>
              <w:rPr/>
            </w:pPr>
            <w:r>
              <w:rPr/>
              <w:t> </w:t>
            </w:r>
          </w:p>
        </w:tc>
      </w:tr>
      <w:tr>
        <w:trPr/>
        <w:tc>
          <w:tcPr>
            <w:tcW w:w="35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03"/>
        <w:gridCol w:w="145"/>
        <w:gridCol w:w="154"/>
        <w:gridCol w:w="772"/>
        <w:gridCol w:w="155"/>
        <w:gridCol w:w="103"/>
        <w:gridCol w:w="154"/>
        <w:gridCol w:w="616"/>
        <w:gridCol w:w="155"/>
        <w:gridCol w:w="103"/>
        <w:gridCol w:w="146"/>
        <w:gridCol w:w="745"/>
        <w:gridCol w:w="155"/>
        <w:gridCol w:w="103"/>
        <w:gridCol w:w="145"/>
        <w:gridCol w:w="590"/>
        <w:gridCol w:w="161"/>
      </w:tblGrid>
      <w:tr>
        <w:trPr/>
        <w:tc>
          <w:tcPr>
            <w:tcW w:w="580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6"/>
            <w:tcBorders/>
            <w:vAlign w:val="bottom"/>
          </w:tcPr>
          <w:p>
            <w:pPr>
              <w:pStyle w:val="TableContents"/>
              <w:bidi w:val="0"/>
              <w:spacing w:before="0" w:after="283"/>
              <w:jc w:val="right"/>
              <w:rPr/>
            </w:pPr>
            <w:r>
              <w:rPr/>
              <w:t>(Stated in millions)</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09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9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 30, 2026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84" w:type="dxa"/>
            <w:gridSpan w:val="6"/>
            <w:tcBorders>
              <w:bottom w:val="single" w:sz="8" w:space="0" w:color="000000"/>
            </w:tcBorders>
            <w:tcMar>
              <w:bottom w:w="28" w:type="dxa"/>
            </w:tcMar>
            <w:vAlign w:val="bottom"/>
          </w:tcPr>
          <w:p>
            <w:pPr>
              <w:pStyle w:val="TableContents"/>
              <w:bidi w:val="0"/>
              <w:spacing w:before="0" w:after="283"/>
              <w:jc w:val="center"/>
              <w:rPr/>
            </w:pPr>
            <w:r>
              <w:rPr/>
              <w:t>Sept. 30, 2025</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772" w:type="dxa"/>
            <w:tcBorders/>
            <w:shd w:fill="CCEEFF" w:val="clear"/>
            <w:vAlign w:val="bottom"/>
          </w:tcPr>
          <w:p>
            <w:pPr>
              <w:pStyle w:val="TableContents"/>
              <w:bidi w:val="0"/>
              <w:spacing w:before="0" w:after="283"/>
              <w:jc w:val="right"/>
              <w:rPr>
                <w:b/>
              </w:rPr>
            </w:pPr>
            <w:r>
              <w:rPr>
                <w:b/>
              </w:rPr>
              <w:t>2,030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16" w:type="dxa"/>
            <w:tcBorders/>
            <w:shd w:fill="CCEEFF" w:val="clear"/>
            <w:vAlign w:val="bottom"/>
          </w:tcPr>
          <w:p>
            <w:pPr>
              <w:pStyle w:val="TableContents"/>
              <w:bidi w:val="0"/>
              <w:spacing w:before="0" w:after="283"/>
              <w:jc w:val="right"/>
              <w:rPr>
                <w:b/>
              </w:rPr>
            </w:pPr>
            <w:r>
              <w:rPr>
                <w:b/>
              </w:rPr>
              <w:t>522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1,836</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465</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4,783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754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5,072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908</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8,427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1,315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8,908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1,698</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11,278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1,728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9,247</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1,520</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All Other</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1,492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391</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1,542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414</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Eliminations &amp; other</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(868</w:t>
            </w:r>
          </w:p>
        </w:tc>
        <w:tc>
          <w:tcPr>
            <w:tcW w:w="155"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(409</w:t>
            </w:r>
          </w:p>
        </w:tc>
        <w:tc>
          <w:tcPr>
            <w:tcW w:w="155"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(642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(239</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874" w:type="dxa"/>
            <w:gridSpan w:val="4"/>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155" w:type="dxa"/>
            <w:tcBorders/>
            <w:shd w:fill="CCEEFF" w:val="clear"/>
          </w:tcPr>
          <w:p>
            <w:pPr>
              <w:pStyle w:val="TableContents"/>
              <w:bidi w:val="0"/>
              <w:spacing w:before="0" w:after="0"/>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4,301</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4,766</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Corporate &amp; other</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(643</w:t>
            </w:r>
          </w:p>
        </w:tc>
        <w:tc>
          <w:tcPr>
            <w:tcW w:w="155"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(550</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 income(1)</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65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103</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Interest expense(1)</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(377</w:t>
            </w:r>
          </w:p>
        </w:tc>
        <w:tc>
          <w:tcPr>
            <w:tcW w:w="155"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(425</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credits(2)</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(352</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(546</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27,142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16" w:type="dxa"/>
            <w:tcBorders/>
            <w:vAlign w:val="bottom"/>
          </w:tcPr>
          <w:p>
            <w:pPr>
              <w:pStyle w:val="TableContents"/>
              <w:bidi w:val="0"/>
              <w:spacing w:before="0" w:after="283"/>
              <w:jc w:val="right"/>
              <w:rPr>
                <w:b/>
              </w:rPr>
            </w:pPr>
            <w:r>
              <w:rPr>
                <w:b/>
              </w:rPr>
              <w:t>2,994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25,963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3,348</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010"/>
        <w:gridCol w:w="203"/>
        <w:gridCol w:w="181"/>
        <w:gridCol w:w="732"/>
        <w:gridCol w:w="155"/>
        <w:gridCol w:w="146"/>
        <w:gridCol w:w="154"/>
        <w:gridCol w:w="629"/>
        <w:gridCol w:w="155"/>
        <w:gridCol w:w="146"/>
        <w:gridCol w:w="441"/>
        <w:gridCol w:w="1205"/>
        <w:gridCol w:w="60"/>
        <w:gridCol w:w="202"/>
        <w:gridCol w:w="307"/>
        <w:gridCol w:w="818"/>
        <w:gridCol w:w="155"/>
        <w:gridCol w:w="146"/>
        <w:gridCol w:w="235"/>
        <w:gridCol w:w="960"/>
        <w:gridCol w:w="165"/>
      </w:tblGrid>
      <w:tr>
        <w:trPr/>
        <w:tc>
          <w:tcPr>
            <w:tcW w:w="301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40" w:type="dxa"/>
            <w:gridSpan w:val="20"/>
            <w:tcBorders/>
            <w:vAlign w:val="bottom"/>
          </w:tcPr>
          <w:p>
            <w:pPr>
              <w:pStyle w:val="TableContents"/>
              <w:bidi w:val="0"/>
              <w:spacing w:before="0" w:after="283"/>
              <w:jc w:val="right"/>
              <w:rPr/>
            </w:pPr>
            <w:r>
              <w:rPr/>
              <w:t>(Stated in millions)</w:t>
            </w:r>
          </w:p>
        </w:tc>
        <w:tc>
          <w:tcPr>
            <w:tcW w:w="165"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2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Third Quarter 2026</w:t>
            </w:r>
          </w:p>
        </w:tc>
        <w:tc>
          <w:tcPr>
            <w:tcW w:w="165"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pPr>
            <w:r>
              <w:rPr>
                <w:b/>
              </w:rPr>
              <w:t>Income</w:t>
              <w:br/>
              <w:t>Before</w:t>
            </w:r>
            <w:r>
              <w:rPr/>
              <w:br/>
            </w:r>
            <w:r>
              <w:rPr>
                <w:b/>
              </w:rPr>
              <w:t>Taxes</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46" w:type="dxa"/>
            <w:gridSpan w:val="2"/>
            <w:tcBorders>
              <w:bottom w:val="single" w:sz="8" w:space="0" w:color="000000"/>
            </w:tcBorders>
            <w:tcMar>
              <w:bottom w:w="28" w:type="dxa"/>
            </w:tcMar>
            <w:vAlign w:val="bottom"/>
          </w:tcPr>
          <w:p>
            <w:pPr>
              <w:pStyle w:val="TableContents"/>
              <w:bidi w:val="0"/>
              <w:spacing w:before="0" w:after="283"/>
              <w:jc w:val="center"/>
              <w:rPr/>
            </w:pPr>
            <w:r>
              <w:rPr/>
              <w:t>Depreciation and</w:t>
              <w:br/>
              <w:t>Amortization (3)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pPr>
            <w:r>
              <w:rPr/>
              <w:t>Net Interest</w:t>
              <w:br/>
              <w:t>Expense</w:t>
              <w:br/>
              <w:t>(Income) (4)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5" w:type="dxa"/>
            <w:tcBorders/>
            <w:vAlign w:val="bottom"/>
          </w:tcPr>
          <w:p>
            <w:pPr>
              <w:pStyle w:val="TableContents"/>
              <w:bidi w:val="0"/>
              <w:spacing w:before="0" w:after="283"/>
              <w:jc w:val="left"/>
              <w:rPr/>
            </w:pPr>
            <w:r>
              <w:rPr/>
              <w:t> </w:t>
            </w:r>
          </w:p>
        </w:tc>
      </w:tr>
      <w:tr>
        <w:trPr/>
        <w:tc>
          <w:tcPr>
            <w:tcW w:w="3010"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32" w:type="dxa"/>
            <w:tcBorders/>
            <w:shd w:fill="CCEEFF" w:val="clear"/>
            <w:vAlign w:val="bottom"/>
          </w:tcPr>
          <w:p>
            <w:pPr>
              <w:pStyle w:val="TableContents"/>
              <w:bidi w:val="0"/>
              <w:spacing w:before="0" w:after="283"/>
              <w:jc w:val="right"/>
              <w:rPr>
                <w:b/>
              </w:rPr>
            </w:pPr>
            <w:r>
              <w:rPr>
                <w:b/>
              </w:rPr>
              <w:t>693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194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228</w:t>
            </w:r>
          </w:p>
        </w:tc>
        <w:tc>
          <w:tcPr>
            <w:tcW w:w="165" w:type="dxa"/>
            <w:tcBorders/>
            <w:shd w:fill="CCEEFF" w:val="clear"/>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1,634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266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384</w:t>
            </w:r>
          </w:p>
        </w:tc>
        <w:tc>
          <w:tcPr>
            <w:tcW w:w="165" w:type="dxa"/>
            <w:tcBorders/>
            <w:vAlign w:val="bottom"/>
          </w:tcPr>
          <w:p>
            <w:pPr>
              <w:pStyle w:val="TableContents"/>
              <w:bidi w:val="0"/>
              <w:spacing w:before="0" w:after="283"/>
              <w:jc w:val="left"/>
              <w:rPr/>
            </w:pPr>
            <w:r>
              <w:rPr/>
              <w:t> </w:t>
            </w:r>
          </w:p>
        </w:tc>
      </w:tr>
      <w:tr>
        <w:trPr/>
        <w:tc>
          <w:tcPr>
            <w:tcW w:w="3010"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2,888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475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157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632</w:t>
            </w:r>
          </w:p>
        </w:tc>
        <w:tc>
          <w:tcPr>
            <w:tcW w:w="165" w:type="dxa"/>
            <w:tcBorders/>
            <w:shd w:fill="CCEEFF" w:val="clear"/>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4,000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646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800</w:t>
            </w:r>
          </w:p>
        </w:tc>
        <w:tc>
          <w:tcPr>
            <w:tcW w:w="165" w:type="dxa"/>
            <w:tcBorders/>
            <w:vAlign w:val="bottom"/>
          </w:tcPr>
          <w:p>
            <w:pPr>
              <w:pStyle w:val="TableContents"/>
              <w:bidi w:val="0"/>
              <w:spacing w:before="0" w:after="283"/>
              <w:jc w:val="left"/>
              <w:rPr/>
            </w:pPr>
            <w:r>
              <w:rPr/>
              <w:t> </w:t>
            </w:r>
          </w:p>
        </w:tc>
      </w:tr>
      <w:tr>
        <w:trPr/>
        <w:tc>
          <w:tcPr>
            <w:tcW w:w="3010" w:type="dxa"/>
            <w:tcBorders/>
            <w:shd w:fill="CCEEFF" w:val="clear"/>
            <w:vAlign w:val="bottom"/>
          </w:tcPr>
          <w:p>
            <w:pPr>
              <w:pStyle w:val="TableContents"/>
              <w:bidi w:val="0"/>
              <w:spacing w:before="0" w:after="0"/>
              <w:jc w:val="left"/>
              <w:rPr>
                <w:rFonts w:ascii="Arial" w:hAnsi="Arial"/>
                <w:sz w:val="20"/>
              </w:rPr>
            </w:pPr>
            <w:r>
              <w:rPr>
                <w:rFonts w:ascii="Arial" w:hAnsi="Arial"/>
                <w:sz w:val="20"/>
              </w:rPr>
              <w:t>All Other</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544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136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226</w:t>
            </w:r>
          </w:p>
        </w:tc>
        <w:tc>
          <w:tcPr>
            <w:tcW w:w="165" w:type="dxa"/>
            <w:tcBorders/>
            <w:shd w:fill="CCEEFF" w:val="clear"/>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0"/>
              <w:jc w:val="left"/>
              <w:rPr>
                <w:rFonts w:ascii="Arial" w:hAnsi="Arial"/>
                <w:sz w:val="20"/>
              </w:rPr>
            </w:pPr>
            <w:r>
              <w:rPr>
                <w:rFonts w:ascii="Arial" w:hAnsi="Arial"/>
                <w:sz w:val="20"/>
              </w:rPr>
              <w:t>Eliminations &amp; other</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(310</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(141</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(71</w:t>
            </w:r>
          </w:p>
        </w:tc>
        <w:tc>
          <w:tcPr>
            <w:tcW w:w="165"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3010" w:type="dxa"/>
            <w:tcBorders/>
            <w:shd w:fill="CCEEFF" w:val="clear"/>
            <w:vAlign w:val="bottom"/>
          </w:tcPr>
          <w:p>
            <w:pPr>
              <w:pStyle w:val="TableContents"/>
              <w:bidi w:val="0"/>
              <w:spacing w:before="0" w:after="0"/>
              <w:jc w:val="left"/>
              <w:rPr>
                <w:rFonts w:ascii="Arial" w:hAnsi="Arial"/>
                <w:sz w:val="20"/>
              </w:rPr>
            </w:pPr>
            <w:r>
              <w:rPr>
                <w:rFonts w:ascii="Arial" w:hAnsi="Arial"/>
                <w:sz w:val="20"/>
              </w:rPr>
              <w:t>Pretax segment operating income</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1,576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010" w:type="dxa"/>
            <w:tcBorders/>
            <w:vAlign w:val="bottom"/>
          </w:tcPr>
          <w:p>
            <w:pPr>
              <w:pStyle w:val="TableContents"/>
              <w:bidi w:val="0"/>
              <w:spacing w:before="0" w:after="0"/>
              <w:jc w:val="left"/>
              <w:rPr>
                <w:rFonts w:ascii="Arial" w:hAnsi="Arial"/>
                <w:sz w:val="20"/>
              </w:rPr>
            </w:pPr>
            <w:r>
              <w:rPr>
                <w:rFonts w:ascii="Arial" w:hAnsi="Arial"/>
                <w:sz w:val="20"/>
              </w:rPr>
              <w:t>Corporate &amp; other</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(132</w:t>
            </w:r>
          </w:p>
        </w:tc>
        <w:tc>
          <w:tcPr>
            <w:tcW w:w="165" w:type="dxa"/>
            <w:tcBorders/>
            <w:vAlign w:val="bottom"/>
          </w:tcPr>
          <w:p>
            <w:pPr>
              <w:pStyle w:val="TableContents"/>
              <w:bidi w:val="0"/>
              <w:spacing w:before="0" w:after="283"/>
              <w:jc w:val="left"/>
              <w:rPr/>
            </w:pPr>
            <w:r>
              <w:rPr/>
              <w:t>) </w:t>
            </w:r>
          </w:p>
        </w:tc>
      </w:tr>
      <w:tr>
        <w:trPr/>
        <w:tc>
          <w:tcPr>
            <w:tcW w:w="3010"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 income (1)</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010" w:type="dxa"/>
            <w:tcBorders/>
            <w:vAlign w:val="bottom"/>
          </w:tcPr>
          <w:p>
            <w:pPr>
              <w:pStyle w:val="TableContents"/>
              <w:bidi w:val="0"/>
              <w:spacing w:before="0" w:after="0"/>
              <w:jc w:val="left"/>
              <w:rPr>
                <w:rFonts w:ascii="Arial" w:hAnsi="Arial"/>
                <w:sz w:val="20"/>
              </w:rPr>
            </w:pPr>
            <w:r>
              <w:rPr>
                <w:rFonts w:ascii="Arial" w:hAnsi="Arial"/>
                <w:sz w:val="20"/>
              </w:rPr>
              <w:t>Interest expense (1)</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(133</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3010"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(242</w:t>
            </w:r>
          </w:p>
        </w:tc>
        <w:tc>
          <w:tcPr>
            <w:tcW w:w="155" w:type="dxa"/>
            <w:tcBorders/>
            <w:shd w:fill="CCEEFF" w:val="clear"/>
            <w:vAlign w:val="bottom"/>
          </w:tcPr>
          <w:p>
            <w:pPr>
              <w:pStyle w:val="TableContents"/>
              <w:bidi w:val="0"/>
              <w:spacing w:before="0" w:after="283"/>
              <w:jc w:val="left"/>
              <w:rPr>
                <w:b/>
              </w:rPr>
            </w:pPr>
            <w:r>
              <w:rPr>
                <w:b/>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01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732" w:type="dxa"/>
            <w:tcBorders/>
            <w:vAlign w:val="bottom"/>
          </w:tcPr>
          <w:p>
            <w:pPr>
              <w:pStyle w:val="TableContents"/>
              <w:bidi w:val="0"/>
              <w:spacing w:before="0" w:after="283"/>
              <w:jc w:val="right"/>
              <w:rPr>
                <w:b/>
              </w:rPr>
            </w:pPr>
            <w:r>
              <w:rPr>
                <w:b/>
              </w:rPr>
              <w:t>9,449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29" w:type="dxa"/>
            <w:tcBorders/>
            <w:vAlign w:val="bottom"/>
          </w:tcPr>
          <w:p>
            <w:pPr>
              <w:pStyle w:val="TableContents"/>
              <w:bidi w:val="0"/>
              <w:spacing w:before="0" w:after="283"/>
              <w:jc w:val="right"/>
              <w:rPr>
                <w:b/>
              </w:rPr>
            </w:pPr>
            <w:r>
              <w:rPr>
                <w:b/>
              </w:rPr>
              <w:t>1,019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698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2,067</w:t>
            </w:r>
          </w:p>
        </w:tc>
        <w:tc>
          <w:tcPr>
            <w:tcW w:w="165"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10"/>
        <w:gridCol w:w="203"/>
        <w:gridCol w:w="181"/>
        <w:gridCol w:w="732"/>
        <w:gridCol w:w="155"/>
        <w:gridCol w:w="146"/>
        <w:gridCol w:w="154"/>
        <w:gridCol w:w="629"/>
        <w:gridCol w:w="155"/>
        <w:gridCol w:w="146"/>
        <w:gridCol w:w="441"/>
        <w:gridCol w:w="1205"/>
        <w:gridCol w:w="60"/>
        <w:gridCol w:w="202"/>
        <w:gridCol w:w="307"/>
        <w:gridCol w:w="818"/>
        <w:gridCol w:w="155"/>
        <w:gridCol w:w="146"/>
        <w:gridCol w:w="235"/>
        <w:gridCol w:w="960"/>
        <w:gridCol w:w="165"/>
      </w:tblGrid>
      <w:tr>
        <w:trPr/>
        <w:tc>
          <w:tcPr>
            <w:tcW w:w="301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40" w:type="dxa"/>
            <w:gridSpan w:val="20"/>
            <w:tcBorders/>
            <w:vAlign w:val="bottom"/>
          </w:tcPr>
          <w:p>
            <w:pPr>
              <w:pStyle w:val="TableContents"/>
              <w:bidi w:val="0"/>
              <w:spacing w:before="0" w:after="283"/>
              <w:jc w:val="right"/>
              <w:rPr/>
            </w:pPr>
            <w:r>
              <w:rPr/>
              <w:t>(Stated in millions)</w:t>
            </w:r>
          </w:p>
        </w:tc>
        <w:tc>
          <w:tcPr>
            <w:tcW w:w="165"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2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Second Quarter 2026</w:t>
            </w:r>
          </w:p>
        </w:tc>
        <w:tc>
          <w:tcPr>
            <w:tcW w:w="165"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pPr>
            <w:r>
              <w:rPr>
                <w:b/>
              </w:rPr>
              <w:t>Income</w:t>
              <w:br/>
              <w:t>Before</w:t>
            </w:r>
            <w:r>
              <w:rPr/>
              <w:br/>
            </w:r>
            <w:r>
              <w:rPr>
                <w:b/>
              </w:rPr>
              <w:t>Taxes</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46" w:type="dxa"/>
            <w:gridSpan w:val="2"/>
            <w:tcBorders>
              <w:bottom w:val="single" w:sz="8" w:space="0" w:color="000000"/>
            </w:tcBorders>
            <w:tcMar>
              <w:bottom w:w="28" w:type="dxa"/>
            </w:tcMar>
            <w:vAlign w:val="bottom"/>
          </w:tcPr>
          <w:p>
            <w:pPr>
              <w:pStyle w:val="TableContents"/>
              <w:bidi w:val="0"/>
              <w:spacing w:before="0" w:after="283"/>
              <w:jc w:val="center"/>
              <w:rPr/>
            </w:pPr>
            <w:r>
              <w:rPr/>
              <w:t>Depreciation and</w:t>
              <w:br/>
              <w:t>Amortization (3)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pPr>
            <w:r>
              <w:rPr/>
              <w:t>Net Interest</w:t>
              <w:br/>
              <w:t>Expense</w:t>
              <w:br/>
              <w:t>(Income) (4)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5" w:type="dxa"/>
            <w:tcBorders/>
            <w:vAlign w:val="bottom"/>
          </w:tcPr>
          <w:p>
            <w:pPr>
              <w:pStyle w:val="TableContents"/>
              <w:bidi w:val="0"/>
              <w:spacing w:before="0" w:after="283"/>
              <w:jc w:val="left"/>
              <w:rPr/>
            </w:pPr>
            <w:r>
              <w:rPr/>
              <w:t> </w:t>
            </w:r>
          </w:p>
        </w:tc>
      </w:tr>
      <w:tr>
        <w:trPr/>
        <w:tc>
          <w:tcPr>
            <w:tcW w:w="3010" w:type="dxa"/>
            <w:tcBorders/>
            <w:shd w:fill="CCEEFF" w:val="clear"/>
          </w:tcPr>
          <w:p>
            <w:pPr>
              <w:pStyle w:val="TableContents"/>
              <w:bidi w:val="0"/>
              <w:spacing w:before="0" w:after="0"/>
              <w:jc w:val="left"/>
              <w:rPr>
                <w:rFonts w:ascii="Arial" w:hAnsi="Arial"/>
                <w:sz w:val="20"/>
              </w:rPr>
            </w:pPr>
            <w:r>
              <w:rPr>
                <w:rFonts w:ascii="Arial" w:hAnsi="Arial"/>
                <w:sz w:val="20"/>
              </w:rPr>
              <w:t>Digital</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32" w:type="dxa"/>
            <w:tcBorders/>
            <w:shd w:fill="CCEEFF" w:val="clear"/>
            <w:vAlign w:val="bottom"/>
          </w:tcPr>
          <w:p>
            <w:pPr>
              <w:pStyle w:val="TableContents"/>
              <w:bidi w:val="0"/>
              <w:spacing w:before="0" w:after="283"/>
              <w:jc w:val="right"/>
              <w:rPr>
                <w:b/>
              </w:rPr>
            </w:pPr>
            <w:r>
              <w:rPr>
                <w:b/>
              </w:rPr>
              <w:t>697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194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48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242</w:t>
            </w:r>
          </w:p>
        </w:tc>
        <w:tc>
          <w:tcPr>
            <w:tcW w:w="165" w:type="dxa"/>
            <w:tcBorders/>
            <w:shd w:fill="CCEEFF" w:val="clear"/>
            <w:vAlign w:val="bottom"/>
          </w:tcPr>
          <w:p>
            <w:pPr>
              <w:pStyle w:val="TableContents"/>
              <w:bidi w:val="0"/>
              <w:spacing w:before="0" w:after="283"/>
              <w:jc w:val="left"/>
              <w:rPr/>
            </w:pPr>
            <w:r>
              <w:rPr/>
              <w:t> </w:t>
            </w:r>
          </w:p>
        </w:tc>
      </w:tr>
      <w:tr>
        <w:trPr/>
        <w:tc>
          <w:tcPr>
            <w:tcW w:w="3010" w:type="dxa"/>
            <w:tcBorders/>
          </w:tcPr>
          <w:p>
            <w:pPr>
              <w:pStyle w:val="TableContents"/>
              <w:bidi w:val="0"/>
              <w:spacing w:before="0" w:after="0"/>
              <w:jc w:val="left"/>
              <w:rPr>
                <w:rFonts w:ascii="Arial" w:hAnsi="Arial"/>
                <w:sz w:val="20"/>
              </w:rPr>
            </w:pPr>
            <w:r>
              <w:rPr>
                <w:rFonts w:ascii="Arial" w:hAnsi="Arial"/>
                <w:sz w:val="20"/>
              </w:rPr>
              <w:t>Reservoir Performance</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1,556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232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349</w:t>
            </w:r>
          </w:p>
        </w:tc>
        <w:tc>
          <w:tcPr>
            <w:tcW w:w="165" w:type="dxa"/>
            <w:tcBorders/>
            <w:vAlign w:val="bottom"/>
          </w:tcPr>
          <w:p>
            <w:pPr>
              <w:pStyle w:val="TableContents"/>
              <w:bidi w:val="0"/>
              <w:spacing w:before="0" w:after="283"/>
              <w:jc w:val="left"/>
              <w:rPr/>
            </w:pPr>
            <w:r>
              <w:rPr/>
              <w:t> </w:t>
            </w:r>
          </w:p>
        </w:tc>
      </w:tr>
      <w:tr>
        <w:trPr/>
        <w:tc>
          <w:tcPr>
            <w:tcW w:w="3010"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2,742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417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161</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578</w:t>
            </w:r>
          </w:p>
        </w:tc>
        <w:tc>
          <w:tcPr>
            <w:tcW w:w="165" w:type="dxa"/>
            <w:tcBorders/>
            <w:shd w:fill="CCEEFF" w:val="clear"/>
            <w:vAlign w:val="bottom"/>
          </w:tcPr>
          <w:p>
            <w:pPr>
              <w:pStyle w:val="TableContents"/>
              <w:bidi w:val="0"/>
              <w:spacing w:before="0" w:after="283"/>
              <w:jc w:val="left"/>
              <w:rPr/>
            </w:pPr>
            <w:r>
              <w:rPr/>
              <w:t> </w:t>
            </w:r>
          </w:p>
        </w:tc>
      </w:tr>
      <w:tr>
        <w:trPr/>
        <w:tc>
          <w:tcPr>
            <w:tcW w:w="3010" w:type="dxa"/>
            <w:tcBorders/>
          </w:tcPr>
          <w:p>
            <w:pPr>
              <w:pStyle w:val="TableContents"/>
              <w:bidi w:val="0"/>
              <w:spacing w:before="0" w:after="0"/>
              <w:jc w:val="left"/>
              <w:rPr>
                <w:rFonts w:ascii="Arial" w:hAnsi="Arial"/>
                <w:sz w:val="20"/>
              </w:rPr>
            </w:pPr>
            <w:r>
              <w:rPr>
                <w:rFonts w:ascii="Arial" w:hAnsi="Arial"/>
                <w:sz w:val="20"/>
              </w:rPr>
              <w:t>Production Systems</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3,771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586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152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738</w:t>
            </w:r>
          </w:p>
        </w:tc>
        <w:tc>
          <w:tcPr>
            <w:tcW w:w="165" w:type="dxa"/>
            <w:tcBorders/>
            <w:vAlign w:val="bottom"/>
          </w:tcPr>
          <w:p>
            <w:pPr>
              <w:pStyle w:val="TableContents"/>
              <w:bidi w:val="0"/>
              <w:spacing w:before="0" w:after="283"/>
              <w:jc w:val="left"/>
              <w:rPr/>
            </w:pPr>
            <w:r>
              <w:rPr/>
              <w:t> </w:t>
            </w:r>
          </w:p>
        </w:tc>
      </w:tr>
      <w:tr>
        <w:trPr/>
        <w:tc>
          <w:tcPr>
            <w:tcW w:w="3010" w:type="dxa"/>
            <w:tcBorders/>
            <w:shd w:fill="CCEEFF" w:val="clear"/>
          </w:tcPr>
          <w:p>
            <w:pPr>
              <w:pStyle w:val="TableContents"/>
              <w:bidi w:val="0"/>
              <w:spacing w:before="0" w:after="0"/>
              <w:jc w:val="left"/>
              <w:rPr>
                <w:rFonts w:ascii="Arial" w:hAnsi="Arial"/>
                <w:sz w:val="20"/>
              </w:rPr>
            </w:pPr>
            <w:r>
              <w:rPr>
                <w:rFonts w:ascii="Arial" w:hAnsi="Arial"/>
                <w:sz w:val="20"/>
              </w:rPr>
              <w:t>All Other</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505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142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227</w:t>
            </w:r>
          </w:p>
        </w:tc>
        <w:tc>
          <w:tcPr>
            <w:tcW w:w="165" w:type="dxa"/>
            <w:tcBorders/>
            <w:shd w:fill="CCEEFF" w:val="clear"/>
            <w:vAlign w:val="bottom"/>
          </w:tcPr>
          <w:p>
            <w:pPr>
              <w:pStyle w:val="TableContents"/>
              <w:bidi w:val="0"/>
              <w:spacing w:before="0" w:after="283"/>
              <w:jc w:val="left"/>
              <w:rPr/>
            </w:pPr>
            <w:r>
              <w:rPr/>
              <w:t> </w:t>
            </w:r>
          </w:p>
        </w:tc>
      </w:tr>
      <w:tr>
        <w:trPr/>
        <w:tc>
          <w:tcPr>
            <w:tcW w:w="3010" w:type="dxa"/>
            <w:tcBorders/>
          </w:tcPr>
          <w:p>
            <w:pPr>
              <w:pStyle w:val="TableContents"/>
              <w:bidi w:val="0"/>
              <w:spacing w:before="0" w:after="0"/>
              <w:jc w:val="left"/>
              <w:rPr>
                <w:rFonts w:ascii="Arial" w:hAnsi="Arial"/>
                <w:sz w:val="20"/>
              </w:rPr>
            </w:pPr>
            <w:r>
              <w:rPr>
                <w:rFonts w:ascii="Arial" w:hAnsi="Arial"/>
                <w:sz w:val="20"/>
              </w:rPr>
              <w:t>Eliminations &amp; other</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(299</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(167</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(101</w:t>
            </w:r>
          </w:p>
        </w:tc>
        <w:tc>
          <w:tcPr>
            <w:tcW w:w="165"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3010" w:type="dxa"/>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1,404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010" w:type="dxa"/>
            <w:tcBorders/>
          </w:tcPr>
          <w:p>
            <w:pPr>
              <w:pStyle w:val="TableContents"/>
              <w:bidi w:val="0"/>
              <w:spacing w:before="0" w:after="0"/>
              <w:jc w:val="left"/>
              <w:rPr>
                <w:rFonts w:ascii="Arial" w:hAnsi="Arial"/>
                <w:sz w:val="20"/>
              </w:rPr>
            </w:pPr>
            <w:r>
              <w:rPr>
                <w:rFonts w:ascii="Arial" w:hAnsi="Arial"/>
                <w:sz w:val="20"/>
              </w:rPr>
              <w:t>Corporate &amp; other</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(211</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(134</w:t>
            </w:r>
          </w:p>
        </w:tc>
        <w:tc>
          <w:tcPr>
            <w:tcW w:w="165" w:type="dxa"/>
            <w:tcBorders/>
            <w:vAlign w:val="bottom"/>
          </w:tcPr>
          <w:p>
            <w:pPr>
              <w:pStyle w:val="TableContents"/>
              <w:bidi w:val="0"/>
              <w:spacing w:before="0" w:after="283"/>
              <w:jc w:val="left"/>
              <w:rPr/>
            </w:pPr>
            <w:r>
              <w:rPr/>
              <w:t>) </w:t>
            </w:r>
          </w:p>
        </w:tc>
      </w:tr>
      <w:tr>
        <w:trPr/>
        <w:tc>
          <w:tcPr>
            <w:tcW w:w="3010" w:type="dxa"/>
            <w:tcBorders/>
            <w:shd w:fill="CCEEFF" w:val="clear"/>
          </w:tcPr>
          <w:p>
            <w:pPr>
              <w:pStyle w:val="TableContents"/>
              <w:bidi w:val="0"/>
              <w:spacing w:before="0" w:after="0"/>
              <w:jc w:val="left"/>
              <w:rPr>
                <w:rFonts w:ascii="Arial" w:hAnsi="Arial"/>
                <w:sz w:val="20"/>
              </w:rPr>
            </w:pPr>
            <w:r>
              <w:rPr>
                <w:rFonts w:ascii="Arial" w:hAnsi="Arial"/>
                <w:sz w:val="20"/>
              </w:rPr>
              <w:t>Interest income (1)</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23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010" w:type="dxa"/>
            <w:tcBorders/>
          </w:tcPr>
          <w:p>
            <w:pPr>
              <w:pStyle w:val="TableContents"/>
              <w:bidi w:val="0"/>
              <w:spacing w:before="0" w:after="0"/>
              <w:jc w:val="left"/>
              <w:rPr>
                <w:rFonts w:ascii="Arial" w:hAnsi="Arial"/>
                <w:sz w:val="20"/>
              </w:rPr>
            </w:pPr>
            <w:r>
              <w:rPr>
                <w:rFonts w:ascii="Arial" w:hAnsi="Arial"/>
                <w:sz w:val="20"/>
              </w:rPr>
              <w:t>Interest expense (1)</w:t>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(128</w:t>
            </w:r>
          </w:p>
        </w:tc>
        <w:tc>
          <w:tcPr>
            <w:tcW w:w="155" w:type="dxa"/>
            <w:tcBorders/>
            <w:vAlign w:val="bottom"/>
          </w:tcPr>
          <w:p>
            <w:pPr>
              <w:pStyle w:val="TableContents"/>
              <w:bidi w:val="0"/>
              <w:spacing w:before="0" w:after="283"/>
              <w:jc w:val="left"/>
              <w:rPr>
                <w:b/>
              </w:rPr>
            </w:pPr>
            <w:r>
              <w:rPr>
                <w:b/>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8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3010"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20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b/>
              </w:rPr>
            </w:pPr>
            <w:r>
              <w:rPr>
                <w:b/>
              </w:rPr>
              <w:t>(69</w:t>
            </w:r>
          </w:p>
        </w:tc>
        <w:tc>
          <w:tcPr>
            <w:tcW w:w="155" w:type="dxa"/>
            <w:tcBorders/>
            <w:shd w:fill="CCEEFF" w:val="clear"/>
            <w:vAlign w:val="bottom"/>
          </w:tcPr>
          <w:p>
            <w:pPr>
              <w:pStyle w:val="TableContents"/>
              <w:bidi w:val="0"/>
              <w:spacing w:before="0" w:after="283"/>
              <w:jc w:val="left"/>
              <w:rPr>
                <w:b/>
              </w:rPr>
            </w:pPr>
            <w:r>
              <w:rPr>
                <w:b/>
              </w:rPr>
              <w:t>) </w:t>
            </w:r>
          </w:p>
        </w:tc>
        <w:tc>
          <w:tcPr>
            <w:tcW w:w="146"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8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01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732" w:type="dxa"/>
            <w:tcBorders/>
            <w:vAlign w:val="bottom"/>
          </w:tcPr>
          <w:p>
            <w:pPr>
              <w:pStyle w:val="TableContents"/>
              <w:bidi w:val="0"/>
              <w:spacing w:before="0" w:after="283"/>
              <w:jc w:val="right"/>
              <w:rPr>
                <w:b/>
              </w:rPr>
            </w:pPr>
            <w:r>
              <w:rPr>
                <w:b/>
              </w:rPr>
              <w:t>8,972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29" w:type="dxa"/>
            <w:tcBorders/>
            <w:vAlign w:val="bottom"/>
          </w:tcPr>
          <w:p>
            <w:pPr>
              <w:pStyle w:val="TableContents"/>
              <w:bidi w:val="0"/>
              <w:spacing w:before="0" w:after="283"/>
              <w:jc w:val="right"/>
              <w:rPr>
                <w:b/>
              </w:rPr>
            </w:pPr>
            <w:r>
              <w:rPr>
                <w:b/>
              </w:rPr>
              <w:t>1,019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712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60" w:type="dxa"/>
            <w:tcBorders/>
            <w:vAlign w:val="bottom"/>
          </w:tcPr>
          <w:p>
            <w:pPr>
              <w:pStyle w:val="TableContents"/>
              <w:bidi w:val="0"/>
              <w:spacing w:before="0" w:after="283"/>
              <w:jc w:val="right"/>
              <w:rPr/>
            </w:pPr>
            <w:r>
              <w:rPr/>
              <w:t>1,899</w:t>
            </w:r>
          </w:p>
        </w:tc>
        <w:tc>
          <w:tcPr>
            <w:tcW w:w="165" w:type="dxa"/>
            <w:tcBorders/>
            <w:vAlign w:val="bottom"/>
          </w:tcPr>
          <w:p>
            <w:pPr>
              <w:pStyle w:val="TableContents"/>
              <w:bidi w:val="0"/>
              <w:spacing w:before="0" w:after="283"/>
              <w:jc w:val="left"/>
              <w:rPr/>
            </w:pPr>
            <w:r>
              <w:rPr/>
              <w:t> </w:t>
            </w:r>
          </w:p>
        </w:tc>
      </w:tr>
      <w:tr>
        <w:trPr/>
        <w:tc>
          <w:tcPr>
            <w:tcW w:w="301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44"/>
        <w:gridCol w:w="186"/>
        <w:gridCol w:w="181"/>
        <w:gridCol w:w="730"/>
        <w:gridCol w:w="155"/>
        <w:gridCol w:w="130"/>
        <w:gridCol w:w="154"/>
        <w:gridCol w:w="628"/>
        <w:gridCol w:w="155"/>
        <w:gridCol w:w="129"/>
        <w:gridCol w:w="409"/>
        <w:gridCol w:w="1119"/>
        <w:gridCol w:w="60"/>
        <w:gridCol w:w="186"/>
        <w:gridCol w:w="310"/>
        <w:gridCol w:w="826"/>
        <w:gridCol w:w="60"/>
        <w:gridCol w:w="186"/>
        <w:gridCol w:w="235"/>
        <w:gridCol w:w="958"/>
        <w:gridCol w:w="164"/>
      </w:tblGrid>
      <w:tr>
        <w:trPr/>
        <w:tc>
          <w:tcPr>
            <w:tcW w:w="324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0"/>
            <w:tcBorders/>
            <w:vAlign w:val="bottom"/>
          </w:tcPr>
          <w:p>
            <w:pPr>
              <w:pStyle w:val="TableContents"/>
              <w:bidi w:val="0"/>
              <w:spacing w:before="0" w:after="20"/>
              <w:jc w:val="right"/>
              <w:rPr>
                <w:rFonts w:ascii="Arial" w:hAnsi="Arial"/>
                <w:sz w:val="16"/>
              </w:rPr>
            </w:pPr>
            <w:r>
              <w:rPr>
                <w:rFonts w:ascii="Arial" w:hAnsi="Arial"/>
                <w:sz w:val="16"/>
              </w:rPr>
              <w:t>(Stated in millions)</w:t>
            </w:r>
          </w:p>
        </w:tc>
        <w:tc>
          <w:tcPr>
            <w:tcW w:w="164" w:type="dxa"/>
            <w:tcBorders/>
            <w:vAlign w:val="bottom"/>
          </w:tcPr>
          <w:p>
            <w:pPr>
              <w:pStyle w:val="TableContents"/>
              <w:bidi w:val="0"/>
              <w:spacing w:before="0" w:after="283"/>
              <w:jc w:val="left"/>
              <w:rPr/>
            </w:pPr>
            <w:r>
              <w:rPr/>
              <w:t> </w:t>
            </w:r>
          </w:p>
        </w:tc>
      </w:tr>
      <w:tr>
        <w:trPr/>
        <w:tc>
          <w:tcPr>
            <w:tcW w:w="324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61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Third Quarter 2025</w:t>
            </w:r>
          </w:p>
        </w:tc>
        <w:tc>
          <w:tcPr>
            <w:tcW w:w="164" w:type="dxa"/>
            <w:tcBorders/>
            <w:vAlign w:val="bottom"/>
          </w:tcPr>
          <w:p>
            <w:pPr>
              <w:pStyle w:val="TableContents"/>
              <w:bidi w:val="0"/>
              <w:spacing w:before="0" w:after="283"/>
              <w:jc w:val="left"/>
              <w:rPr/>
            </w:pPr>
            <w:r>
              <w:rPr/>
              <w:t> </w:t>
            </w:r>
          </w:p>
        </w:tc>
      </w:tr>
      <w:tr>
        <w:trPr/>
        <w:tc>
          <w:tcPr>
            <w:tcW w:w="324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pPr>
            <w:r>
              <w:rPr/>
              <w:t>Depreciation</w:t>
              <w:br/>
              <w:t>and</w:t>
              <w:br/>
              <w:t>Amortization (3)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pPr>
            <w:r>
              <w:rPr/>
              <w:t>Net</w:t>
              <w:br/>
              <w:t>Interest</w:t>
              <w:br/>
              <w:t>Expense</w:t>
              <w:br/>
              <w:t>(Income) (4)</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4" w:type="dxa"/>
            <w:tcBorders/>
            <w:vAlign w:val="bottom"/>
          </w:tcPr>
          <w:p>
            <w:pPr>
              <w:pStyle w:val="TableContents"/>
              <w:bidi w:val="0"/>
              <w:spacing w:before="0" w:after="283"/>
              <w:jc w:val="left"/>
              <w:rPr/>
            </w:pPr>
            <w:r>
              <w:rPr/>
              <w:t> </w:t>
            </w:r>
          </w:p>
        </w:tc>
      </w:tr>
      <w:tr>
        <w:trPr/>
        <w:tc>
          <w:tcPr>
            <w:tcW w:w="3244"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w:t>
            </w:r>
          </w:p>
        </w:tc>
        <w:tc>
          <w:tcPr>
            <w:tcW w:w="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30" w:type="dxa"/>
            <w:tcBorders/>
            <w:shd w:fill="CCEEFF" w:val="clear"/>
            <w:vAlign w:val="bottom"/>
          </w:tcPr>
          <w:p>
            <w:pPr>
              <w:pStyle w:val="TableContents"/>
              <w:bidi w:val="0"/>
              <w:spacing w:before="0" w:after="283"/>
              <w:jc w:val="right"/>
              <w:rPr>
                <w:b/>
              </w:rPr>
            </w:pPr>
            <w:r>
              <w:rPr>
                <w:b/>
              </w:rPr>
              <w:t>658</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28" w:type="dxa"/>
            <w:tcBorders/>
            <w:shd w:fill="CCEEFF" w:val="clear"/>
            <w:vAlign w:val="bottom"/>
          </w:tcPr>
          <w:p>
            <w:pPr>
              <w:pStyle w:val="TableContents"/>
              <w:bidi w:val="0"/>
              <w:spacing w:before="0" w:after="283"/>
              <w:jc w:val="right"/>
              <w:rPr>
                <w:b/>
              </w:rPr>
            </w:pPr>
            <w:r>
              <w:rPr>
                <w:b/>
              </w:rPr>
              <w:t>187</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215</w:t>
            </w:r>
          </w:p>
        </w:tc>
        <w:tc>
          <w:tcPr>
            <w:tcW w:w="164" w:type="dxa"/>
            <w:tcBorders/>
            <w:shd w:fill="CCEEFF" w:val="clear"/>
            <w:vAlign w:val="bottom"/>
          </w:tcPr>
          <w:p>
            <w:pPr>
              <w:pStyle w:val="TableContents"/>
              <w:bidi w:val="0"/>
              <w:spacing w:before="0" w:after="283"/>
              <w:jc w:val="left"/>
              <w:rPr/>
            </w:pPr>
            <w:r>
              <w:rPr/>
              <w:t> </w:t>
            </w:r>
          </w:p>
        </w:tc>
      </w:tr>
      <w:tr>
        <w:trPr/>
        <w:tc>
          <w:tcPr>
            <w:tcW w:w="3244"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8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b/>
              </w:rPr>
            </w:pPr>
            <w:r>
              <w:rPr>
                <w:b/>
              </w:rPr>
              <w:t>1,682</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b/>
              </w:rPr>
            </w:pPr>
            <w:r>
              <w:rPr>
                <w:b/>
              </w:rPr>
              <w:t>312</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422</w:t>
            </w:r>
          </w:p>
        </w:tc>
        <w:tc>
          <w:tcPr>
            <w:tcW w:w="164" w:type="dxa"/>
            <w:tcBorders/>
            <w:vAlign w:val="bottom"/>
          </w:tcPr>
          <w:p>
            <w:pPr>
              <w:pStyle w:val="TableContents"/>
              <w:bidi w:val="0"/>
              <w:spacing w:before="0" w:after="283"/>
              <w:jc w:val="left"/>
              <w:rPr/>
            </w:pPr>
            <w:r>
              <w:rPr/>
              <w:t> </w:t>
            </w:r>
          </w:p>
        </w:tc>
      </w:tr>
      <w:tr>
        <w:trPr/>
        <w:tc>
          <w:tcPr>
            <w:tcW w:w="3244"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b/>
              </w:rPr>
            </w:pPr>
            <w:r>
              <w:rPr>
                <w:b/>
              </w:rPr>
              <w:t>2,967</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b/>
              </w:rPr>
            </w:pPr>
            <w:r>
              <w:rPr>
                <w:b/>
              </w:rPr>
              <w:t>558</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728</w:t>
            </w:r>
          </w:p>
        </w:tc>
        <w:tc>
          <w:tcPr>
            <w:tcW w:w="164" w:type="dxa"/>
            <w:tcBorders/>
            <w:shd w:fill="CCEEFF" w:val="clear"/>
            <w:vAlign w:val="bottom"/>
          </w:tcPr>
          <w:p>
            <w:pPr>
              <w:pStyle w:val="TableContents"/>
              <w:bidi w:val="0"/>
              <w:spacing w:before="0" w:after="283"/>
              <w:jc w:val="left"/>
              <w:rPr/>
            </w:pPr>
            <w:r>
              <w:rPr/>
              <w:t> </w:t>
            </w:r>
          </w:p>
        </w:tc>
      </w:tr>
      <w:tr>
        <w:trPr/>
        <w:tc>
          <w:tcPr>
            <w:tcW w:w="3244"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8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b/>
              </w:rPr>
            </w:pPr>
            <w:r>
              <w:rPr>
                <w:b/>
              </w:rPr>
              <w:t>3,474</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b/>
              </w:rPr>
            </w:pPr>
            <w:r>
              <w:rPr>
                <w:b/>
              </w:rPr>
              <w:t>559</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690</w:t>
            </w:r>
          </w:p>
        </w:tc>
        <w:tc>
          <w:tcPr>
            <w:tcW w:w="164" w:type="dxa"/>
            <w:tcBorders/>
            <w:vAlign w:val="bottom"/>
          </w:tcPr>
          <w:p>
            <w:pPr>
              <w:pStyle w:val="TableContents"/>
              <w:bidi w:val="0"/>
              <w:spacing w:before="0" w:after="283"/>
              <w:jc w:val="left"/>
              <w:rPr/>
            </w:pPr>
            <w:r>
              <w:rPr/>
              <w:t> </w:t>
            </w:r>
          </w:p>
        </w:tc>
      </w:tr>
      <w:tr>
        <w:trPr/>
        <w:tc>
          <w:tcPr>
            <w:tcW w:w="3244" w:type="dxa"/>
            <w:tcBorders/>
            <w:shd w:fill="CCEEFF" w:val="clear"/>
            <w:vAlign w:val="bottom"/>
          </w:tcPr>
          <w:p>
            <w:pPr>
              <w:pStyle w:val="TableContents"/>
              <w:bidi w:val="0"/>
              <w:spacing w:before="0" w:after="0"/>
              <w:jc w:val="left"/>
              <w:rPr>
                <w:rFonts w:ascii="Arial" w:hAnsi="Arial"/>
                <w:sz w:val="20"/>
              </w:rPr>
            </w:pPr>
            <w:r>
              <w:rPr>
                <w:rFonts w:ascii="Arial" w:hAnsi="Arial"/>
                <w:sz w:val="20"/>
              </w:rPr>
              <w:t>All Other</w:t>
            </w:r>
          </w:p>
        </w:tc>
        <w:tc>
          <w:tcPr>
            <w:tcW w:w="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b/>
              </w:rPr>
            </w:pPr>
            <w:r>
              <w:rPr>
                <w:b/>
              </w:rPr>
              <w:t>397</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b/>
              </w:rPr>
            </w:pPr>
            <w:r>
              <w:rPr>
                <w:b/>
              </w:rPr>
              <w:t>96</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158</w:t>
            </w:r>
          </w:p>
        </w:tc>
        <w:tc>
          <w:tcPr>
            <w:tcW w:w="164" w:type="dxa"/>
            <w:tcBorders/>
            <w:shd w:fill="CCEEFF" w:val="clear"/>
            <w:vAlign w:val="bottom"/>
          </w:tcPr>
          <w:p>
            <w:pPr>
              <w:pStyle w:val="TableContents"/>
              <w:bidi w:val="0"/>
              <w:spacing w:before="0" w:after="283"/>
              <w:jc w:val="left"/>
              <w:rPr/>
            </w:pPr>
            <w:r>
              <w:rPr/>
              <w:t> </w:t>
            </w:r>
          </w:p>
        </w:tc>
      </w:tr>
      <w:tr>
        <w:trPr/>
        <w:tc>
          <w:tcPr>
            <w:tcW w:w="3244" w:type="dxa"/>
            <w:tcBorders/>
            <w:vAlign w:val="bottom"/>
          </w:tcPr>
          <w:p>
            <w:pPr>
              <w:pStyle w:val="TableContents"/>
              <w:bidi w:val="0"/>
              <w:spacing w:before="0" w:after="0"/>
              <w:jc w:val="left"/>
              <w:rPr>
                <w:rFonts w:ascii="Arial" w:hAnsi="Arial"/>
                <w:sz w:val="20"/>
              </w:rPr>
            </w:pPr>
            <w:r>
              <w:rPr>
                <w:rFonts w:ascii="Arial" w:hAnsi="Arial"/>
                <w:sz w:val="20"/>
              </w:rPr>
              <w:t>Eliminations &amp; other</w:t>
            </w:r>
          </w:p>
        </w:tc>
        <w:tc>
          <w:tcPr>
            <w:tcW w:w="18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b/>
              </w:rPr>
            </w:pPr>
            <w:r>
              <w:rPr>
                <w:b/>
              </w:rPr>
              <w:t>(250</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b/>
              </w:rPr>
            </w:pPr>
            <w:r>
              <w:rPr>
                <w:b/>
              </w:rPr>
              <w:t>(86</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(13</w:t>
            </w:r>
          </w:p>
        </w:tc>
        <w:tc>
          <w:tcPr>
            <w:tcW w:w="164" w:type="dxa"/>
            <w:tcBorders/>
            <w:vAlign w:val="bottom"/>
          </w:tcPr>
          <w:p>
            <w:pPr>
              <w:pStyle w:val="TableContents"/>
              <w:bidi w:val="0"/>
              <w:spacing w:before="0" w:after="283"/>
              <w:jc w:val="left"/>
              <w:rPr/>
            </w:pPr>
            <w:r>
              <w:rPr/>
              <w:t>) </w:t>
            </w:r>
          </w:p>
        </w:tc>
      </w:tr>
      <w:tr>
        <w:trPr/>
        <w:tc>
          <w:tcPr>
            <w:tcW w:w="3244" w:type="dxa"/>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b/>
              </w:rPr>
            </w:pPr>
            <w:r>
              <w:rPr>
                <w:b/>
              </w:rPr>
              <w:t>1,626</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244" w:type="dxa"/>
            <w:tcBorders/>
            <w:vAlign w:val="bottom"/>
          </w:tcPr>
          <w:p>
            <w:pPr>
              <w:pStyle w:val="TableContents"/>
              <w:bidi w:val="0"/>
              <w:spacing w:before="0" w:after="0"/>
              <w:jc w:val="left"/>
              <w:rPr>
                <w:rFonts w:ascii="Arial" w:hAnsi="Arial"/>
                <w:sz w:val="20"/>
              </w:rPr>
            </w:pPr>
            <w:r>
              <w:rPr>
                <w:rFonts w:ascii="Arial" w:hAnsi="Arial"/>
                <w:sz w:val="20"/>
              </w:rPr>
              <w:t>Corporate &amp; other</w:t>
            </w:r>
          </w:p>
        </w:tc>
        <w:tc>
          <w:tcPr>
            <w:tcW w:w="18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b/>
              </w:rPr>
            </w:pPr>
            <w:r>
              <w:rPr>
                <w:b/>
              </w:rPr>
              <w:t>(203</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(139</w:t>
            </w:r>
          </w:p>
        </w:tc>
        <w:tc>
          <w:tcPr>
            <w:tcW w:w="164" w:type="dxa"/>
            <w:tcBorders/>
            <w:vAlign w:val="bottom"/>
          </w:tcPr>
          <w:p>
            <w:pPr>
              <w:pStyle w:val="TableContents"/>
              <w:bidi w:val="0"/>
              <w:spacing w:before="0" w:after="283"/>
              <w:jc w:val="left"/>
              <w:rPr/>
            </w:pPr>
            <w:r>
              <w:rPr/>
              <w:t>) </w:t>
            </w:r>
          </w:p>
        </w:tc>
      </w:tr>
      <w:tr>
        <w:trPr/>
        <w:tc>
          <w:tcPr>
            <w:tcW w:w="3244"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 income (1)</w:t>
            </w:r>
          </w:p>
        </w:tc>
        <w:tc>
          <w:tcPr>
            <w:tcW w:w="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b/>
              </w:rPr>
            </w:pPr>
            <w:r>
              <w:rPr>
                <w:b/>
              </w:rPr>
              <w:t>37</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244" w:type="dxa"/>
            <w:tcBorders/>
            <w:vAlign w:val="bottom"/>
          </w:tcPr>
          <w:p>
            <w:pPr>
              <w:pStyle w:val="TableContents"/>
              <w:bidi w:val="0"/>
              <w:spacing w:before="0" w:after="0"/>
              <w:jc w:val="left"/>
              <w:rPr>
                <w:rFonts w:ascii="Arial" w:hAnsi="Arial"/>
                <w:sz w:val="20"/>
              </w:rPr>
            </w:pPr>
            <w:r>
              <w:rPr>
                <w:rFonts w:ascii="Arial" w:hAnsi="Arial"/>
                <w:sz w:val="20"/>
              </w:rPr>
              <w:t>Interest expense (1)</w:t>
            </w:r>
          </w:p>
        </w:tc>
        <w:tc>
          <w:tcPr>
            <w:tcW w:w="18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b/>
              </w:rPr>
            </w:pPr>
            <w:r>
              <w:rPr>
                <w:b/>
              </w:rPr>
              <w:t>(142</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244"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b/>
              </w:rPr>
            </w:pPr>
            <w:r>
              <w:rPr>
                <w:b/>
              </w:rPr>
              <w:t>(318</w:t>
            </w:r>
          </w:p>
        </w:tc>
        <w:tc>
          <w:tcPr>
            <w:tcW w:w="155"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24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4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730" w:type="dxa"/>
            <w:tcBorders/>
            <w:vAlign w:val="bottom"/>
          </w:tcPr>
          <w:p>
            <w:pPr>
              <w:pStyle w:val="TableContents"/>
              <w:bidi w:val="0"/>
              <w:spacing w:before="0" w:after="283"/>
              <w:jc w:val="right"/>
              <w:rPr>
                <w:b/>
              </w:rPr>
            </w:pPr>
            <w:r>
              <w:rPr>
                <w:b/>
              </w:rPr>
              <w:t>8,928</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28" w:type="dxa"/>
            <w:tcBorders/>
            <w:vAlign w:val="bottom"/>
          </w:tcPr>
          <w:p>
            <w:pPr>
              <w:pStyle w:val="TableContents"/>
              <w:bidi w:val="0"/>
              <w:spacing w:before="0" w:after="283"/>
              <w:jc w:val="right"/>
              <w:rPr>
                <w:b/>
              </w:rPr>
            </w:pPr>
            <w:r>
              <w:rPr>
                <w:b/>
              </w:rPr>
              <w:t>1,000</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638</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2,061</w:t>
            </w:r>
          </w:p>
        </w:tc>
        <w:tc>
          <w:tcPr>
            <w:tcW w:w="164" w:type="dxa"/>
            <w:tcBorders/>
            <w:vAlign w:val="bottom"/>
          </w:tcPr>
          <w:p>
            <w:pPr>
              <w:pStyle w:val="TableContents"/>
              <w:bidi w:val="0"/>
              <w:spacing w:before="0" w:after="283"/>
              <w:jc w:val="left"/>
              <w:rPr/>
            </w:pPr>
            <w:r>
              <w:rPr/>
              <w:t> </w:t>
            </w:r>
          </w:p>
        </w:tc>
      </w:tr>
      <w:tr>
        <w:trPr/>
        <w:tc>
          <w:tcPr>
            <w:tcW w:w="324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4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35" w:type="dxa"/>
            <w:tcBorders/>
            <w:vAlign w:val="bottom"/>
          </w:tcPr>
          <w:p>
            <w:pPr>
              <w:pStyle w:val="TableContents"/>
              <w:pBdr>
                <w:bottom w:val="double" w:sz="6" w:space="1" w:color="000000"/>
              </w:pBdr>
              <w:bidi w:val="0"/>
              <w:spacing w:before="0" w:after="0"/>
              <w:jc w:val="left"/>
              <w:rPr/>
            </w:pPr>
            <w:r>
              <w:rPr/>
              <w:t> </w:t>
            </w:r>
          </w:p>
        </w:tc>
        <w:tc>
          <w:tcPr>
            <w:tcW w:w="958" w:type="dxa"/>
            <w:tcBorders/>
            <w:vAlign w:val="bottom"/>
          </w:tcPr>
          <w:p>
            <w:pPr>
              <w:pStyle w:val="TableContents"/>
              <w:pBdr>
                <w:bottom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182"/>
        <w:gridCol w:w="187"/>
        <w:gridCol w:w="154"/>
        <w:gridCol w:w="751"/>
        <w:gridCol w:w="155"/>
        <w:gridCol w:w="131"/>
        <w:gridCol w:w="154"/>
        <w:gridCol w:w="625"/>
        <w:gridCol w:w="155"/>
        <w:gridCol w:w="131"/>
        <w:gridCol w:w="307"/>
        <w:gridCol w:w="1236"/>
        <w:gridCol w:w="60"/>
        <w:gridCol w:w="187"/>
        <w:gridCol w:w="308"/>
        <w:gridCol w:w="846"/>
        <w:gridCol w:w="155"/>
        <w:gridCol w:w="131"/>
        <w:gridCol w:w="235"/>
        <w:gridCol w:w="953"/>
        <w:gridCol w:w="162"/>
      </w:tblGrid>
      <w:tr>
        <w:trPr/>
        <w:tc>
          <w:tcPr>
            <w:tcW w:w="3182"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20"/>
            <w:tcBorders/>
            <w:vAlign w:val="bottom"/>
          </w:tcPr>
          <w:p>
            <w:pPr>
              <w:pStyle w:val="TableContents"/>
              <w:bidi w:val="0"/>
              <w:spacing w:before="0" w:after="20"/>
              <w:jc w:val="right"/>
              <w:rPr>
                <w:rFonts w:ascii="Arial" w:hAnsi="Arial"/>
                <w:sz w:val="16"/>
              </w:rPr>
            </w:pPr>
            <w:r>
              <w:rPr>
                <w:rFonts w:ascii="Arial" w:hAnsi="Arial"/>
                <w:sz w:val="16"/>
              </w:rPr>
              <w:t>(Stated in millions)</w:t>
            </w:r>
          </w:p>
        </w:tc>
        <w:tc>
          <w:tcPr>
            <w:tcW w:w="162" w:type="dxa"/>
            <w:tcBorders/>
            <w:vAlign w:val="bottom"/>
          </w:tcPr>
          <w:p>
            <w:pPr>
              <w:pStyle w:val="TableContents"/>
              <w:bidi w:val="0"/>
              <w:spacing w:before="0" w:after="283"/>
              <w:jc w:val="left"/>
              <w:rPr/>
            </w:pPr>
            <w:r>
              <w:rPr/>
              <w:t> </w:t>
            </w:r>
          </w:p>
        </w:tc>
      </w:tr>
      <w:tr>
        <w:trPr/>
        <w:tc>
          <w:tcPr>
            <w:tcW w:w="318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674" w:type="dxa"/>
            <w:gridSpan w:val="18"/>
            <w:tcBorders>
              <w:bottom w:val="single" w:sz="8" w:space="0" w:color="000000"/>
            </w:tcBorders>
            <w:tcMar>
              <w:bottom w:w="28" w:type="dxa"/>
            </w:tcMar>
            <w:vAlign w:val="bottom"/>
          </w:tcPr>
          <w:p>
            <w:pPr>
              <w:pStyle w:val="TableContents"/>
              <w:bidi w:val="0"/>
              <w:spacing w:before="0" w:after="283"/>
              <w:jc w:val="center"/>
              <w:rPr>
                <w:b/>
                <w:sz w:val="16"/>
              </w:rPr>
            </w:pPr>
            <w:r>
              <w:rPr>
                <w:b/>
                <w:sz w:val="16"/>
              </w:rPr>
              <w:t>Nine Months 2026</w:t>
            </w:r>
          </w:p>
        </w:tc>
        <w:tc>
          <w:tcPr>
            <w:tcW w:w="162" w:type="dxa"/>
            <w:tcBorders/>
            <w:vAlign w:val="bottom"/>
          </w:tcPr>
          <w:p>
            <w:pPr>
              <w:pStyle w:val="TableContents"/>
              <w:bidi w:val="0"/>
              <w:spacing w:before="0" w:after="283"/>
              <w:jc w:val="left"/>
              <w:rPr/>
            </w:pPr>
            <w:r>
              <w:rPr/>
              <w:t> </w:t>
            </w:r>
          </w:p>
        </w:tc>
      </w:tr>
      <w:tr>
        <w:trPr/>
        <w:tc>
          <w:tcPr>
            <w:tcW w:w="318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43" w:type="dxa"/>
            <w:gridSpan w:val="2"/>
            <w:tcBorders>
              <w:bottom w:val="single" w:sz="8" w:space="0" w:color="000000"/>
            </w:tcBorders>
            <w:tcMar>
              <w:bottom w:w="28" w:type="dxa"/>
            </w:tcMar>
            <w:vAlign w:val="bottom"/>
          </w:tcPr>
          <w:p>
            <w:pPr>
              <w:pStyle w:val="TableContents"/>
              <w:bidi w:val="0"/>
              <w:spacing w:before="0" w:after="283"/>
              <w:jc w:val="center"/>
              <w:rPr/>
            </w:pPr>
            <w:r>
              <w:rPr/>
              <w:t>Depreciation</w:t>
              <w:br/>
              <w:t>and</w:t>
              <w:br/>
              <w:t>Amortization (3)</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pPr>
            <w:r>
              <w:rPr/>
              <w:t>Net</w:t>
              <w:br/>
              <w:t>Interest</w:t>
              <w:br/>
              <w:t>Expense</w:t>
              <w:br/>
              <w:t>(Income) (4)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2" w:type="dxa"/>
            <w:tcBorders/>
            <w:vAlign w:val="bottom"/>
          </w:tcPr>
          <w:p>
            <w:pPr>
              <w:pStyle w:val="TableContents"/>
              <w:bidi w:val="0"/>
              <w:spacing w:before="0" w:after="283"/>
              <w:jc w:val="left"/>
              <w:rPr/>
            </w:pPr>
            <w:r>
              <w:rPr/>
              <w:t> </w:t>
            </w:r>
          </w:p>
        </w:tc>
      </w:tr>
      <w:tr>
        <w:trPr/>
        <w:tc>
          <w:tcPr>
            <w:tcW w:w="3182"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w:t>
            </w:r>
          </w:p>
        </w:tc>
        <w:tc>
          <w:tcPr>
            <w:tcW w:w="18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2,030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25" w:type="dxa"/>
            <w:tcBorders/>
            <w:shd w:fill="CCEEFF" w:val="clear"/>
            <w:vAlign w:val="bottom"/>
          </w:tcPr>
          <w:p>
            <w:pPr>
              <w:pStyle w:val="TableContents"/>
              <w:bidi w:val="0"/>
              <w:spacing w:before="0" w:after="283"/>
              <w:jc w:val="right"/>
              <w:rPr>
                <w:b/>
              </w:rPr>
            </w:pPr>
            <w:r>
              <w:rPr>
                <w:b/>
              </w:rPr>
              <w:t>522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115</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637</w:t>
            </w:r>
          </w:p>
        </w:tc>
        <w:tc>
          <w:tcPr>
            <w:tcW w:w="162" w:type="dxa"/>
            <w:tcBorders/>
            <w:shd w:fill="CCEEFF" w:val="clear"/>
            <w:vAlign w:val="bottom"/>
          </w:tcPr>
          <w:p>
            <w:pPr>
              <w:pStyle w:val="TableContents"/>
              <w:bidi w:val="0"/>
              <w:spacing w:before="0" w:after="283"/>
              <w:jc w:val="left"/>
              <w:rPr/>
            </w:pPr>
            <w:r>
              <w:rPr/>
              <w:t> </w:t>
            </w:r>
          </w:p>
        </w:tc>
      </w:tr>
      <w:tr>
        <w:trPr/>
        <w:tc>
          <w:tcPr>
            <w:tcW w:w="3182"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4,783</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b/>
              </w:rPr>
            </w:pPr>
            <w:r>
              <w:rPr>
                <w:b/>
              </w:rPr>
              <w:t>754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348</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1,102</w:t>
            </w:r>
          </w:p>
        </w:tc>
        <w:tc>
          <w:tcPr>
            <w:tcW w:w="162" w:type="dxa"/>
            <w:tcBorders/>
            <w:vAlign w:val="bottom"/>
          </w:tcPr>
          <w:p>
            <w:pPr>
              <w:pStyle w:val="TableContents"/>
              <w:bidi w:val="0"/>
              <w:spacing w:before="0" w:after="283"/>
              <w:jc w:val="left"/>
              <w:rPr/>
            </w:pPr>
            <w:r>
              <w:rPr/>
              <w:t> </w:t>
            </w:r>
          </w:p>
        </w:tc>
      </w:tr>
      <w:tr>
        <w:trPr/>
        <w:tc>
          <w:tcPr>
            <w:tcW w:w="3182"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8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b/>
              </w:rPr>
            </w:pPr>
            <w:r>
              <w:rPr>
                <w:b/>
              </w:rPr>
              <w:t>8,427</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b/>
              </w:rPr>
            </w:pPr>
            <w:r>
              <w:rPr>
                <w:b/>
              </w:rPr>
              <w:t>1,315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479</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1,793</w:t>
            </w:r>
          </w:p>
        </w:tc>
        <w:tc>
          <w:tcPr>
            <w:tcW w:w="162" w:type="dxa"/>
            <w:tcBorders/>
            <w:shd w:fill="CCEEFF" w:val="clear"/>
            <w:vAlign w:val="bottom"/>
          </w:tcPr>
          <w:p>
            <w:pPr>
              <w:pStyle w:val="TableContents"/>
              <w:bidi w:val="0"/>
              <w:spacing w:before="0" w:after="283"/>
              <w:jc w:val="left"/>
              <w:rPr/>
            </w:pPr>
            <w:r>
              <w:rPr/>
              <w:t> </w:t>
            </w:r>
          </w:p>
        </w:tc>
      </w:tr>
      <w:tr>
        <w:trPr/>
        <w:tc>
          <w:tcPr>
            <w:tcW w:w="3182"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11,278</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b/>
              </w:rPr>
            </w:pPr>
            <w:r>
              <w:rPr>
                <w:b/>
              </w:rPr>
              <w:t>1,728</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458</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2,186</w:t>
            </w:r>
          </w:p>
        </w:tc>
        <w:tc>
          <w:tcPr>
            <w:tcW w:w="162" w:type="dxa"/>
            <w:tcBorders/>
            <w:vAlign w:val="bottom"/>
          </w:tcPr>
          <w:p>
            <w:pPr>
              <w:pStyle w:val="TableContents"/>
              <w:bidi w:val="0"/>
              <w:spacing w:before="0" w:after="283"/>
              <w:jc w:val="left"/>
              <w:rPr/>
            </w:pPr>
            <w:r>
              <w:rPr/>
              <w:t> </w:t>
            </w:r>
          </w:p>
        </w:tc>
      </w:tr>
      <w:tr>
        <w:trPr/>
        <w:tc>
          <w:tcPr>
            <w:tcW w:w="3182" w:type="dxa"/>
            <w:tcBorders/>
            <w:shd w:fill="CCEEFF" w:val="clear"/>
            <w:vAlign w:val="bottom"/>
          </w:tcPr>
          <w:p>
            <w:pPr>
              <w:pStyle w:val="TableContents"/>
              <w:bidi w:val="0"/>
              <w:spacing w:before="0" w:after="0"/>
              <w:jc w:val="left"/>
              <w:rPr>
                <w:rFonts w:ascii="Arial" w:hAnsi="Arial"/>
                <w:sz w:val="20"/>
              </w:rPr>
            </w:pPr>
            <w:r>
              <w:rPr>
                <w:rFonts w:ascii="Arial" w:hAnsi="Arial"/>
                <w:sz w:val="20"/>
              </w:rPr>
              <w:t>All Other</w:t>
            </w:r>
          </w:p>
        </w:tc>
        <w:tc>
          <w:tcPr>
            <w:tcW w:w="18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b/>
              </w:rPr>
            </w:pPr>
            <w:r>
              <w:rPr>
                <w:b/>
              </w:rPr>
              <w:t>1,492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b/>
              </w:rPr>
            </w:pPr>
            <w:r>
              <w:rPr>
                <w:b/>
              </w:rPr>
              <w:t>391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258</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649</w:t>
            </w:r>
          </w:p>
        </w:tc>
        <w:tc>
          <w:tcPr>
            <w:tcW w:w="162" w:type="dxa"/>
            <w:tcBorders/>
            <w:shd w:fill="CCEEFF" w:val="clear"/>
            <w:vAlign w:val="bottom"/>
          </w:tcPr>
          <w:p>
            <w:pPr>
              <w:pStyle w:val="TableContents"/>
              <w:bidi w:val="0"/>
              <w:spacing w:before="0" w:after="283"/>
              <w:jc w:val="left"/>
              <w:rPr/>
            </w:pPr>
            <w:r>
              <w:rPr/>
              <w:t> </w:t>
            </w:r>
          </w:p>
        </w:tc>
      </w:tr>
      <w:tr>
        <w:trPr/>
        <w:tc>
          <w:tcPr>
            <w:tcW w:w="3182" w:type="dxa"/>
            <w:tcBorders/>
            <w:vAlign w:val="bottom"/>
          </w:tcPr>
          <w:p>
            <w:pPr>
              <w:pStyle w:val="TableContents"/>
              <w:bidi w:val="0"/>
              <w:spacing w:before="0" w:after="0"/>
              <w:jc w:val="left"/>
              <w:rPr>
                <w:rFonts w:ascii="Arial" w:hAnsi="Arial"/>
                <w:sz w:val="20"/>
              </w:rPr>
            </w:pPr>
            <w:r>
              <w:rPr>
                <w:rFonts w:ascii="Arial" w:hAnsi="Arial"/>
                <w:sz w:val="20"/>
              </w:rPr>
              <w:t>Eliminations &amp; other</w:t>
            </w:r>
          </w:p>
        </w:tc>
        <w:tc>
          <w:tcPr>
            <w:tcW w:w="1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(868</w:t>
            </w:r>
          </w:p>
        </w:tc>
        <w:tc>
          <w:tcPr>
            <w:tcW w:w="155" w:type="dxa"/>
            <w:tcBorders/>
            <w:vAlign w:val="bottom"/>
          </w:tcPr>
          <w:p>
            <w:pPr>
              <w:pStyle w:val="TableContents"/>
              <w:bidi w:val="0"/>
              <w:spacing w:before="0" w:after="283"/>
              <w:jc w:val="left"/>
              <w:rPr>
                <w:b/>
              </w:rPr>
            </w:pPr>
            <w:r>
              <w:rPr>
                <w:b/>
              </w:rPr>
              <w:t>) </w:t>
            </w:r>
          </w:p>
        </w:tc>
        <w:tc>
          <w:tcPr>
            <w:tcW w:w="13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b/>
              </w:rPr>
            </w:pPr>
            <w:r>
              <w:rPr>
                <w:b/>
              </w:rPr>
              <w:t>(409</w:t>
            </w:r>
          </w:p>
        </w:tc>
        <w:tc>
          <w:tcPr>
            <w:tcW w:w="155" w:type="dxa"/>
            <w:tcBorders/>
            <w:vAlign w:val="bottom"/>
          </w:tcPr>
          <w:p>
            <w:pPr>
              <w:pStyle w:val="TableContents"/>
              <w:bidi w:val="0"/>
              <w:spacing w:before="0" w:after="283"/>
              <w:jc w:val="left"/>
              <w:rPr>
                <w:b/>
              </w:rPr>
            </w:pPr>
            <w:r>
              <w:rPr>
                <w:b/>
              </w:rPr>
              <w:t>) </w:t>
            </w:r>
          </w:p>
        </w:tc>
        <w:tc>
          <w:tcPr>
            <w:tcW w:w="13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(207</w:t>
            </w:r>
          </w:p>
        </w:tc>
        <w:tc>
          <w:tcPr>
            <w:tcW w:w="162" w:type="dxa"/>
            <w:tcBorders/>
            <w:vAlign w:val="bottom"/>
          </w:tcPr>
          <w:p>
            <w:pPr>
              <w:pStyle w:val="TableContents"/>
              <w:bidi w:val="0"/>
              <w:spacing w:before="0" w:after="283"/>
              <w:jc w:val="left"/>
              <w:rPr/>
            </w:pPr>
            <w:r>
              <w:rPr/>
              <w:t>) </w:t>
            </w:r>
          </w:p>
        </w:tc>
      </w:tr>
      <w:tr>
        <w:trPr/>
        <w:tc>
          <w:tcPr>
            <w:tcW w:w="3182"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82" w:type="dxa"/>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18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b/>
              </w:rPr>
            </w:pPr>
            <w:r>
              <w:rPr>
                <w:b/>
              </w:rPr>
              <w:t>4,301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182" w:type="dxa"/>
            <w:tcBorders/>
            <w:vAlign w:val="bottom"/>
          </w:tcPr>
          <w:p>
            <w:pPr>
              <w:pStyle w:val="TableContents"/>
              <w:bidi w:val="0"/>
              <w:spacing w:before="0" w:after="0"/>
              <w:jc w:val="left"/>
              <w:rPr>
                <w:rFonts w:ascii="Arial" w:hAnsi="Arial"/>
                <w:sz w:val="20"/>
              </w:rPr>
            </w:pPr>
            <w:r>
              <w:rPr>
                <w:rFonts w:ascii="Arial" w:hAnsi="Arial"/>
                <w:sz w:val="20"/>
              </w:rPr>
              <w:t>Corporate &amp; other</w:t>
            </w:r>
          </w:p>
        </w:tc>
        <w:tc>
          <w:tcPr>
            <w:tcW w:w="1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b/>
              </w:rPr>
            </w:pPr>
            <w:r>
              <w:rPr>
                <w:b/>
              </w:rPr>
              <w:t>(643</w:t>
            </w:r>
          </w:p>
        </w:tc>
        <w:tc>
          <w:tcPr>
            <w:tcW w:w="155" w:type="dxa"/>
            <w:tcBorders/>
            <w:vAlign w:val="bottom"/>
          </w:tcPr>
          <w:p>
            <w:pPr>
              <w:pStyle w:val="TableContents"/>
              <w:bidi w:val="0"/>
              <w:spacing w:before="0" w:after="283"/>
              <w:jc w:val="left"/>
              <w:rPr>
                <w:b/>
              </w:rPr>
            </w:pPr>
            <w:r>
              <w:rPr>
                <w:b/>
              </w:rPr>
              <w:t>) </w:t>
            </w:r>
          </w:p>
        </w:tc>
        <w:tc>
          <w:tcPr>
            <w:tcW w:w="13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222</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(421</w:t>
            </w:r>
          </w:p>
        </w:tc>
        <w:tc>
          <w:tcPr>
            <w:tcW w:w="162" w:type="dxa"/>
            <w:tcBorders/>
            <w:vAlign w:val="bottom"/>
          </w:tcPr>
          <w:p>
            <w:pPr>
              <w:pStyle w:val="TableContents"/>
              <w:bidi w:val="0"/>
              <w:spacing w:before="0" w:after="283"/>
              <w:jc w:val="left"/>
              <w:rPr/>
            </w:pPr>
            <w:r>
              <w:rPr/>
              <w:t>) </w:t>
            </w:r>
          </w:p>
        </w:tc>
      </w:tr>
      <w:tr>
        <w:trPr/>
        <w:tc>
          <w:tcPr>
            <w:tcW w:w="3182"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 income (1)</w:t>
            </w:r>
          </w:p>
        </w:tc>
        <w:tc>
          <w:tcPr>
            <w:tcW w:w="18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b/>
              </w:rPr>
            </w:pPr>
            <w:r>
              <w:rPr>
                <w:b/>
              </w:rPr>
              <w:t>65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182" w:type="dxa"/>
            <w:tcBorders/>
            <w:vAlign w:val="bottom"/>
          </w:tcPr>
          <w:p>
            <w:pPr>
              <w:pStyle w:val="TableContents"/>
              <w:bidi w:val="0"/>
              <w:spacing w:before="0" w:after="0"/>
              <w:jc w:val="left"/>
              <w:rPr>
                <w:rFonts w:ascii="Arial" w:hAnsi="Arial"/>
                <w:sz w:val="20"/>
              </w:rPr>
            </w:pPr>
            <w:r>
              <w:rPr>
                <w:rFonts w:ascii="Arial" w:hAnsi="Arial"/>
                <w:sz w:val="20"/>
              </w:rPr>
              <w:t>Interest expense (1)</w:t>
            </w:r>
          </w:p>
        </w:tc>
        <w:tc>
          <w:tcPr>
            <w:tcW w:w="1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b/>
              </w:rPr>
            </w:pPr>
            <w:r>
              <w:rPr>
                <w:b/>
              </w:rPr>
              <w:t>(377</w:t>
            </w:r>
          </w:p>
        </w:tc>
        <w:tc>
          <w:tcPr>
            <w:tcW w:w="155" w:type="dxa"/>
            <w:tcBorders/>
            <w:vAlign w:val="bottom"/>
          </w:tcPr>
          <w:p>
            <w:pPr>
              <w:pStyle w:val="TableContents"/>
              <w:bidi w:val="0"/>
              <w:spacing w:before="0" w:after="283"/>
              <w:jc w:val="left"/>
              <w:rPr>
                <w:b/>
              </w:rPr>
            </w:pPr>
            <w:r>
              <w:rPr>
                <w:b/>
              </w:rPr>
              <w:t>) </w:t>
            </w:r>
          </w:p>
        </w:tc>
        <w:tc>
          <w:tcPr>
            <w:tcW w:w="13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8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182"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87"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b/>
              </w:rPr>
            </w:pPr>
            <w:r>
              <w:rPr>
                <w:b/>
              </w:rPr>
              <w:t>(352</w:t>
            </w:r>
          </w:p>
        </w:tc>
        <w:tc>
          <w:tcPr>
            <w:tcW w:w="155" w:type="dxa"/>
            <w:tcBorders/>
            <w:shd w:fill="CCEEFF" w:val="clear"/>
            <w:vAlign w:val="bottom"/>
          </w:tcPr>
          <w:p>
            <w:pPr>
              <w:pStyle w:val="TableContents"/>
              <w:bidi w:val="0"/>
              <w:spacing w:before="0" w:after="283"/>
              <w:jc w:val="left"/>
              <w:rPr>
                <w:b/>
              </w:rPr>
            </w:pPr>
            <w:r>
              <w:rPr>
                <w:b/>
              </w:rPr>
              <w:t>) </w:t>
            </w:r>
          </w:p>
        </w:tc>
        <w:tc>
          <w:tcPr>
            <w:tcW w:w="13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12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8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182"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182"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27,142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25" w:type="dxa"/>
            <w:tcBorders/>
            <w:vAlign w:val="bottom"/>
          </w:tcPr>
          <w:p>
            <w:pPr>
              <w:pStyle w:val="TableContents"/>
              <w:bidi w:val="0"/>
              <w:spacing w:before="0" w:after="283"/>
              <w:jc w:val="right"/>
              <w:rPr>
                <w:b/>
              </w:rPr>
            </w:pPr>
            <w:r>
              <w:rPr>
                <w:b/>
              </w:rPr>
              <w:t>2,994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w:t>
            </w:r>
          </w:p>
        </w:tc>
        <w:tc>
          <w:tcPr>
            <w:tcW w:w="1236" w:type="dxa"/>
            <w:tcBorders/>
            <w:vAlign w:val="bottom"/>
          </w:tcPr>
          <w:p>
            <w:pPr>
              <w:pStyle w:val="TableContents"/>
              <w:bidi w:val="0"/>
              <w:spacing w:before="0" w:after="283"/>
              <w:jc w:val="right"/>
              <w:rPr/>
            </w:pPr>
            <w:r>
              <w:rPr/>
              <w:t>2,095</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846"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5,739</w:t>
            </w:r>
          </w:p>
        </w:tc>
        <w:tc>
          <w:tcPr>
            <w:tcW w:w="162" w:type="dxa"/>
            <w:tcBorders/>
            <w:vAlign w:val="bottom"/>
          </w:tcPr>
          <w:p>
            <w:pPr>
              <w:pStyle w:val="TableContents"/>
              <w:bidi w:val="0"/>
              <w:spacing w:before="0" w:after="283"/>
              <w:jc w:val="left"/>
              <w:rPr/>
            </w:pPr>
            <w:r>
              <w:rPr/>
              <w:t> </w:t>
            </w:r>
          </w:p>
        </w:tc>
      </w:tr>
      <w:tr>
        <w:trPr/>
        <w:tc>
          <w:tcPr>
            <w:tcW w:w="3182"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79"/>
        <w:gridCol w:w="154"/>
        <w:gridCol w:w="751"/>
        <w:gridCol w:w="155"/>
        <w:gridCol w:w="121"/>
        <w:gridCol w:w="154"/>
        <w:gridCol w:w="621"/>
        <w:gridCol w:w="155"/>
        <w:gridCol w:w="121"/>
        <w:gridCol w:w="330"/>
        <w:gridCol w:w="1320"/>
        <w:gridCol w:w="59"/>
        <w:gridCol w:w="179"/>
        <w:gridCol w:w="303"/>
        <w:gridCol w:w="828"/>
        <w:gridCol w:w="155"/>
        <w:gridCol w:w="121"/>
        <w:gridCol w:w="347"/>
        <w:gridCol w:w="1389"/>
        <w:gridCol w:w="163"/>
      </w:tblGrid>
      <w:tr>
        <w:trPr/>
        <w:tc>
          <w:tcPr>
            <w:tcW w:w="260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36" w:type="dxa"/>
            <w:gridSpan w:val="2"/>
            <w:tcBorders/>
            <w:vAlign w:val="bottom"/>
          </w:tcPr>
          <w:p>
            <w:pPr>
              <w:pStyle w:val="TableContents"/>
              <w:bidi w:val="0"/>
              <w:spacing w:before="0" w:after="283"/>
              <w:jc w:val="center"/>
              <w:rPr/>
            </w:pPr>
            <w:r>
              <w:rPr/>
              <w:t>(Stated in millions)</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26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2025</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50" w:type="dxa"/>
            <w:gridSpan w:val="2"/>
            <w:tcBorders>
              <w:bottom w:val="single" w:sz="8" w:space="0" w:color="000000"/>
            </w:tcBorders>
            <w:tcMar>
              <w:bottom w:w="28" w:type="dxa"/>
            </w:tcMar>
            <w:vAlign w:val="bottom"/>
          </w:tcPr>
          <w:p>
            <w:pPr>
              <w:pStyle w:val="TableContents"/>
              <w:bidi w:val="0"/>
              <w:spacing w:before="0" w:after="283"/>
              <w:jc w:val="center"/>
              <w:rPr/>
            </w:pPr>
            <w:r>
              <w:rPr/>
              <w:t>Depreciation and</w:t>
              <w:br/>
              <w:t>Amortization (3)</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pPr>
            <w:r>
              <w:rPr/>
              <w:t>Net Interest</w:t>
              <w:br/>
              <w:t>Expense</w:t>
              <w:br/>
              <w:t>(Income) (4)</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36"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tcPr>
          <w:p>
            <w:pPr>
              <w:pStyle w:val="TableContents"/>
              <w:bidi w:val="0"/>
              <w:spacing w:before="0" w:after="0"/>
              <w:jc w:val="left"/>
              <w:rPr>
                <w:rFonts w:ascii="Arial" w:hAnsi="Arial"/>
                <w:sz w:val="20"/>
              </w:rPr>
            </w:pPr>
            <w:r>
              <w:rPr>
                <w:rFonts w:ascii="Arial" w:hAnsi="Arial"/>
                <w:sz w:val="20"/>
              </w:rPr>
              <w:t>Digital</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1,836</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21" w:type="dxa"/>
            <w:tcBorders/>
            <w:shd w:fill="CCEEFF" w:val="clear"/>
            <w:vAlign w:val="bottom"/>
          </w:tcPr>
          <w:p>
            <w:pPr>
              <w:pStyle w:val="TableContents"/>
              <w:bidi w:val="0"/>
              <w:spacing w:before="0" w:after="283"/>
              <w:jc w:val="right"/>
              <w:rPr>
                <w:b/>
              </w:rPr>
            </w:pPr>
            <w:r>
              <w:rPr>
                <w:b/>
              </w:rPr>
              <w:t>465</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117</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389" w:type="dxa"/>
            <w:tcBorders/>
            <w:shd w:fill="CCEEFF" w:val="clear"/>
            <w:vAlign w:val="bottom"/>
          </w:tcPr>
          <w:p>
            <w:pPr>
              <w:pStyle w:val="TableContents"/>
              <w:bidi w:val="0"/>
              <w:spacing w:before="0" w:after="283"/>
              <w:jc w:val="right"/>
              <w:rPr/>
            </w:pPr>
            <w:r>
              <w:rPr/>
              <w:t>582</w:t>
            </w:r>
          </w:p>
        </w:tc>
        <w:tc>
          <w:tcPr>
            <w:tcW w:w="163" w:type="dxa"/>
            <w:tcBorders/>
            <w:shd w:fill="CCEEFF" w:val="clear"/>
            <w:vAlign w:val="bottom"/>
          </w:tcPr>
          <w:p>
            <w:pPr>
              <w:pStyle w:val="TableContents"/>
              <w:bidi w:val="0"/>
              <w:spacing w:before="0" w:after="283"/>
              <w:jc w:val="left"/>
              <w:rPr/>
            </w:pPr>
            <w:r>
              <w:rPr/>
              <w:t> </w:t>
            </w:r>
          </w:p>
        </w:tc>
      </w:tr>
      <w:tr>
        <w:trPr/>
        <w:tc>
          <w:tcPr>
            <w:tcW w:w="2600"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5,072</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908</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321</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1,228</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b/>
              </w:rPr>
            </w:pPr>
            <w:r>
              <w:rPr>
                <w:b/>
              </w:rPr>
              <w:t>8,908</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1,698</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502</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2,200</w:t>
            </w:r>
          </w:p>
        </w:tc>
        <w:tc>
          <w:tcPr>
            <w:tcW w:w="163" w:type="dxa"/>
            <w:tcBorders/>
            <w:shd w:fill="CCEEFF" w:val="clear"/>
            <w:vAlign w:val="bottom"/>
          </w:tcPr>
          <w:p>
            <w:pPr>
              <w:pStyle w:val="TableContents"/>
              <w:bidi w:val="0"/>
              <w:spacing w:before="0" w:after="283"/>
              <w:jc w:val="left"/>
              <w:rPr/>
            </w:pPr>
            <w:r>
              <w:rPr/>
              <w:t> </w:t>
            </w:r>
          </w:p>
        </w:tc>
      </w:tr>
      <w:tr>
        <w:trPr/>
        <w:tc>
          <w:tcPr>
            <w:tcW w:w="2600" w:type="dxa"/>
            <w:tcBorders/>
          </w:tcPr>
          <w:p>
            <w:pPr>
              <w:pStyle w:val="TableContents"/>
              <w:bidi w:val="0"/>
              <w:spacing w:before="0" w:after="0"/>
              <w:jc w:val="left"/>
              <w:rPr>
                <w:rFonts w:ascii="Arial" w:hAnsi="Arial"/>
                <w:sz w:val="20"/>
              </w:rPr>
            </w:pPr>
            <w:r>
              <w:rPr>
                <w:rFonts w:ascii="Arial" w:hAnsi="Arial"/>
                <w:sz w:val="20"/>
              </w:rPr>
              <w:t>Production Systems</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9,247</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1,520</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312</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1,833</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tcPr>
          <w:p>
            <w:pPr>
              <w:pStyle w:val="TableContents"/>
              <w:bidi w:val="0"/>
              <w:spacing w:before="0" w:after="0"/>
              <w:jc w:val="left"/>
              <w:rPr>
                <w:rFonts w:ascii="Arial" w:hAnsi="Arial"/>
                <w:sz w:val="20"/>
              </w:rPr>
            </w:pPr>
            <w:r>
              <w:rPr>
                <w:rFonts w:ascii="Arial" w:hAnsi="Arial"/>
                <w:sz w:val="20"/>
              </w:rPr>
              <w:t>All Other</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b/>
              </w:rPr>
            </w:pPr>
            <w:r>
              <w:rPr>
                <w:b/>
              </w:rPr>
              <w:t>1,542</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414</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290</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709</w:t>
            </w:r>
          </w:p>
        </w:tc>
        <w:tc>
          <w:tcPr>
            <w:tcW w:w="163" w:type="dxa"/>
            <w:tcBorders/>
            <w:shd w:fill="CCEEFF" w:val="clear"/>
            <w:vAlign w:val="bottom"/>
          </w:tcPr>
          <w:p>
            <w:pPr>
              <w:pStyle w:val="TableContents"/>
              <w:bidi w:val="0"/>
              <w:spacing w:before="0" w:after="283"/>
              <w:jc w:val="left"/>
              <w:rPr/>
            </w:pPr>
            <w:r>
              <w:rPr/>
              <w:t> </w:t>
            </w:r>
          </w:p>
        </w:tc>
      </w:tr>
      <w:tr>
        <w:trPr/>
        <w:tc>
          <w:tcPr>
            <w:tcW w:w="2600" w:type="dxa"/>
            <w:tcBorders/>
          </w:tcPr>
          <w:p>
            <w:pPr>
              <w:pStyle w:val="TableContents"/>
              <w:bidi w:val="0"/>
              <w:spacing w:before="0" w:after="0"/>
              <w:jc w:val="left"/>
              <w:rPr>
                <w:rFonts w:ascii="Arial" w:hAnsi="Arial"/>
                <w:sz w:val="20"/>
              </w:rPr>
            </w:pPr>
            <w:r>
              <w:rPr>
                <w:rFonts w:ascii="Arial" w:hAnsi="Arial"/>
                <w:sz w:val="20"/>
              </w:rPr>
              <w:t>Eliminations &amp; other</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(642</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(239</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215</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(23</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8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684" w:type="dxa"/>
            <w:gridSpan w:val="4"/>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155" w:type="dxa"/>
            <w:tcBorders/>
            <w:shd w:fill="CCEEFF" w:val="clear"/>
          </w:tcPr>
          <w:p>
            <w:pPr>
              <w:pStyle w:val="TableContents"/>
              <w:bidi w:val="0"/>
              <w:spacing w:before="0" w:after="0"/>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4,766</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0"/>
              <w:jc w:val="left"/>
              <w:rPr>
                <w:rFonts w:ascii="Arial" w:hAnsi="Arial"/>
                <w:sz w:val="20"/>
              </w:rPr>
            </w:pPr>
            <w:r>
              <w:rPr>
                <w:rFonts w:ascii="Arial" w:hAnsi="Arial"/>
                <w:sz w:val="20"/>
              </w:rPr>
              <w:t>Corporate &amp; other</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(550</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154</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(396</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tcPr>
          <w:p>
            <w:pPr>
              <w:pStyle w:val="TableContents"/>
              <w:bidi w:val="0"/>
              <w:spacing w:before="0" w:after="0"/>
              <w:jc w:val="left"/>
              <w:rPr>
                <w:rFonts w:ascii="Arial" w:hAnsi="Arial"/>
                <w:sz w:val="20"/>
              </w:rPr>
            </w:pPr>
            <w:r>
              <w:rPr>
                <w:rFonts w:ascii="Arial" w:hAnsi="Arial"/>
                <w:sz w:val="20"/>
              </w:rPr>
              <w:t>Interest income (1)</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103</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0"/>
              <w:jc w:val="left"/>
              <w:rPr>
                <w:rFonts w:ascii="Arial" w:hAnsi="Arial"/>
                <w:sz w:val="20"/>
              </w:rPr>
            </w:pPr>
            <w:r>
              <w:rPr>
                <w:rFonts w:ascii="Arial" w:hAnsi="Arial"/>
                <w:sz w:val="20"/>
              </w:rPr>
              <w:t>Interest expense (1)</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(425</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8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600"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(546</w:t>
            </w:r>
          </w:p>
        </w:tc>
        <w:tc>
          <w:tcPr>
            <w:tcW w:w="155" w:type="dxa"/>
            <w:tcBorders/>
            <w:shd w:fill="CCEEFF" w:val="clear"/>
            <w:vAlign w:val="bottom"/>
          </w:tcPr>
          <w:p>
            <w:pPr>
              <w:pStyle w:val="TableContents"/>
              <w:bidi w:val="0"/>
              <w:spacing w:before="0" w:after="283"/>
              <w:jc w:val="left"/>
              <w:rPr>
                <w:b/>
              </w:rPr>
            </w:pPr>
            <w:r>
              <w:rPr>
                <w:b/>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25,963</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21" w:type="dxa"/>
            <w:tcBorders/>
            <w:vAlign w:val="bottom"/>
          </w:tcPr>
          <w:p>
            <w:pPr>
              <w:pStyle w:val="TableContents"/>
              <w:bidi w:val="0"/>
              <w:spacing w:before="0" w:after="283"/>
              <w:jc w:val="right"/>
              <w:rPr>
                <w:b/>
              </w:rPr>
            </w:pPr>
            <w:r>
              <w:rPr>
                <w:b/>
              </w:rPr>
              <w:t>3,348</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1,911</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w:t>
            </w:r>
          </w:p>
        </w:tc>
        <w:tc>
          <w:tcPr>
            <w:tcW w:w="1389" w:type="dxa"/>
            <w:tcBorders/>
            <w:vAlign w:val="bottom"/>
          </w:tcPr>
          <w:p>
            <w:pPr>
              <w:pStyle w:val="TableContents"/>
              <w:bidi w:val="0"/>
              <w:spacing w:before="0" w:after="283"/>
              <w:jc w:val="right"/>
              <w:rPr/>
            </w:pPr>
            <w:r>
              <w:rPr/>
              <w:t>6,133</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double" w:sz="6" w:space="1" w:color="000000"/>
              </w:pBdr>
              <w:bidi w:val="0"/>
              <w:spacing w:before="0" w:after="0"/>
              <w:jc w:val="left"/>
              <w:rPr/>
            </w:pPr>
            <w:r>
              <w:rPr/>
              <w:t> </w:t>
            </w:r>
          </w:p>
        </w:tc>
        <w:tc>
          <w:tcPr>
            <w:tcW w:w="13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Excludes amounts which are included in the segments’ results.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APS and exploration data costs.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Arial" w:hAnsi="Arial"/>
                <w:sz w:val="20"/>
              </w:rPr>
            </w:pPr>
            <w:r>
              <w:rPr>
                <w:rFonts w:ascii="Arial" w:hAnsi="Arial"/>
                <w:sz w:val="20"/>
              </w:rPr>
              <w:t xml:space="preserve">Excludes interest income and interest expense recorded at the corporate level.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Adjusted EBITDA represents income before taxes excluding depreciation and amortization, interest income, interest expense and charges &amp; credits.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Supplementary Information </w:t>
      </w:r>
    </w:p>
    <w:p>
      <w:pPr>
        <w:pStyle w:val="TextBody"/>
        <w:bidi w:val="0"/>
        <w:spacing w:before="120" w:after="0"/>
        <w:jc w:val="left"/>
        <w:rPr>
          <w:rFonts w:ascii="Arial" w:hAnsi="Arial"/>
          <w:b/>
          <w:sz w:val="20"/>
        </w:rPr>
      </w:pPr>
      <w:r>
        <w:rPr>
          <w:rFonts w:ascii="Arial" w:hAnsi="Arial"/>
          <w:b/>
          <w:sz w:val="20"/>
        </w:rPr>
        <w:t xml:space="preserve">Frequently Asked Questions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is the capital investment guidance for the full-year 2026? </w:t>
            </w:r>
          </w:p>
        </w:tc>
      </w:tr>
    </w:tbl>
    <w:p>
      <w:pPr>
        <w:pStyle w:val="TextBody"/>
        <w:bidi w:val="0"/>
        <w:spacing w:before="120" w:after="0"/>
        <w:jc w:val="left"/>
        <w:rPr>
          <w:rFonts w:ascii="Arial" w:hAnsi="Arial"/>
          <w:sz w:val="20"/>
        </w:rPr>
      </w:pPr>
      <w:r>
        <w:rPr>
          <w:rFonts w:ascii="Arial" w:hAnsi="Arial"/>
          <w:sz w:val="20"/>
        </w:rPr>
        <w:t xml:space="preserve">Capital investment (consisting of capex, exploration data costs and APS investments) for the full-year 2026 is still expected to be approximately $2.5 billion. Capital investment for the full-year 2025 was $2.4 billion.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What were the cash flow from operations and free cash flow for the third quarter of 2026? </w:t>
            </w:r>
          </w:p>
        </w:tc>
      </w:tr>
    </w:tbl>
    <w:p>
      <w:pPr>
        <w:pStyle w:val="TextBody"/>
        <w:bidi w:val="0"/>
        <w:spacing w:before="120" w:after="0"/>
        <w:jc w:val="left"/>
        <w:rPr>
          <w:rFonts w:ascii="Arial" w:hAnsi="Arial"/>
          <w:sz w:val="20"/>
        </w:rPr>
      </w:pPr>
      <w:r>
        <w:rPr>
          <w:rFonts w:ascii="Arial" w:hAnsi="Arial"/>
          <w:sz w:val="20"/>
        </w:rPr>
        <w:t xml:space="preserve">Cash flow from operations for the third quarter of 2026 was $1.51 billion and free cash flow was $828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Arial" w:hAnsi="Arial"/>
                <w:b/>
                <w:sz w:val="20"/>
              </w:rPr>
            </w:pPr>
            <w:r>
              <w:rPr>
                <w:rFonts w:ascii="Arial" w:hAnsi="Arial"/>
                <w:b/>
                <w:sz w:val="20"/>
              </w:rPr>
              <w:t xml:space="preserve">What was included in “Interest &amp; other income” for the third quarter of 2026? </w:t>
            </w:r>
          </w:p>
        </w:tc>
      </w:tr>
    </w:tbl>
    <w:p>
      <w:pPr>
        <w:pStyle w:val="TextBody"/>
        <w:bidi w:val="0"/>
        <w:spacing w:before="120" w:after="0"/>
        <w:jc w:val="left"/>
        <w:rPr/>
      </w:pPr>
      <w:r>
        <w:rPr/>
        <w:t>“</w:t>
      </w:r>
      <w:r>
        <w:rPr>
          <w:rFonts w:ascii="Arial" w:hAnsi="Arial"/>
          <w:sz w:val="20"/>
        </w:rPr>
        <w:t xml:space="preserve">Interest &amp; other income” for the third quarter of 2026 was $68 million. This consisted of interest income of $25 million and earnings of equity method investments of $43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did interest income and interest expense change during the third quarter of 2026? </w:t>
            </w:r>
          </w:p>
        </w:tc>
      </w:tr>
    </w:tbl>
    <w:p>
      <w:pPr>
        <w:pStyle w:val="TextBody"/>
        <w:bidi w:val="0"/>
        <w:spacing w:before="120" w:after="0"/>
        <w:jc w:val="left"/>
        <w:rPr>
          <w:rFonts w:ascii="Arial" w:hAnsi="Arial"/>
          <w:sz w:val="20"/>
        </w:rPr>
      </w:pPr>
      <w:r>
        <w:rPr>
          <w:rFonts w:ascii="Arial" w:hAnsi="Arial"/>
          <w:sz w:val="20"/>
        </w:rPr>
        <w:t xml:space="preserve">Interest income of $25 million for the third quarter of 2026 decreased $4 million sequentially. Interest expense of $133 million increased $5 million sequentially.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was the effective tax rate (ETR) for the third quarter of 2026? </w:t>
            </w:r>
          </w:p>
        </w:tc>
      </w:tr>
    </w:tbl>
    <w:p>
      <w:pPr>
        <w:pStyle w:val="TextBody"/>
        <w:bidi w:val="0"/>
        <w:spacing w:before="120" w:after="0"/>
        <w:jc w:val="left"/>
        <w:rPr>
          <w:rFonts w:ascii="Arial" w:hAnsi="Arial"/>
          <w:sz w:val="20"/>
        </w:rPr>
      </w:pPr>
      <w:r>
        <w:rPr>
          <w:rFonts w:ascii="Arial" w:hAnsi="Arial"/>
          <w:sz w:val="20"/>
        </w:rPr>
        <w:t xml:space="preserve">The ETR for the third quarter of 2026, calculated in accordance with GAAP, was 23.5% as compared to 20.0% for the second quarter of 2026. Excluding charges and credits, the ETR for the third quarter of 2026 was 20.0% as compared to 20.5% for the second quarter of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many shares of common stock were outstanding as of September 30, 2026, and how did this change from the end of the previous quarter? </w:t>
            </w:r>
          </w:p>
        </w:tc>
      </w:tr>
    </w:tbl>
    <w:p>
      <w:pPr>
        <w:pStyle w:val="TextBody"/>
        <w:bidi w:val="0"/>
        <w:spacing w:before="120" w:after="0"/>
        <w:jc w:val="left"/>
        <w:rPr>
          <w:rFonts w:ascii="Arial" w:hAnsi="Arial"/>
          <w:sz w:val="20"/>
        </w:rPr>
      </w:pPr>
      <w:r>
        <w:rPr>
          <w:rFonts w:ascii="Arial" w:hAnsi="Arial"/>
          <w:sz w:val="20"/>
        </w:rPr>
        <w:t xml:space="preserve">There were 1.476 billion shares of common stock outstanding as of September 30, 2026, and 1.484 billion shares outstanding as of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05"/>
        <w:gridCol w:w="636"/>
        <w:gridCol w:w="167"/>
        <w:gridCol w:w="1573"/>
        <w:gridCol w:w="158"/>
      </w:tblGrid>
      <w:tr>
        <w:trPr/>
        <w:tc>
          <w:tcPr>
            <w:tcW w:w="4405" w:type="dxa"/>
            <w:tcBorders/>
            <w:vAlign w:val="center"/>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5"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left"/>
              <w:rPr/>
            </w:pPr>
            <w:r>
              <w:rPr/>
              <w:t>  </w:t>
            </w:r>
          </w:p>
        </w:tc>
        <w:tc>
          <w:tcPr>
            <w:tcW w:w="1740" w:type="dxa"/>
            <w:gridSpan w:val="2"/>
            <w:tcBorders/>
            <w:vAlign w:val="bottom"/>
          </w:tcPr>
          <w:p>
            <w:pPr>
              <w:pStyle w:val="TableContents"/>
              <w:bidi w:val="0"/>
              <w:spacing w:before="0" w:after="283"/>
              <w:jc w:val="center"/>
              <w:rPr/>
            </w:pPr>
            <w:r>
              <w:rPr/>
              <w:t>(Stated in millions)</w:t>
            </w:r>
          </w:p>
        </w:tc>
        <w:tc>
          <w:tcPr>
            <w:tcW w:w="158" w:type="dxa"/>
            <w:tcBorders/>
            <w:vAlign w:val="bottom"/>
          </w:tcPr>
          <w:p>
            <w:pPr>
              <w:pStyle w:val="TableContents"/>
              <w:bidi w:val="0"/>
              <w:spacing w:before="0" w:after="283"/>
              <w:jc w:val="left"/>
              <w:rPr/>
            </w:pPr>
            <w:r>
              <w:rPr/>
              <w:t> </w:t>
            </w:r>
          </w:p>
        </w:tc>
      </w:tr>
      <w:tr>
        <w:trPr/>
        <w:tc>
          <w:tcPr>
            <w:tcW w:w="4405" w:type="dxa"/>
            <w:tcBorders/>
            <w:shd w:fill="CCEEFF" w:val="clear"/>
          </w:tcPr>
          <w:p>
            <w:pPr>
              <w:pStyle w:val="TableContents"/>
              <w:bidi w:val="0"/>
              <w:spacing w:before="0" w:after="0"/>
              <w:jc w:val="left"/>
              <w:rPr>
                <w:rFonts w:ascii="Arial" w:hAnsi="Arial"/>
                <w:sz w:val="20"/>
              </w:rPr>
            </w:pPr>
            <w:r>
              <w:rPr>
                <w:rFonts w:ascii="Arial" w:hAnsi="Arial"/>
                <w:sz w:val="20"/>
              </w:rPr>
              <w:t>Shares outstanding at June 30, 2026</w:t>
            </w:r>
          </w:p>
        </w:tc>
        <w:tc>
          <w:tcPr>
            <w:tcW w:w="63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1,484</w:t>
            </w:r>
          </w:p>
        </w:tc>
        <w:tc>
          <w:tcPr>
            <w:tcW w:w="158" w:type="dxa"/>
            <w:tcBorders/>
            <w:shd w:fill="CCEEFF" w:val="clear"/>
            <w:vAlign w:val="bottom"/>
          </w:tcPr>
          <w:p>
            <w:pPr>
              <w:pStyle w:val="TableContents"/>
              <w:bidi w:val="0"/>
              <w:spacing w:before="0" w:after="283"/>
              <w:jc w:val="left"/>
              <w:rPr/>
            </w:pPr>
            <w:r>
              <w:rPr/>
              <w:t> </w:t>
            </w:r>
          </w:p>
        </w:tc>
      </w:tr>
      <w:tr>
        <w:trPr/>
        <w:tc>
          <w:tcPr>
            <w:tcW w:w="4405" w:type="dxa"/>
            <w:tcBorders/>
          </w:tcPr>
          <w:p>
            <w:pPr>
              <w:pStyle w:val="TableContents"/>
              <w:bidi w:val="0"/>
              <w:spacing w:before="0" w:after="0"/>
              <w:jc w:val="left"/>
              <w:rPr>
                <w:rFonts w:ascii="Arial" w:hAnsi="Arial"/>
                <w:sz w:val="20"/>
              </w:rPr>
            </w:pPr>
            <w:r>
              <w:rPr>
                <w:rFonts w:ascii="Arial" w:hAnsi="Arial"/>
                <w:sz w:val="20"/>
              </w:rPr>
              <w:t>Shares issued under employee stock purchase plan</w:t>
            </w:r>
          </w:p>
        </w:tc>
        <w:tc>
          <w:tcPr>
            <w:tcW w:w="63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4405" w:type="dxa"/>
            <w:tcBorders/>
            <w:shd w:fill="CCEEFF" w:val="clear"/>
          </w:tcPr>
          <w:p>
            <w:pPr>
              <w:pStyle w:val="TableContents"/>
              <w:bidi w:val="0"/>
              <w:spacing w:before="0" w:after="0"/>
              <w:jc w:val="left"/>
              <w:rPr>
                <w:rFonts w:ascii="Arial" w:hAnsi="Arial"/>
                <w:sz w:val="20"/>
              </w:rPr>
            </w:pPr>
            <w:r>
              <w:rPr>
                <w:rFonts w:ascii="Arial" w:hAnsi="Arial"/>
                <w:sz w:val="20"/>
              </w:rPr>
              <w:t>Vesting of restricted stock</w:t>
            </w:r>
          </w:p>
        </w:tc>
        <w:tc>
          <w:tcPr>
            <w:tcW w:w="63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4405" w:type="dxa"/>
            <w:tcBorders/>
          </w:tcPr>
          <w:p>
            <w:pPr>
              <w:pStyle w:val="TableContents"/>
              <w:bidi w:val="0"/>
              <w:spacing w:before="0" w:after="0"/>
              <w:jc w:val="left"/>
              <w:rPr>
                <w:rFonts w:ascii="Arial" w:hAnsi="Arial"/>
                <w:sz w:val="20"/>
              </w:rPr>
            </w:pPr>
            <w:r>
              <w:rPr>
                <w:rFonts w:ascii="Arial" w:hAnsi="Arial"/>
                <w:sz w:val="20"/>
              </w:rPr>
              <w:t>Stock repurchase program</w:t>
            </w:r>
          </w:p>
        </w:tc>
        <w:tc>
          <w:tcPr>
            <w:tcW w:w="636"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57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05" w:type="dxa"/>
            <w:tcBorders/>
            <w:shd w:fill="CCEEFF" w:val="clear"/>
          </w:tcPr>
          <w:p>
            <w:pPr>
              <w:pStyle w:val="TableContents"/>
              <w:bidi w:val="0"/>
              <w:spacing w:before="0" w:after="0"/>
              <w:jc w:val="left"/>
              <w:rPr>
                <w:rFonts w:ascii="Arial" w:hAnsi="Arial"/>
                <w:sz w:val="20"/>
              </w:rPr>
            </w:pPr>
            <w:r>
              <w:rPr>
                <w:rFonts w:ascii="Arial" w:hAnsi="Arial"/>
                <w:sz w:val="20"/>
              </w:rPr>
              <w:t>Shares outstanding at September 30, 2026</w:t>
            </w:r>
          </w:p>
        </w:tc>
        <w:tc>
          <w:tcPr>
            <w:tcW w:w="636"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1,476</w:t>
            </w:r>
          </w:p>
        </w:tc>
        <w:tc>
          <w:tcPr>
            <w:tcW w:w="158" w:type="dxa"/>
            <w:tcBorders/>
            <w:shd w:fill="CCEEFF" w:val="clear"/>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57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was the weighted average number of shares outstanding during the third quarter of 2026 and second quarter of 2026? How does this reconcile to the average number of shares outstanding, assuming dilution, used in the calculation of diluted earnings per share? </w:t>
            </w:r>
          </w:p>
        </w:tc>
      </w:tr>
    </w:tbl>
    <w:p>
      <w:pPr>
        <w:pStyle w:val="TextBody"/>
        <w:bidi w:val="0"/>
        <w:spacing w:before="120" w:after="0"/>
        <w:jc w:val="left"/>
        <w:rPr>
          <w:rFonts w:ascii="Arial" w:hAnsi="Arial"/>
          <w:sz w:val="20"/>
        </w:rPr>
      </w:pPr>
      <w:r>
        <w:rPr>
          <w:rFonts w:ascii="Arial" w:hAnsi="Arial"/>
          <w:sz w:val="20"/>
        </w:rPr>
        <w:t xml:space="preserve">The weighted average number of shares outstanding was 1.481 billion during the third quarter of 2026 and 1.490 billion during the second quarter of 2026. The following is a reconciliation of the weighted average shares outstanding to the average number of shares outstanding, assuming dilution, used in the calculation of diluted earnings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97"/>
        <w:gridCol w:w="458"/>
        <w:gridCol w:w="145"/>
        <w:gridCol w:w="1364"/>
        <w:gridCol w:w="60"/>
        <w:gridCol w:w="458"/>
        <w:gridCol w:w="145"/>
        <w:gridCol w:w="1364"/>
        <w:gridCol w:w="64"/>
      </w:tblGrid>
      <w:tr>
        <w:trPr/>
        <w:tc>
          <w:tcPr>
            <w:tcW w:w="3697"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9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3536" w:type="dxa"/>
            <w:gridSpan w:val="6"/>
            <w:tcBorders/>
            <w:vAlign w:val="bottom"/>
          </w:tcPr>
          <w:p>
            <w:pPr>
              <w:pStyle w:val="TableContents"/>
              <w:bidi w:val="0"/>
              <w:spacing w:before="0" w:after="283"/>
              <w:jc w:val="right"/>
              <w:rPr/>
            </w:pPr>
            <w:r>
              <w:rPr/>
              <w:t>(Stated in millions)</w:t>
            </w:r>
          </w:p>
        </w:tc>
        <w:tc>
          <w:tcPr>
            <w:tcW w:w="64" w:type="dxa"/>
            <w:tcBorders/>
            <w:vAlign w:val="bottom"/>
          </w:tcPr>
          <w:p>
            <w:pPr>
              <w:pStyle w:val="TableContents"/>
              <w:bidi w:val="0"/>
              <w:spacing w:before="0" w:after="283"/>
              <w:jc w:val="left"/>
              <w:rPr/>
            </w:pPr>
            <w:r>
              <w:rPr/>
              <w:t> </w:t>
            </w:r>
          </w:p>
        </w:tc>
      </w:tr>
      <w:tr>
        <w:trPr/>
        <w:tc>
          <w:tcPr>
            <w:tcW w:w="369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br/>
              <w:t>2026</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2026</w:t>
            </w:r>
          </w:p>
        </w:tc>
        <w:tc>
          <w:tcPr>
            <w:tcW w:w="64" w:type="dxa"/>
            <w:tcBorders/>
            <w:vAlign w:val="bottom"/>
          </w:tcPr>
          <w:p>
            <w:pPr>
              <w:pStyle w:val="TableContents"/>
              <w:bidi w:val="0"/>
              <w:spacing w:before="0" w:after="283"/>
              <w:jc w:val="left"/>
              <w:rPr/>
            </w:pPr>
            <w:r>
              <w:rPr/>
              <w:t> </w:t>
            </w:r>
          </w:p>
        </w:tc>
      </w:tr>
      <w:tr>
        <w:trPr/>
        <w:tc>
          <w:tcPr>
            <w:tcW w:w="3697" w:type="dxa"/>
            <w:tcBorders/>
            <w:shd w:fill="CCEEFF" w:val="clear"/>
            <w:vAlign w:val="bottom"/>
          </w:tcPr>
          <w:p>
            <w:pPr>
              <w:pStyle w:val="TableContents"/>
              <w:bidi w:val="0"/>
              <w:spacing w:before="0" w:after="0"/>
              <w:jc w:val="left"/>
              <w:rPr>
                <w:rFonts w:ascii="Arial" w:hAnsi="Arial"/>
                <w:sz w:val="20"/>
              </w:rPr>
            </w:pPr>
            <w:r>
              <w:rPr>
                <w:rFonts w:ascii="Arial" w:hAnsi="Arial"/>
                <w:sz w:val="20"/>
              </w:rPr>
              <w:t>Weighted average shares outstanding</w:t>
            </w:r>
          </w:p>
        </w:tc>
        <w:tc>
          <w:tcPr>
            <w:tcW w:w="4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b/>
              </w:rPr>
            </w:pPr>
            <w:r>
              <w:rPr>
                <w:b/>
              </w:rPr>
              <w:t>1,481</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1,490</w:t>
            </w:r>
          </w:p>
        </w:tc>
        <w:tc>
          <w:tcPr>
            <w:tcW w:w="64" w:type="dxa"/>
            <w:tcBorders/>
            <w:shd w:fill="CCEEFF" w:val="clear"/>
            <w:vAlign w:val="bottom"/>
          </w:tcPr>
          <w:p>
            <w:pPr>
              <w:pStyle w:val="TableContents"/>
              <w:bidi w:val="0"/>
              <w:spacing w:before="0" w:after="283"/>
              <w:jc w:val="left"/>
              <w:rPr/>
            </w:pPr>
            <w:r>
              <w:rPr/>
              <w:t> </w:t>
            </w:r>
          </w:p>
        </w:tc>
      </w:tr>
      <w:tr>
        <w:trPr/>
        <w:tc>
          <w:tcPr>
            <w:tcW w:w="3697" w:type="dxa"/>
            <w:tcBorders/>
            <w:vAlign w:val="bottom"/>
          </w:tcPr>
          <w:p>
            <w:pPr>
              <w:pStyle w:val="TableContents"/>
              <w:bidi w:val="0"/>
              <w:spacing w:before="0" w:after="0"/>
              <w:jc w:val="left"/>
              <w:rPr>
                <w:rFonts w:ascii="Arial" w:hAnsi="Arial"/>
                <w:sz w:val="20"/>
              </w:rPr>
            </w:pPr>
            <w:r>
              <w:rPr>
                <w:rFonts w:ascii="Arial" w:hAnsi="Arial"/>
                <w:sz w:val="20"/>
              </w:rPr>
              <w:t>Unvested restricted stock</w:t>
            </w:r>
          </w:p>
        </w:tc>
        <w:tc>
          <w:tcPr>
            <w:tcW w:w="4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b/>
              </w:rPr>
            </w:pPr>
            <w:r>
              <w:rPr>
                <w:b/>
              </w:rPr>
              <w:t>15</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3697" w:type="dxa"/>
            <w:tcBorders/>
            <w:shd w:fill="CCEEFF" w:val="clear"/>
            <w:vAlign w:val="bottom"/>
          </w:tcPr>
          <w:p>
            <w:pPr>
              <w:pStyle w:val="TableContents"/>
              <w:bidi w:val="0"/>
              <w:spacing w:before="0" w:after="0"/>
              <w:jc w:val="left"/>
              <w:rPr>
                <w:rFonts w:ascii="Arial" w:hAnsi="Arial"/>
                <w:sz w:val="20"/>
              </w:rPr>
            </w:pPr>
            <w:r>
              <w:rPr>
                <w:rFonts w:ascii="Arial" w:hAnsi="Arial"/>
                <w:sz w:val="20"/>
              </w:rPr>
              <w:t>Assumed exercise of stock options</w:t>
            </w:r>
          </w:p>
        </w:tc>
        <w:tc>
          <w:tcPr>
            <w:tcW w:w="4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1</w:t>
            </w:r>
          </w:p>
        </w:tc>
        <w:tc>
          <w:tcPr>
            <w:tcW w:w="64" w:type="dxa"/>
            <w:tcBorders/>
            <w:shd w:fill="CCEEFF" w:val="clear"/>
            <w:vAlign w:val="bottom"/>
          </w:tcPr>
          <w:p>
            <w:pPr>
              <w:pStyle w:val="TableContents"/>
              <w:bidi w:val="0"/>
              <w:spacing w:before="0" w:after="283"/>
              <w:jc w:val="left"/>
              <w:rPr/>
            </w:pPr>
            <w:r>
              <w:rPr/>
              <w:t> </w:t>
            </w:r>
          </w:p>
        </w:tc>
      </w:tr>
      <w:tr>
        <w:trPr/>
        <w:tc>
          <w:tcPr>
            <w:tcW w:w="3697"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97" w:type="dxa"/>
            <w:tcBorders/>
            <w:vAlign w:val="bottom"/>
          </w:tcPr>
          <w:p>
            <w:pPr>
              <w:pStyle w:val="TableContents"/>
              <w:bidi w:val="0"/>
              <w:spacing w:before="0" w:after="0"/>
              <w:jc w:val="left"/>
              <w:rPr>
                <w:rFonts w:ascii="Arial" w:hAnsi="Arial"/>
                <w:sz w:val="20"/>
              </w:rPr>
            </w:pPr>
            <w:r>
              <w:rPr>
                <w:rFonts w:ascii="Arial" w:hAnsi="Arial"/>
                <w:sz w:val="20"/>
              </w:rPr>
              <w:t>Average shares outstanding, assuming dilution</w:t>
            </w:r>
          </w:p>
        </w:tc>
        <w:tc>
          <w:tcPr>
            <w:tcW w:w="4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b/>
              </w:rPr>
            </w:pPr>
            <w:r>
              <w:rPr>
                <w:b/>
              </w:rPr>
              <w:t>1,497</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1,506</w:t>
            </w:r>
          </w:p>
        </w:tc>
        <w:tc>
          <w:tcPr>
            <w:tcW w:w="64" w:type="dxa"/>
            <w:tcBorders/>
            <w:vAlign w:val="bottom"/>
          </w:tcPr>
          <w:p>
            <w:pPr>
              <w:pStyle w:val="TableContents"/>
              <w:bidi w:val="0"/>
              <w:spacing w:before="0" w:after="283"/>
              <w:jc w:val="left"/>
              <w:rPr/>
            </w:pPr>
            <w:r>
              <w:rPr/>
              <w:t> </w:t>
            </w:r>
          </w:p>
        </w:tc>
      </w:tr>
      <w:tr>
        <w:trPr/>
        <w:tc>
          <w:tcPr>
            <w:tcW w:w="3697"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6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What was SLB’s adjusted EBITDA and adjusted EBITDA margin in the third quarter of 2026, the second quarter of 2026, the third quarter of 2025, the first nine months of 2026, and the first nine months of 2025? </w:t>
            </w:r>
          </w:p>
        </w:tc>
      </w:tr>
    </w:tbl>
    <w:p>
      <w:pPr>
        <w:pStyle w:val="TextBody"/>
        <w:bidi w:val="0"/>
        <w:spacing w:before="120" w:after="0"/>
        <w:jc w:val="left"/>
        <w:rPr>
          <w:rFonts w:ascii="Arial" w:hAnsi="Arial"/>
          <w:sz w:val="20"/>
        </w:rPr>
      </w:pPr>
      <w:r>
        <w:rPr>
          <w:rFonts w:ascii="Arial" w:hAnsi="Arial"/>
          <w:sz w:val="20"/>
        </w:rPr>
        <w:t xml:space="preserve">SLB’s adjusted EBITDA was $2.067 billion in the third quarter of 2026, $1.899 billion in the second quarter of 2026, and $2.061 billion in the third quarter of 2025. </w:t>
      </w:r>
    </w:p>
    <w:p>
      <w:pPr>
        <w:pStyle w:val="TextBody"/>
        <w:bidi w:val="0"/>
        <w:spacing w:before="120" w:after="0"/>
        <w:jc w:val="left"/>
        <w:rPr>
          <w:rFonts w:ascii="Arial" w:hAnsi="Arial"/>
          <w:sz w:val="20"/>
        </w:rPr>
      </w:pPr>
      <w:r>
        <w:rPr>
          <w:rFonts w:ascii="Arial" w:hAnsi="Arial"/>
          <w:sz w:val="20"/>
        </w:rPr>
        <w:t xml:space="preserve">SLB’s adjusted EBITDA margin was 21.9% in the third quarter of 2026, 21.2% in the second quarter of 2026, and 23.1% in the third quarter of 2025, and was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4"/>
        <w:gridCol w:w="335"/>
        <w:gridCol w:w="301"/>
        <w:gridCol w:w="1208"/>
        <w:gridCol w:w="320"/>
        <w:gridCol w:w="279"/>
        <w:gridCol w:w="301"/>
        <w:gridCol w:w="1208"/>
        <w:gridCol w:w="275"/>
        <w:gridCol w:w="279"/>
        <w:gridCol w:w="264"/>
        <w:gridCol w:w="1072"/>
        <w:gridCol w:w="279"/>
      </w:tblGrid>
      <w:tr>
        <w:trPr/>
        <w:tc>
          <w:tcPr>
            <w:tcW w:w="4084"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084"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5507" w:type="dxa"/>
            <w:gridSpan w:val="10"/>
            <w:tcBorders/>
            <w:vAlign w:val="bottom"/>
          </w:tcPr>
          <w:p>
            <w:pPr>
              <w:pStyle w:val="TableContents"/>
              <w:bidi w:val="0"/>
              <w:spacing w:before="0" w:after="283"/>
              <w:jc w:val="right"/>
              <w:rPr/>
            </w:pPr>
            <w:r>
              <w:rPr/>
              <w:t>(Stated in millions)</w:t>
            </w:r>
          </w:p>
        </w:tc>
        <w:tc>
          <w:tcPr>
            <w:tcW w:w="279" w:type="dxa"/>
            <w:tcBorders/>
            <w:vAlign w:val="bottom"/>
          </w:tcPr>
          <w:p>
            <w:pPr>
              <w:pStyle w:val="TableContents"/>
              <w:bidi w:val="0"/>
              <w:spacing w:before="0" w:after="283"/>
              <w:jc w:val="left"/>
              <w:rPr/>
            </w:pPr>
            <w:r>
              <w:rPr/>
              <w:t> </w:t>
            </w:r>
          </w:p>
        </w:tc>
      </w:tr>
      <w:tr>
        <w:trPr/>
        <w:tc>
          <w:tcPr>
            <w:tcW w:w="4084"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br/>
              <w:t>2026</w:t>
            </w:r>
          </w:p>
        </w:tc>
        <w:tc>
          <w:tcPr>
            <w:tcW w:w="32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2026</w:t>
            </w:r>
          </w:p>
        </w:tc>
        <w:tc>
          <w:tcPr>
            <w:tcW w:w="27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pPr>
            <w:r>
              <w:rPr/>
              <w:t>Third Quarter</w:t>
              <w:br/>
              <w:t>2025</w:t>
            </w:r>
          </w:p>
        </w:tc>
        <w:tc>
          <w:tcPr>
            <w:tcW w:w="279" w:type="dxa"/>
            <w:tcBorders/>
            <w:vAlign w:val="bottom"/>
          </w:tcPr>
          <w:p>
            <w:pPr>
              <w:pStyle w:val="TableContents"/>
              <w:bidi w:val="0"/>
              <w:spacing w:before="0" w:after="283"/>
              <w:jc w:val="left"/>
              <w:rPr/>
            </w:pPr>
            <w:r>
              <w:rPr/>
              <w:t> </w:t>
            </w:r>
          </w:p>
        </w:tc>
      </w:tr>
      <w:tr>
        <w:trPr/>
        <w:tc>
          <w:tcPr>
            <w:tcW w:w="4084"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w:t>
            </w:r>
          </w:p>
        </w:tc>
        <w:tc>
          <w:tcPr>
            <w:tcW w:w="3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1208" w:type="dxa"/>
            <w:tcBorders/>
            <w:shd w:fill="CCEEFF" w:val="clear"/>
            <w:vAlign w:val="bottom"/>
          </w:tcPr>
          <w:p>
            <w:pPr>
              <w:pStyle w:val="TableContents"/>
              <w:bidi w:val="0"/>
              <w:spacing w:before="0" w:after="283"/>
              <w:jc w:val="right"/>
              <w:rPr>
                <w:b/>
              </w:rPr>
            </w:pPr>
            <w:r>
              <w:rPr>
                <w:b/>
              </w:rPr>
              <w:t>735</w:t>
            </w:r>
          </w:p>
        </w:tc>
        <w:tc>
          <w:tcPr>
            <w:tcW w:w="32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786</w:t>
            </w:r>
          </w:p>
        </w:tc>
        <w:tc>
          <w:tcPr>
            <w:tcW w:w="27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739</w:t>
            </w:r>
          </w:p>
        </w:tc>
        <w:tc>
          <w:tcPr>
            <w:tcW w:w="279" w:type="dxa"/>
            <w:tcBorders/>
            <w:shd w:fill="CCEEFF" w:val="clear"/>
            <w:vAlign w:val="bottom"/>
          </w:tcPr>
          <w:p>
            <w:pPr>
              <w:pStyle w:val="TableContents"/>
              <w:bidi w:val="0"/>
              <w:spacing w:before="0" w:after="283"/>
              <w:jc w:val="left"/>
              <w:rPr/>
            </w:pPr>
            <w:r>
              <w:rPr/>
              <w:t> </w:t>
            </w:r>
          </w:p>
        </w:tc>
      </w:tr>
      <w:tr>
        <w:trPr/>
        <w:tc>
          <w:tcPr>
            <w:tcW w:w="4084" w:type="dxa"/>
            <w:tcBorders/>
          </w:tcPr>
          <w:p>
            <w:pPr>
              <w:pStyle w:val="TableContents"/>
              <w:bidi w:val="0"/>
              <w:spacing w:before="0" w:after="0"/>
              <w:jc w:val="left"/>
              <w:rPr>
                <w:rFonts w:ascii="Arial" w:hAnsi="Arial"/>
                <w:sz w:val="20"/>
              </w:rPr>
            </w:pPr>
            <w:r>
              <w:rPr>
                <w:rFonts w:ascii="Arial" w:hAnsi="Arial"/>
                <w:sz w:val="20"/>
              </w:rPr>
              <w:t>Net income attributable to noncontrolling interests</w:t>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45</w:t>
            </w:r>
          </w:p>
        </w:tc>
        <w:tc>
          <w:tcPr>
            <w:tcW w:w="32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35</w:t>
            </w:r>
          </w:p>
        </w:tc>
        <w:tc>
          <w:tcPr>
            <w:tcW w:w="279" w:type="dxa"/>
            <w:tcBorders/>
            <w:vAlign w:val="bottom"/>
          </w:tcPr>
          <w:p>
            <w:pPr>
              <w:pStyle w:val="TableContents"/>
              <w:bidi w:val="0"/>
              <w:spacing w:before="0" w:after="283"/>
              <w:jc w:val="left"/>
              <w:rPr/>
            </w:pPr>
            <w:r>
              <w:rPr/>
              <w:t> </w:t>
            </w:r>
          </w:p>
        </w:tc>
      </w:tr>
      <w:tr>
        <w:trPr/>
        <w:tc>
          <w:tcPr>
            <w:tcW w:w="4084" w:type="dxa"/>
            <w:tcBorders/>
            <w:shd w:fill="CCEEFF" w:val="clear"/>
          </w:tcPr>
          <w:p>
            <w:pPr>
              <w:pStyle w:val="TableContents"/>
              <w:bidi w:val="0"/>
              <w:spacing w:before="0" w:after="0"/>
              <w:jc w:val="left"/>
              <w:rPr>
                <w:rFonts w:ascii="Arial" w:hAnsi="Arial"/>
                <w:sz w:val="20"/>
              </w:rPr>
            </w:pPr>
            <w:r>
              <w:rPr>
                <w:rFonts w:ascii="Arial" w:hAnsi="Arial"/>
                <w:sz w:val="20"/>
              </w:rPr>
              <w:t>Tax expense</w:t>
            </w:r>
          </w:p>
        </w:tc>
        <w:tc>
          <w:tcPr>
            <w:tcW w:w="3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239</w:t>
            </w:r>
          </w:p>
        </w:tc>
        <w:tc>
          <w:tcPr>
            <w:tcW w:w="32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204</w:t>
            </w:r>
          </w:p>
        </w:tc>
        <w:tc>
          <w:tcPr>
            <w:tcW w:w="27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226</w:t>
            </w:r>
          </w:p>
        </w:tc>
        <w:tc>
          <w:tcPr>
            <w:tcW w:w="279" w:type="dxa"/>
            <w:tcBorders/>
            <w:shd w:fill="CCEEFF" w:val="clear"/>
            <w:vAlign w:val="bottom"/>
          </w:tcPr>
          <w:p>
            <w:pPr>
              <w:pStyle w:val="TableContents"/>
              <w:bidi w:val="0"/>
              <w:spacing w:before="0" w:after="283"/>
              <w:jc w:val="left"/>
              <w:rPr/>
            </w:pPr>
            <w:r>
              <w:rPr/>
              <w:t> </w:t>
            </w:r>
          </w:p>
        </w:tc>
      </w:tr>
      <w:tr>
        <w:trPr/>
        <w:tc>
          <w:tcPr>
            <w:tcW w:w="4084"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4084" w:type="dxa"/>
            <w:tcBorders/>
          </w:tcPr>
          <w:p>
            <w:pPr>
              <w:pStyle w:val="TableContents"/>
              <w:bidi w:val="0"/>
              <w:spacing w:before="0" w:after="0"/>
              <w:jc w:val="left"/>
              <w:rPr>
                <w:rFonts w:ascii="Arial" w:hAnsi="Arial"/>
                <w:sz w:val="20"/>
              </w:rPr>
            </w:pPr>
            <w:r>
              <w:rPr>
                <w:rFonts w:ascii="Arial" w:hAnsi="Arial"/>
                <w:sz w:val="20"/>
              </w:rPr>
              <w:t>Income before taxes</w:t>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1208" w:type="dxa"/>
            <w:tcBorders/>
            <w:vAlign w:val="bottom"/>
          </w:tcPr>
          <w:p>
            <w:pPr>
              <w:pStyle w:val="TableContents"/>
              <w:bidi w:val="0"/>
              <w:spacing w:before="0" w:after="283"/>
              <w:jc w:val="right"/>
              <w:rPr>
                <w:b/>
              </w:rPr>
            </w:pPr>
            <w:r>
              <w:rPr>
                <w:b/>
              </w:rPr>
              <w:t>1,019</w:t>
            </w:r>
          </w:p>
        </w:tc>
        <w:tc>
          <w:tcPr>
            <w:tcW w:w="32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1,019</w:t>
            </w:r>
          </w:p>
        </w:tc>
        <w:tc>
          <w:tcPr>
            <w:tcW w:w="27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1,000</w:t>
            </w:r>
          </w:p>
        </w:tc>
        <w:tc>
          <w:tcPr>
            <w:tcW w:w="279" w:type="dxa"/>
            <w:tcBorders/>
            <w:vAlign w:val="bottom"/>
          </w:tcPr>
          <w:p>
            <w:pPr>
              <w:pStyle w:val="TableContents"/>
              <w:bidi w:val="0"/>
              <w:spacing w:before="0" w:after="283"/>
              <w:jc w:val="left"/>
              <w:rPr/>
            </w:pPr>
            <w:r>
              <w:rPr/>
              <w:t> </w:t>
            </w:r>
          </w:p>
        </w:tc>
      </w:tr>
      <w:tr>
        <w:trPr/>
        <w:tc>
          <w:tcPr>
            <w:tcW w:w="4084" w:type="dxa"/>
            <w:tcBorders/>
            <w:shd w:fill="CCEEFF" w:val="clear"/>
          </w:tcPr>
          <w:p>
            <w:pPr>
              <w:pStyle w:val="TableContents"/>
              <w:bidi w:val="0"/>
              <w:spacing w:before="0" w:after="0"/>
              <w:jc w:val="left"/>
              <w:rPr>
                <w:rFonts w:ascii="Arial" w:hAnsi="Arial"/>
                <w:sz w:val="20"/>
              </w:rPr>
            </w:pPr>
            <w:r>
              <w:rPr>
                <w:rFonts w:ascii="Arial" w:hAnsi="Arial"/>
                <w:sz w:val="20"/>
              </w:rPr>
              <w:t>Charges &amp; credits</w:t>
            </w:r>
          </w:p>
        </w:tc>
        <w:tc>
          <w:tcPr>
            <w:tcW w:w="3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242</w:t>
            </w:r>
          </w:p>
        </w:tc>
        <w:tc>
          <w:tcPr>
            <w:tcW w:w="32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69</w:t>
            </w:r>
          </w:p>
        </w:tc>
        <w:tc>
          <w:tcPr>
            <w:tcW w:w="27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318</w:t>
            </w:r>
          </w:p>
        </w:tc>
        <w:tc>
          <w:tcPr>
            <w:tcW w:w="279" w:type="dxa"/>
            <w:tcBorders/>
            <w:shd w:fill="CCEEFF" w:val="clear"/>
            <w:vAlign w:val="bottom"/>
          </w:tcPr>
          <w:p>
            <w:pPr>
              <w:pStyle w:val="TableContents"/>
              <w:bidi w:val="0"/>
              <w:spacing w:before="0" w:after="283"/>
              <w:jc w:val="left"/>
              <w:rPr/>
            </w:pPr>
            <w:r>
              <w:rPr/>
              <w:t> </w:t>
            </w:r>
          </w:p>
        </w:tc>
      </w:tr>
      <w:tr>
        <w:trPr/>
        <w:tc>
          <w:tcPr>
            <w:tcW w:w="4084" w:type="dxa"/>
            <w:tcBorders/>
          </w:tcPr>
          <w:p>
            <w:pPr>
              <w:pStyle w:val="TableContents"/>
              <w:bidi w:val="0"/>
              <w:spacing w:before="0" w:after="0"/>
              <w:jc w:val="left"/>
              <w:rPr>
                <w:rFonts w:ascii="Arial" w:hAnsi="Arial"/>
                <w:sz w:val="20"/>
              </w:rPr>
            </w:pPr>
            <w:r>
              <w:rPr>
                <w:rFonts w:ascii="Arial" w:hAnsi="Arial"/>
                <w:sz w:val="20"/>
              </w:rPr>
              <w:t>Depreciation and amortization</w:t>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698</w:t>
            </w:r>
          </w:p>
        </w:tc>
        <w:tc>
          <w:tcPr>
            <w:tcW w:w="32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712</w:t>
            </w:r>
          </w:p>
        </w:tc>
        <w:tc>
          <w:tcPr>
            <w:tcW w:w="27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638</w:t>
            </w:r>
          </w:p>
        </w:tc>
        <w:tc>
          <w:tcPr>
            <w:tcW w:w="279" w:type="dxa"/>
            <w:tcBorders/>
            <w:vAlign w:val="bottom"/>
          </w:tcPr>
          <w:p>
            <w:pPr>
              <w:pStyle w:val="TableContents"/>
              <w:bidi w:val="0"/>
              <w:spacing w:before="0" w:after="283"/>
              <w:jc w:val="left"/>
              <w:rPr/>
            </w:pPr>
            <w:r>
              <w:rPr/>
              <w:t> </w:t>
            </w:r>
          </w:p>
        </w:tc>
      </w:tr>
      <w:tr>
        <w:trPr/>
        <w:tc>
          <w:tcPr>
            <w:tcW w:w="4084" w:type="dxa"/>
            <w:tcBorders/>
            <w:shd w:fill="CCEEFF" w:val="clear"/>
          </w:tcPr>
          <w:p>
            <w:pPr>
              <w:pStyle w:val="TableContents"/>
              <w:bidi w:val="0"/>
              <w:spacing w:before="0" w:after="0"/>
              <w:jc w:val="left"/>
              <w:rPr>
                <w:rFonts w:ascii="Arial" w:hAnsi="Arial"/>
                <w:sz w:val="20"/>
              </w:rPr>
            </w:pPr>
            <w:r>
              <w:rPr>
                <w:rFonts w:ascii="Arial" w:hAnsi="Arial"/>
                <w:sz w:val="20"/>
              </w:rPr>
              <w:t>Interest expense</w:t>
            </w:r>
          </w:p>
        </w:tc>
        <w:tc>
          <w:tcPr>
            <w:tcW w:w="3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133</w:t>
            </w:r>
          </w:p>
        </w:tc>
        <w:tc>
          <w:tcPr>
            <w:tcW w:w="32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128</w:t>
            </w:r>
          </w:p>
        </w:tc>
        <w:tc>
          <w:tcPr>
            <w:tcW w:w="27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142</w:t>
            </w:r>
          </w:p>
        </w:tc>
        <w:tc>
          <w:tcPr>
            <w:tcW w:w="279" w:type="dxa"/>
            <w:tcBorders/>
            <w:shd w:fill="CCEEFF" w:val="clear"/>
            <w:vAlign w:val="bottom"/>
          </w:tcPr>
          <w:p>
            <w:pPr>
              <w:pStyle w:val="TableContents"/>
              <w:bidi w:val="0"/>
              <w:spacing w:before="0" w:after="283"/>
              <w:jc w:val="left"/>
              <w:rPr/>
            </w:pPr>
            <w:r>
              <w:rPr/>
              <w:t> </w:t>
            </w:r>
          </w:p>
        </w:tc>
      </w:tr>
      <w:tr>
        <w:trPr/>
        <w:tc>
          <w:tcPr>
            <w:tcW w:w="4084" w:type="dxa"/>
            <w:tcBorders/>
          </w:tcPr>
          <w:p>
            <w:pPr>
              <w:pStyle w:val="TableContents"/>
              <w:bidi w:val="0"/>
              <w:spacing w:before="0" w:after="0"/>
              <w:jc w:val="left"/>
              <w:rPr>
                <w:rFonts w:ascii="Arial" w:hAnsi="Arial"/>
                <w:sz w:val="20"/>
              </w:rPr>
            </w:pPr>
            <w:r>
              <w:rPr>
                <w:rFonts w:ascii="Arial" w:hAnsi="Arial"/>
                <w:sz w:val="20"/>
              </w:rPr>
              <w:t>Interest income</w:t>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b/>
              </w:rPr>
            </w:pPr>
            <w:r>
              <w:rPr>
                <w:b/>
              </w:rPr>
              <w:t>(25</w:t>
            </w:r>
          </w:p>
        </w:tc>
        <w:tc>
          <w:tcPr>
            <w:tcW w:w="320" w:type="dxa"/>
            <w:tcBorders/>
            <w:vAlign w:val="bottom"/>
          </w:tcPr>
          <w:p>
            <w:pPr>
              <w:pStyle w:val="TableContents"/>
              <w:bidi w:val="0"/>
              <w:spacing w:before="0" w:after="283"/>
              <w:jc w:val="left"/>
              <w:rPr>
                <w:b/>
              </w:rPr>
            </w:pPr>
            <w:r>
              <w:rPr>
                <w:b/>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(37</w:t>
            </w:r>
          </w:p>
        </w:tc>
        <w:tc>
          <w:tcPr>
            <w:tcW w:w="279" w:type="dxa"/>
            <w:tcBorders/>
            <w:vAlign w:val="bottom"/>
          </w:tcPr>
          <w:p>
            <w:pPr>
              <w:pStyle w:val="TableContents"/>
              <w:bidi w:val="0"/>
              <w:spacing w:before="0" w:after="283"/>
              <w:jc w:val="left"/>
              <w:rPr/>
            </w:pPr>
            <w:r>
              <w:rPr/>
              <w:t>) </w:t>
            </w:r>
          </w:p>
        </w:tc>
      </w:tr>
      <w:tr>
        <w:trPr/>
        <w:tc>
          <w:tcPr>
            <w:tcW w:w="4084"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4084" w:type="dxa"/>
            <w:tcBorders/>
            <w:shd w:fill="CCEEFF" w:val="clear"/>
          </w:tcPr>
          <w:p>
            <w:pPr>
              <w:pStyle w:val="TableContents"/>
              <w:bidi w:val="0"/>
              <w:spacing w:before="0" w:after="0"/>
              <w:jc w:val="left"/>
              <w:rPr>
                <w:rFonts w:ascii="Arial" w:hAnsi="Arial"/>
                <w:sz w:val="20"/>
              </w:rPr>
            </w:pPr>
            <w:r>
              <w:rPr>
                <w:rFonts w:ascii="Arial" w:hAnsi="Arial"/>
                <w:sz w:val="20"/>
              </w:rPr>
              <w:t>Adjusted EBITDA</w:t>
            </w:r>
          </w:p>
        </w:tc>
        <w:tc>
          <w:tcPr>
            <w:tcW w:w="3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1208" w:type="dxa"/>
            <w:tcBorders/>
            <w:shd w:fill="CCEEFF" w:val="clear"/>
            <w:vAlign w:val="bottom"/>
          </w:tcPr>
          <w:p>
            <w:pPr>
              <w:pStyle w:val="TableContents"/>
              <w:bidi w:val="0"/>
              <w:spacing w:before="0" w:after="283"/>
              <w:jc w:val="right"/>
              <w:rPr>
                <w:b/>
              </w:rPr>
            </w:pPr>
            <w:r>
              <w:rPr>
                <w:b/>
              </w:rPr>
              <w:t>2,067</w:t>
            </w:r>
          </w:p>
        </w:tc>
        <w:tc>
          <w:tcPr>
            <w:tcW w:w="32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1,899</w:t>
            </w:r>
          </w:p>
        </w:tc>
        <w:tc>
          <w:tcPr>
            <w:tcW w:w="27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2,061</w:t>
            </w:r>
          </w:p>
        </w:tc>
        <w:tc>
          <w:tcPr>
            <w:tcW w:w="279" w:type="dxa"/>
            <w:tcBorders/>
            <w:shd w:fill="CCEEFF" w:val="clear"/>
            <w:vAlign w:val="bottom"/>
          </w:tcPr>
          <w:p>
            <w:pPr>
              <w:pStyle w:val="TableContents"/>
              <w:bidi w:val="0"/>
              <w:spacing w:before="0" w:after="283"/>
              <w:jc w:val="left"/>
              <w:rPr/>
            </w:pPr>
            <w:r>
              <w:rPr/>
              <w:t> </w:t>
            </w:r>
          </w:p>
        </w:tc>
      </w:tr>
      <w:tr>
        <w:trPr/>
        <w:tc>
          <w:tcPr>
            <w:tcW w:w="4084"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4084" w:type="dxa"/>
            <w:tcBorders/>
          </w:tcPr>
          <w:p>
            <w:pPr>
              <w:pStyle w:val="TableContents"/>
              <w:bidi w:val="0"/>
              <w:spacing w:before="0" w:after="0"/>
              <w:jc w:val="left"/>
              <w:rPr>
                <w:rFonts w:ascii="Arial" w:hAnsi="Arial"/>
                <w:sz w:val="20"/>
              </w:rPr>
            </w:pPr>
            <w:r>
              <w:rPr>
                <w:rFonts w:ascii="Arial" w:hAnsi="Arial"/>
                <w:sz w:val="20"/>
              </w:rPr>
              <w:t>Revenue</w:t>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1208" w:type="dxa"/>
            <w:tcBorders/>
            <w:vAlign w:val="bottom"/>
          </w:tcPr>
          <w:p>
            <w:pPr>
              <w:pStyle w:val="TableContents"/>
              <w:bidi w:val="0"/>
              <w:spacing w:before="0" w:after="283"/>
              <w:jc w:val="right"/>
              <w:rPr>
                <w:b/>
              </w:rPr>
            </w:pPr>
            <w:r>
              <w:rPr>
                <w:b/>
              </w:rPr>
              <w:t>9,449</w:t>
            </w:r>
          </w:p>
        </w:tc>
        <w:tc>
          <w:tcPr>
            <w:tcW w:w="32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8,972</w:t>
            </w:r>
          </w:p>
        </w:tc>
        <w:tc>
          <w:tcPr>
            <w:tcW w:w="27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8,928</w:t>
            </w:r>
          </w:p>
        </w:tc>
        <w:tc>
          <w:tcPr>
            <w:tcW w:w="279" w:type="dxa"/>
            <w:tcBorders/>
            <w:vAlign w:val="bottom"/>
          </w:tcPr>
          <w:p>
            <w:pPr>
              <w:pStyle w:val="TableContents"/>
              <w:bidi w:val="0"/>
              <w:spacing w:before="0" w:after="283"/>
              <w:jc w:val="left"/>
              <w:rPr/>
            </w:pPr>
            <w:r>
              <w:rPr/>
              <w:t> </w:t>
            </w:r>
          </w:p>
        </w:tc>
      </w:tr>
      <w:tr>
        <w:trPr/>
        <w:tc>
          <w:tcPr>
            <w:tcW w:w="4084"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4084" w:type="dxa"/>
            <w:tcBorders/>
            <w:shd w:fill="CCEEFF" w:val="clear"/>
          </w:tcPr>
          <w:p>
            <w:pPr>
              <w:pStyle w:val="TableContents"/>
              <w:bidi w:val="0"/>
              <w:spacing w:before="0" w:after="0"/>
              <w:jc w:val="left"/>
              <w:rPr>
                <w:rFonts w:ascii="Arial" w:hAnsi="Arial"/>
                <w:sz w:val="20"/>
              </w:rPr>
            </w:pPr>
            <w:r>
              <w:rPr>
                <w:rFonts w:ascii="Arial" w:hAnsi="Arial"/>
                <w:sz w:val="20"/>
              </w:rPr>
              <w:t>Adjusted EBITDA margin</w:t>
            </w:r>
          </w:p>
        </w:tc>
        <w:tc>
          <w:tcPr>
            <w:tcW w:w="3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21.9</w:t>
            </w:r>
          </w:p>
        </w:tc>
        <w:tc>
          <w:tcPr>
            <w:tcW w:w="320" w:type="dxa"/>
            <w:tcBorders/>
            <w:shd w:fill="CCEEFF" w:val="clear"/>
            <w:vAlign w:val="bottom"/>
          </w:tcPr>
          <w:p>
            <w:pPr>
              <w:pStyle w:val="TableContents"/>
              <w:bidi w:val="0"/>
              <w:spacing w:before="0" w:after="283"/>
              <w:jc w:val="left"/>
              <w:rPr>
                <w:b/>
              </w:rPr>
            </w:pPr>
            <w:r>
              <w:rPr>
                <w:b/>
              </w:rPr>
              <w:t>% </w:t>
            </w:r>
          </w:p>
        </w:tc>
        <w:tc>
          <w:tcPr>
            <w:tcW w:w="27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21.2</w:t>
            </w:r>
          </w:p>
        </w:tc>
        <w:tc>
          <w:tcPr>
            <w:tcW w:w="27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23.1</w:t>
            </w:r>
          </w:p>
        </w:tc>
        <w:tc>
          <w:tcPr>
            <w:tcW w:w="279" w:type="dxa"/>
            <w:tcBorders/>
            <w:shd w:fill="CCEEFF" w:val="clear"/>
            <w:vAlign w:val="bottom"/>
          </w:tcPr>
          <w:p>
            <w:pPr>
              <w:pStyle w:val="TableContents"/>
              <w:bidi w:val="0"/>
              <w:spacing w:before="0" w:after="283"/>
              <w:jc w:val="left"/>
              <w:rPr/>
            </w:pPr>
            <w:r>
              <w:rPr/>
              <w:t>% </w:t>
            </w:r>
          </w:p>
        </w:tc>
      </w:tr>
      <w:tr>
        <w:trPr/>
        <w:tc>
          <w:tcPr>
            <w:tcW w:w="4084"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SLB’s adjusted EBITDA was $5.739 billion in the first nine months of 2026 and $6.133 billion in the first nine months of 2025. SLB’s adjusted EBITDA margin was 21.1% in the first nine months of 2026 and 23.6% in the first nine months of 2025, and was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82"/>
        <w:gridCol w:w="383"/>
        <w:gridCol w:w="228"/>
        <w:gridCol w:w="1117"/>
        <w:gridCol w:w="320"/>
        <w:gridCol w:w="290"/>
        <w:gridCol w:w="215"/>
        <w:gridCol w:w="1062"/>
        <w:gridCol w:w="275"/>
        <w:gridCol w:w="290"/>
        <w:gridCol w:w="114"/>
        <w:gridCol w:w="1649"/>
        <w:gridCol w:w="280"/>
      </w:tblGrid>
      <w:tr>
        <w:trPr/>
        <w:tc>
          <w:tcPr>
            <w:tcW w:w="3982"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82"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232" w:type="dxa"/>
            <w:gridSpan w:val="6"/>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763" w:type="dxa"/>
            <w:gridSpan w:val="2"/>
            <w:tcBorders/>
            <w:vAlign w:val="bottom"/>
          </w:tcPr>
          <w:p>
            <w:pPr>
              <w:pStyle w:val="TableContents"/>
              <w:bidi w:val="0"/>
              <w:spacing w:before="0" w:after="283"/>
              <w:jc w:val="center"/>
              <w:rPr/>
            </w:pPr>
            <w:r>
              <w:rPr/>
              <w:t>(Stated in millions)</w:t>
            </w:r>
          </w:p>
        </w:tc>
        <w:tc>
          <w:tcPr>
            <w:tcW w:w="280" w:type="dxa"/>
            <w:tcBorders/>
            <w:vAlign w:val="bottom"/>
          </w:tcPr>
          <w:p>
            <w:pPr>
              <w:pStyle w:val="TableContents"/>
              <w:bidi w:val="0"/>
              <w:spacing w:before="0" w:after="283"/>
              <w:jc w:val="left"/>
              <w:rPr/>
            </w:pPr>
            <w:r>
              <w:rPr/>
              <w:t> </w:t>
            </w:r>
          </w:p>
        </w:tc>
      </w:tr>
      <w:tr>
        <w:trPr/>
        <w:tc>
          <w:tcPr>
            <w:tcW w:w="3982"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2026</w:t>
            </w:r>
          </w:p>
        </w:tc>
        <w:tc>
          <w:tcPr>
            <w:tcW w:w="3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bottom"/>
          </w:tcPr>
          <w:p>
            <w:pPr>
              <w:pStyle w:val="TableContents"/>
              <w:bidi w:val="0"/>
              <w:spacing w:before="0" w:after="283"/>
              <w:jc w:val="center"/>
              <w:rPr/>
            </w:pPr>
            <w:r>
              <w:rPr/>
              <w:t>Nine Months</w:t>
              <w:br/>
              <w:t>2025</w:t>
            </w:r>
          </w:p>
        </w:tc>
        <w:tc>
          <w:tcPr>
            <w:tcW w:w="2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763" w:type="dxa"/>
            <w:gridSpan w:val="2"/>
            <w:tcBorders>
              <w:bottom w:val="single" w:sz="8" w:space="0" w:color="000000"/>
            </w:tcBorders>
            <w:tcMar>
              <w:bottom w:w="28" w:type="dxa"/>
            </w:tcMar>
            <w:vAlign w:val="bottom"/>
          </w:tcPr>
          <w:p>
            <w:pPr>
              <w:pStyle w:val="TableContents"/>
              <w:bidi w:val="0"/>
              <w:spacing w:before="0" w:after="283"/>
              <w:jc w:val="center"/>
              <w:rPr/>
            </w:pPr>
            <w:r>
              <w:rPr/>
              <w:t>Change</w:t>
            </w:r>
          </w:p>
        </w:tc>
        <w:tc>
          <w:tcPr>
            <w:tcW w:w="280" w:type="dxa"/>
            <w:tcBorders/>
            <w:vAlign w:val="bottom"/>
          </w:tcPr>
          <w:p>
            <w:pPr>
              <w:pStyle w:val="TableContents"/>
              <w:bidi w:val="0"/>
              <w:spacing w:before="0" w:after="283"/>
              <w:jc w:val="left"/>
              <w:rPr/>
            </w:pPr>
            <w:r>
              <w:rPr/>
              <w:t> </w:t>
            </w:r>
          </w:p>
        </w:tc>
      </w:tr>
      <w:tr>
        <w:trPr/>
        <w:tc>
          <w:tcPr>
            <w:tcW w:w="3982"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w:t>
            </w:r>
          </w:p>
        </w:tc>
        <w:tc>
          <w:tcPr>
            <w:tcW w:w="38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2,273</w:t>
            </w:r>
          </w:p>
        </w:tc>
        <w:tc>
          <w:tcPr>
            <w:tcW w:w="3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2,550</w:t>
            </w:r>
          </w:p>
        </w:tc>
        <w:tc>
          <w:tcPr>
            <w:tcW w:w="2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64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982" w:type="dxa"/>
            <w:tcBorders/>
          </w:tcPr>
          <w:p>
            <w:pPr>
              <w:pStyle w:val="TableContents"/>
              <w:bidi w:val="0"/>
              <w:spacing w:before="0" w:after="0"/>
              <w:jc w:val="left"/>
              <w:rPr>
                <w:rFonts w:ascii="Arial" w:hAnsi="Arial"/>
                <w:sz w:val="20"/>
              </w:rPr>
            </w:pPr>
            <w:r>
              <w:rPr>
                <w:rFonts w:ascii="Arial" w:hAnsi="Arial"/>
                <w:sz w:val="20"/>
              </w:rPr>
              <w:t>Net income attributable to noncontrolling interests</w:t>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b/>
              </w:rPr>
            </w:pPr>
            <w:r>
              <w:rPr>
                <w:b/>
              </w:rPr>
              <w:t>83</w:t>
            </w:r>
          </w:p>
        </w:tc>
        <w:tc>
          <w:tcPr>
            <w:tcW w:w="3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101</w:t>
            </w:r>
          </w:p>
        </w:tc>
        <w:tc>
          <w:tcPr>
            <w:tcW w:w="2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82" w:type="dxa"/>
            <w:tcBorders/>
            <w:shd w:fill="CCEEFF" w:val="clear"/>
          </w:tcPr>
          <w:p>
            <w:pPr>
              <w:pStyle w:val="TableContents"/>
              <w:bidi w:val="0"/>
              <w:spacing w:before="0" w:after="0"/>
              <w:jc w:val="left"/>
              <w:rPr>
                <w:rFonts w:ascii="Arial" w:hAnsi="Arial"/>
                <w:sz w:val="20"/>
              </w:rPr>
            </w:pPr>
            <w:r>
              <w:rPr>
                <w:rFonts w:ascii="Arial" w:hAnsi="Arial"/>
                <w:sz w:val="20"/>
              </w:rPr>
              <w:t>Tax expense</w:t>
            </w:r>
          </w:p>
        </w:tc>
        <w:tc>
          <w:tcPr>
            <w:tcW w:w="38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638</w:t>
            </w:r>
          </w:p>
        </w:tc>
        <w:tc>
          <w:tcPr>
            <w:tcW w:w="3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697</w:t>
            </w:r>
          </w:p>
        </w:tc>
        <w:tc>
          <w:tcPr>
            <w:tcW w:w="2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64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982"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82" w:type="dxa"/>
            <w:tcBorders/>
          </w:tcPr>
          <w:p>
            <w:pPr>
              <w:pStyle w:val="TableContents"/>
              <w:bidi w:val="0"/>
              <w:spacing w:before="0" w:after="0"/>
              <w:jc w:val="left"/>
              <w:rPr>
                <w:rFonts w:ascii="Arial" w:hAnsi="Arial"/>
                <w:sz w:val="20"/>
              </w:rPr>
            </w:pPr>
            <w:r>
              <w:rPr>
                <w:rFonts w:ascii="Arial" w:hAnsi="Arial"/>
                <w:sz w:val="20"/>
              </w:rPr>
              <w:t>Income before taxes</w:t>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117" w:type="dxa"/>
            <w:tcBorders/>
            <w:vAlign w:val="bottom"/>
          </w:tcPr>
          <w:p>
            <w:pPr>
              <w:pStyle w:val="TableContents"/>
              <w:bidi w:val="0"/>
              <w:spacing w:before="0" w:after="283"/>
              <w:jc w:val="right"/>
              <w:rPr>
                <w:b/>
              </w:rPr>
            </w:pPr>
            <w:r>
              <w:rPr>
                <w:b/>
              </w:rPr>
              <w:t>2,994</w:t>
            </w:r>
          </w:p>
        </w:tc>
        <w:tc>
          <w:tcPr>
            <w:tcW w:w="3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062" w:type="dxa"/>
            <w:tcBorders/>
            <w:vAlign w:val="bottom"/>
          </w:tcPr>
          <w:p>
            <w:pPr>
              <w:pStyle w:val="TableContents"/>
              <w:bidi w:val="0"/>
              <w:spacing w:before="0" w:after="283"/>
              <w:jc w:val="right"/>
              <w:rPr/>
            </w:pPr>
            <w:r>
              <w:rPr/>
              <w:t>3,348</w:t>
            </w:r>
          </w:p>
        </w:tc>
        <w:tc>
          <w:tcPr>
            <w:tcW w:w="2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82" w:type="dxa"/>
            <w:tcBorders/>
            <w:shd w:fill="CCEEFF" w:val="clear"/>
          </w:tcPr>
          <w:p>
            <w:pPr>
              <w:pStyle w:val="TableContents"/>
              <w:bidi w:val="0"/>
              <w:spacing w:before="0" w:after="0"/>
              <w:jc w:val="left"/>
              <w:rPr>
                <w:rFonts w:ascii="Arial" w:hAnsi="Arial"/>
                <w:sz w:val="20"/>
              </w:rPr>
            </w:pPr>
            <w:r>
              <w:rPr>
                <w:rFonts w:ascii="Arial" w:hAnsi="Arial"/>
                <w:sz w:val="20"/>
              </w:rPr>
              <w:t>Charges &amp; credits</w:t>
            </w:r>
          </w:p>
        </w:tc>
        <w:tc>
          <w:tcPr>
            <w:tcW w:w="38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352</w:t>
            </w:r>
          </w:p>
        </w:tc>
        <w:tc>
          <w:tcPr>
            <w:tcW w:w="3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546</w:t>
            </w:r>
          </w:p>
        </w:tc>
        <w:tc>
          <w:tcPr>
            <w:tcW w:w="2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64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982" w:type="dxa"/>
            <w:tcBorders/>
          </w:tcPr>
          <w:p>
            <w:pPr>
              <w:pStyle w:val="TableContents"/>
              <w:bidi w:val="0"/>
              <w:spacing w:before="0" w:after="0"/>
              <w:jc w:val="left"/>
              <w:rPr>
                <w:rFonts w:ascii="Arial" w:hAnsi="Arial"/>
                <w:sz w:val="20"/>
              </w:rPr>
            </w:pPr>
            <w:r>
              <w:rPr>
                <w:rFonts w:ascii="Arial" w:hAnsi="Arial"/>
                <w:sz w:val="20"/>
              </w:rPr>
              <w:t>Depreciation and amortization</w:t>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b/>
              </w:rPr>
            </w:pPr>
            <w:r>
              <w:rPr>
                <w:b/>
              </w:rPr>
              <w:t>2,095</w:t>
            </w:r>
          </w:p>
        </w:tc>
        <w:tc>
          <w:tcPr>
            <w:tcW w:w="3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1,911</w:t>
            </w:r>
          </w:p>
        </w:tc>
        <w:tc>
          <w:tcPr>
            <w:tcW w:w="2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82" w:type="dxa"/>
            <w:tcBorders/>
            <w:shd w:fill="CCEEFF" w:val="clear"/>
          </w:tcPr>
          <w:p>
            <w:pPr>
              <w:pStyle w:val="TableContents"/>
              <w:bidi w:val="0"/>
              <w:spacing w:before="0" w:after="0"/>
              <w:jc w:val="left"/>
              <w:rPr>
                <w:rFonts w:ascii="Arial" w:hAnsi="Arial"/>
                <w:sz w:val="20"/>
              </w:rPr>
            </w:pPr>
            <w:r>
              <w:rPr>
                <w:rFonts w:ascii="Arial" w:hAnsi="Arial"/>
                <w:sz w:val="20"/>
              </w:rPr>
              <w:t>Interest expense</w:t>
            </w:r>
          </w:p>
        </w:tc>
        <w:tc>
          <w:tcPr>
            <w:tcW w:w="38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377</w:t>
            </w:r>
          </w:p>
        </w:tc>
        <w:tc>
          <w:tcPr>
            <w:tcW w:w="3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432</w:t>
            </w:r>
          </w:p>
        </w:tc>
        <w:tc>
          <w:tcPr>
            <w:tcW w:w="2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64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982" w:type="dxa"/>
            <w:tcBorders/>
          </w:tcPr>
          <w:p>
            <w:pPr>
              <w:pStyle w:val="TableContents"/>
              <w:bidi w:val="0"/>
              <w:spacing w:before="0" w:after="0"/>
              <w:jc w:val="left"/>
              <w:rPr>
                <w:rFonts w:ascii="Arial" w:hAnsi="Arial"/>
                <w:sz w:val="20"/>
              </w:rPr>
            </w:pPr>
            <w:r>
              <w:rPr>
                <w:rFonts w:ascii="Arial" w:hAnsi="Arial"/>
                <w:sz w:val="20"/>
              </w:rPr>
              <w:t>Interest income</w:t>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b/>
              </w:rPr>
            </w:pPr>
            <w:r>
              <w:rPr>
                <w:b/>
              </w:rPr>
              <w:t>(79</w:t>
            </w:r>
          </w:p>
        </w:tc>
        <w:tc>
          <w:tcPr>
            <w:tcW w:w="320" w:type="dxa"/>
            <w:tcBorders/>
            <w:vAlign w:val="bottom"/>
          </w:tcPr>
          <w:p>
            <w:pPr>
              <w:pStyle w:val="TableContents"/>
              <w:bidi w:val="0"/>
              <w:spacing w:before="0" w:after="283"/>
              <w:jc w:val="left"/>
              <w:rPr>
                <w:b/>
              </w:rPr>
            </w:pPr>
            <w:r>
              <w:rPr>
                <w:b/>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(104</w:t>
            </w:r>
          </w:p>
        </w:tc>
        <w:tc>
          <w:tcPr>
            <w:tcW w:w="2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82"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82"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w:t>
            </w:r>
          </w:p>
        </w:tc>
        <w:tc>
          <w:tcPr>
            <w:tcW w:w="38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5,739</w:t>
            </w:r>
          </w:p>
        </w:tc>
        <w:tc>
          <w:tcPr>
            <w:tcW w:w="3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6,133</w:t>
            </w:r>
          </w:p>
        </w:tc>
        <w:tc>
          <w:tcPr>
            <w:tcW w:w="2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49" w:type="dxa"/>
            <w:tcBorders/>
            <w:shd w:fill="CCEEFF" w:val="clear"/>
            <w:vAlign w:val="bottom"/>
          </w:tcPr>
          <w:p>
            <w:pPr>
              <w:pStyle w:val="TableContents"/>
              <w:bidi w:val="0"/>
              <w:spacing w:before="0" w:after="283"/>
              <w:jc w:val="right"/>
              <w:rPr/>
            </w:pPr>
            <w:r>
              <w:rPr/>
              <w:t>-6</w:t>
            </w:r>
          </w:p>
        </w:tc>
        <w:tc>
          <w:tcPr>
            <w:tcW w:w="280" w:type="dxa"/>
            <w:tcBorders/>
            <w:shd w:fill="CCEEFF" w:val="clear"/>
            <w:vAlign w:val="bottom"/>
          </w:tcPr>
          <w:p>
            <w:pPr>
              <w:pStyle w:val="TableContents"/>
              <w:bidi w:val="0"/>
              <w:spacing w:before="0" w:after="283"/>
              <w:jc w:val="left"/>
              <w:rPr/>
            </w:pPr>
            <w:r>
              <w:rPr/>
              <w:t>% </w:t>
            </w:r>
          </w:p>
        </w:tc>
      </w:tr>
      <w:tr>
        <w:trPr/>
        <w:tc>
          <w:tcPr>
            <w:tcW w:w="3982"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64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982" w:type="dxa"/>
            <w:tcBorders/>
            <w:vAlign w:val="bottom"/>
          </w:tcPr>
          <w:p>
            <w:pPr>
              <w:pStyle w:val="TableContents"/>
              <w:bidi w:val="0"/>
              <w:spacing w:before="0" w:after="0"/>
              <w:jc w:val="left"/>
              <w:rPr>
                <w:rFonts w:ascii="Arial" w:hAnsi="Arial"/>
                <w:sz w:val="20"/>
              </w:rPr>
            </w:pPr>
            <w:r>
              <w:rPr>
                <w:rFonts w:ascii="Arial" w:hAnsi="Arial"/>
                <w:sz w:val="20"/>
              </w:rPr>
              <w:t>Revenue</w:t>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117" w:type="dxa"/>
            <w:tcBorders/>
            <w:vAlign w:val="bottom"/>
          </w:tcPr>
          <w:p>
            <w:pPr>
              <w:pStyle w:val="TableContents"/>
              <w:bidi w:val="0"/>
              <w:spacing w:before="0" w:after="283"/>
              <w:jc w:val="right"/>
              <w:rPr>
                <w:b/>
              </w:rPr>
            </w:pPr>
            <w:r>
              <w:rPr>
                <w:b/>
              </w:rPr>
              <w:t>27,142</w:t>
            </w:r>
          </w:p>
        </w:tc>
        <w:tc>
          <w:tcPr>
            <w:tcW w:w="3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25,963</w:t>
            </w:r>
          </w:p>
        </w:tc>
        <w:tc>
          <w:tcPr>
            <w:tcW w:w="27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49" w:type="dxa"/>
            <w:tcBorders/>
            <w:vAlign w:val="bottom"/>
          </w:tcPr>
          <w:p>
            <w:pPr>
              <w:pStyle w:val="TableContents"/>
              <w:bidi w:val="0"/>
              <w:spacing w:before="0" w:after="283"/>
              <w:jc w:val="right"/>
              <w:rPr/>
            </w:pPr>
            <w:r>
              <w:rPr/>
              <w:t>5</w:t>
            </w:r>
          </w:p>
        </w:tc>
        <w:tc>
          <w:tcPr>
            <w:tcW w:w="280" w:type="dxa"/>
            <w:tcBorders/>
            <w:vAlign w:val="bottom"/>
          </w:tcPr>
          <w:p>
            <w:pPr>
              <w:pStyle w:val="TableContents"/>
              <w:bidi w:val="0"/>
              <w:spacing w:before="0" w:after="283"/>
              <w:jc w:val="left"/>
              <w:rPr/>
            </w:pPr>
            <w:r>
              <w:rPr/>
              <w:t>% </w:t>
            </w:r>
          </w:p>
        </w:tc>
      </w:tr>
      <w:tr>
        <w:trPr/>
        <w:tc>
          <w:tcPr>
            <w:tcW w:w="3982"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64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982"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383"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b/>
              </w:rPr>
            </w:pPr>
            <w:r>
              <w:rPr>
                <w:b/>
              </w:rPr>
              <w:t>21.1</w:t>
            </w:r>
          </w:p>
        </w:tc>
        <w:tc>
          <w:tcPr>
            <w:tcW w:w="320" w:type="dxa"/>
            <w:tcBorders/>
            <w:shd w:fill="CCEEFF" w:val="clear"/>
            <w:vAlign w:val="bottom"/>
          </w:tcPr>
          <w:p>
            <w:pPr>
              <w:pStyle w:val="TableContents"/>
              <w:bidi w:val="0"/>
              <w:spacing w:before="0" w:after="283"/>
              <w:jc w:val="left"/>
              <w:rPr>
                <w:b/>
              </w:rPr>
            </w:pPr>
            <w:r>
              <w:rPr>
                <w:b/>
              </w:rPr>
              <w:t>% </w:t>
            </w:r>
          </w:p>
        </w:tc>
        <w:tc>
          <w:tcPr>
            <w:tcW w:w="2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23.6</w:t>
            </w:r>
          </w:p>
        </w:tc>
        <w:tc>
          <w:tcPr>
            <w:tcW w:w="27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49" w:type="dxa"/>
            <w:tcBorders/>
            <w:shd w:fill="CCEEFF" w:val="clear"/>
            <w:vAlign w:val="bottom"/>
          </w:tcPr>
          <w:p>
            <w:pPr>
              <w:pStyle w:val="TableContents"/>
              <w:bidi w:val="0"/>
              <w:spacing w:before="0" w:after="283"/>
              <w:jc w:val="right"/>
              <w:rPr/>
            </w:pPr>
            <w:r>
              <w:rPr/>
              <w:t>-248 bps</w:t>
            </w:r>
          </w:p>
        </w:tc>
        <w:tc>
          <w:tcPr>
            <w:tcW w:w="280" w:type="dxa"/>
            <w:tcBorders/>
            <w:shd w:fill="CCEEFF" w:val="clear"/>
            <w:vAlign w:val="bottom"/>
          </w:tcPr>
          <w:p>
            <w:pPr>
              <w:pStyle w:val="TableContents"/>
              <w:bidi w:val="0"/>
              <w:spacing w:before="0" w:after="283"/>
              <w:jc w:val="left"/>
              <w:rPr/>
            </w:pPr>
            <w:r>
              <w:rPr/>
              <w:t> </w:t>
            </w:r>
          </w:p>
        </w:tc>
      </w:tr>
      <w:tr>
        <w:trPr/>
        <w:tc>
          <w:tcPr>
            <w:tcW w:w="3982"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64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were the components of depreciation and amortization expenses for the third quarter of 2026, the second quarter of 2026, the third quarter of 2025, the first nine months of 2026, and the first nine months of 2025? </w:t>
            </w:r>
          </w:p>
        </w:tc>
      </w:tr>
    </w:tbl>
    <w:p>
      <w:pPr>
        <w:pStyle w:val="TextBody"/>
        <w:bidi w:val="0"/>
        <w:spacing w:before="120" w:after="0"/>
        <w:jc w:val="left"/>
        <w:rPr>
          <w:rFonts w:ascii="Arial" w:hAnsi="Arial"/>
          <w:sz w:val="20"/>
        </w:rPr>
      </w:pPr>
      <w:r>
        <w:rPr>
          <w:rFonts w:ascii="Arial" w:hAnsi="Arial"/>
          <w:sz w:val="20"/>
        </w:rPr>
        <w:t xml:space="preserve">The components of depreciation and amortization expenses for the third quarter of 2026, the second quarter of 2026, and the third quarter of 2025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3"/>
        <w:gridCol w:w="492"/>
        <w:gridCol w:w="405"/>
        <w:gridCol w:w="1105"/>
        <w:gridCol w:w="60"/>
        <w:gridCol w:w="492"/>
        <w:gridCol w:w="405"/>
        <w:gridCol w:w="1105"/>
        <w:gridCol w:w="60"/>
        <w:gridCol w:w="492"/>
        <w:gridCol w:w="465"/>
        <w:gridCol w:w="1307"/>
        <w:gridCol w:w="64"/>
      </w:tblGrid>
      <w:tr>
        <w:trPr/>
        <w:tc>
          <w:tcPr>
            <w:tcW w:w="3753"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5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772" w:type="dxa"/>
            <w:gridSpan w:val="2"/>
            <w:tcBorders/>
            <w:vAlign w:val="bottom"/>
          </w:tcPr>
          <w:p>
            <w:pPr>
              <w:pStyle w:val="TableContents"/>
              <w:bidi w:val="0"/>
              <w:spacing w:before="0" w:after="283"/>
              <w:jc w:val="center"/>
              <w:rPr/>
            </w:pPr>
            <w:r>
              <w:rPr/>
              <w:t>(Stated in millions)</w:t>
            </w:r>
          </w:p>
        </w:tc>
        <w:tc>
          <w:tcPr>
            <w:tcW w:w="64" w:type="dxa"/>
            <w:tcBorders/>
            <w:vAlign w:val="bottom"/>
          </w:tcPr>
          <w:p>
            <w:pPr>
              <w:pStyle w:val="TableContents"/>
              <w:bidi w:val="0"/>
              <w:spacing w:before="0" w:after="283"/>
              <w:jc w:val="left"/>
              <w:rPr/>
            </w:pPr>
            <w:r>
              <w:rPr/>
              <w:t> </w:t>
            </w:r>
          </w:p>
        </w:tc>
      </w:tr>
      <w:tr>
        <w:trPr/>
        <w:tc>
          <w:tcPr>
            <w:tcW w:w="3753"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br/>
              <w:t>2026</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2026</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772" w:type="dxa"/>
            <w:gridSpan w:val="2"/>
            <w:tcBorders>
              <w:bottom w:val="single" w:sz="8" w:space="0" w:color="000000"/>
            </w:tcBorders>
            <w:tcMar>
              <w:bottom w:w="28" w:type="dxa"/>
            </w:tcMar>
            <w:vAlign w:val="bottom"/>
          </w:tcPr>
          <w:p>
            <w:pPr>
              <w:pStyle w:val="TableContents"/>
              <w:bidi w:val="0"/>
              <w:spacing w:before="0" w:after="283"/>
              <w:jc w:val="center"/>
              <w:rPr/>
            </w:pPr>
            <w:r>
              <w:rPr/>
              <w:t>Third Quarter</w:t>
              <w:br/>
              <w:t>2025</w:t>
            </w:r>
          </w:p>
        </w:tc>
        <w:tc>
          <w:tcPr>
            <w:tcW w:w="64" w:type="dxa"/>
            <w:tcBorders/>
            <w:vAlign w:val="bottom"/>
          </w:tcPr>
          <w:p>
            <w:pPr>
              <w:pStyle w:val="TableContents"/>
              <w:bidi w:val="0"/>
              <w:spacing w:before="0" w:after="283"/>
              <w:jc w:val="left"/>
              <w:rPr/>
            </w:pPr>
            <w:r>
              <w:rPr/>
              <w:t> </w:t>
            </w:r>
          </w:p>
        </w:tc>
      </w:tr>
      <w:tr>
        <w:trPr/>
        <w:tc>
          <w:tcPr>
            <w:tcW w:w="3753" w:type="dxa"/>
            <w:tcBorders/>
            <w:shd w:fill="CCEEFF" w:val="clear"/>
          </w:tcPr>
          <w:p>
            <w:pPr>
              <w:pStyle w:val="TableContents"/>
              <w:bidi w:val="0"/>
              <w:spacing w:before="0" w:after="0"/>
              <w:jc w:val="left"/>
              <w:rPr>
                <w:rFonts w:ascii="Arial" w:hAnsi="Arial"/>
                <w:sz w:val="20"/>
              </w:rPr>
            </w:pPr>
            <w:r>
              <w:rPr>
                <w:rFonts w:ascii="Arial" w:hAnsi="Arial"/>
                <w:sz w:val="20"/>
              </w:rPr>
              <w:t>Depreciation of fixed assets</w:t>
            </w:r>
          </w:p>
        </w:tc>
        <w:tc>
          <w:tcPr>
            <w:tcW w:w="4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468</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473</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453</w:t>
            </w:r>
          </w:p>
        </w:tc>
        <w:tc>
          <w:tcPr>
            <w:tcW w:w="64" w:type="dxa"/>
            <w:tcBorders/>
            <w:shd w:fill="CCEEFF" w:val="clear"/>
            <w:vAlign w:val="bottom"/>
          </w:tcPr>
          <w:p>
            <w:pPr>
              <w:pStyle w:val="TableContents"/>
              <w:bidi w:val="0"/>
              <w:spacing w:before="0" w:after="283"/>
              <w:jc w:val="left"/>
              <w:rPr/>
            </w:pPr>
            <w:r>
              <w:rPr/>
              <w:t> </w:t>
            </w:r>
          </w:p>
        </w:tc>
      </w:tr>
      <w:tr>
        <w:trPr/>
        <w:tc>
          <w:tcPr>
            <w:tcW w:w="3753" w:type="dxa"/>
            <w:tcBorders/>
          </w:tcPr>
          <w:p>
            <w:pPr>
              <w:pStyle w:val="TableContents"/>
              <w:bidi w:val="0"/>
              <w:spacing w:before="0" w:after="0"/>
              <w:jc w:val="left"/>
              <w:rPr>
                <w:rFonts w:ascii="Arial" w:hAnsi="Arial"/>
                <w:sz w:val="20"/>
              </w:rPr>
            </w:pPr>
            <w:r>
              <w:rPr>
                <w:rFonts w:ascii="Arial" w:hAnsi="Arial"/>
                <w:sz w:val="20"/>
              </w:rPr>
              <w:t>Amortization of intangible assets</w:t>
            </w:r>
          </w:p>
        </w:tc>
        <w:tc>
          <w:tcPr>
            <w:tcW w:w="49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b/>
              </w:rPr>
            </w:pPr>
            <w:r>
              <w:rPr>
                <w:b/>
              </w:rPr>
              <w:t>113</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3753" w:type="dxa"/>
            <w:tcBorders/>
            <w:shd w:fill="CCEEFF" w:val="clear"/>
          </w:tcPr>
          <w:p>
            <w:pPr>
              <w:pStyle w:val="TableContents"/>
              <w:bidi w:val="0"/>
              <w:spacing w:before="0" w:after="0"/>
              <w:jc w:val="left"/>
              <w:rPr>
                <w:rFonts w:ascii="Arial" w:hAnsi="Arial"/>
                <w:sz w:val="20"/>
              </w:rPr>
            </w:pPr>
            <w:r>
              <w:rPr>
                <w:rFonts w:ascii="Arial" w:hAnsi="Arial"/>
                <w:sz w:val="20"/>
              </w:rPr>
              <w:t>Amortization of APS investments</w:t>
            </w:r>
          </w:p>
        </w:tc>
        <w:tc>
          <w:tcPr>
            <w:tcW w:w="4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b/>
              </w:rPr>
            </w:pPr>
            <w:r>
              <w:rPr>
                <w:b/>
              </w:rPr>
              <w:t>88</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60</w:t>
            </w:r>
          </w:p>
        </w:tc>
        <w:tc>
          <w:tcPr>
            <w:tcW w:w="64" w:type="dxa"/>
            <w:tcBorders/>
            <w:shd w:fill="CCEEFF" w:val="clear"/>
            <w:vAlign w:val="bottom"/>
          </w:tcPr>
          <w:p>
            <w:pPr>
              <w:pStyle w:val="TableContents"/>
              <w:bidi w:val="0"/>
              <w:spacing w:before="0" w:after="283"/>
              <w:jc w:val="left"/>
              <w:rPr/>
            </w:pPr>
            <w:r>
              <w:rPr/>
              <w:t> </w:t>
            </w:r>
          </w:p>
        </w:tc>
      </w:tr>
      <w:tr>
        <w:trPr/>
        <w:tc>
          <w:tcPr>
            <w:tcW w:w="3753" w:type="dxa"/>
            <w:tcBorders/>
          </w:tcPr>
          <w:p>
            <w:pPr>
              <w:pStyle w:val="TableContents"/>
              <w:bidi w:val="0"/>
              <w:spacing w:before="0" w:after="0"/>
              <w:jc w:val="left"/>
              <w:rPr>
                <w:rFonts w:ascii="Arial" w:hAnsi="Arial"/>
                <w:sz w:val="20"/>
              </w:rPr>
            </w:pPr>
            <w:r>
              <w:rPr>
                <w:rFonts w:ascii="Arial" w:hAnsi="Arial"/>
                <w:sz w:val="20"/>
              </w:rPr>
              <w:t>Amortization of exploration data costs capitalized</w:t>
            </w:r>
          </w:p>
        </w:tc>
        <w:tc>
          <w:tcPr>
            <w:tcW w:w="49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b/>
              </w:rPr>
            </w:pPr>
            <w:r>
              <w:rPr>
                <w:b/>
              </w:rPr>
              <w:t>29</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3753"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46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53" w:type="dxa"/>
            <w:tcBorders/>
            <w:shd w:fill="CCEEFF" w:val="clear"/>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698</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712</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638</w:t>
            </w:r>
          </w:p>
        </w:tc>
        <w:tc>
          <w:tcPr>
            <w:tcW w:w="64" w:type="dxa"/>
            <w:tcBorders/>
            <w:shd w:fill="CCEEFF" w:val="clear"/>
            <w:vAlign w:val="bottom"/>
          </w:tcPr>
          <w:p>
            <w:pPr>
              <w:pStyle w:val="TableContents"/>
              <w:bidi w:val="0"/>
              <w:spacing w:before="0" w:after="283"/>
              <w:jc w:val="left"/>
              <w:rPr/>
            </w:pPr>
            <w:r>
              <w:rPr/>
              <w:t> </w:t>
            </w:r>
          </w:p>
        </w:tc>
      </w:tr>
      <w:tr>
        <w:trPr/>
        <w:tc>
          <w:tcPr>
            <w:tcW w:w="3753"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46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20"/>
        </w:rPr>
      </w:pPr>
      <w:r>
        <w:rPr>
          <w:rFonts w:ascii="Arial" w:hAnsi="Arial"/>
          <w:sz w:val="20"/>
        </w:rPr>
        <w:t xml:space="preserve">The components of depreciation and amortization expenses for the first nine months of 2026 and the first nine months of 2025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65"/>
        <w:gridCol w:w="554"/>
        <w:gridCol w:w="268"/>
        <w:gridCol w:w="1082"/>
        <w:gridCol w:w="60"/>
        <w:gridCol w:w="554"/>
        <w:gridCol w:w="351"/>
        <w:gridCol w:w="1406"/>
        <w:gridCol w:w="65"/>
      </w:tblGrid>
      <w:tr>
        <w:trPr/>
        <w:tc>
          <w:tcPr>
            <w:tcW w:w="5865"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757" w:type="dxa"/>
            <w:gridSpan w:val="2"/>
            <w:tcBorders/>
            <w:vAlign w:val="bottom"/>
          </w:tcPr>
          <w:p>
            <w:pPr>
              <w:pStyle w:val="TableContents"/>
              <w:bidi w:val="0"/>
              <w:spacing w:before="0" w:after="283"/>
              <w:jc w:val="right"/>
              <w:rPr/>
            </w:pPr>
            <w:r>
              <w:rPr/>
              <w:t>(Stated in millions)</w:t>
            </w:r>
          </w:p>
        </w:tc>
        <w:tc>
          <w:tcPr>
            <w:tcW w:w="65" w:type="dxa"/>
            <w:tcBorders/>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2026</w:t>
            </w:r>
          </w:p>
        </w:tc>
        <w:tc>
          <w:tcPr>
            <w:tcW w:w="60"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757" w:type="dxa"/>
            <w:gridSpan w:val="2"/>
            <w:tcBorders>
              <w:bottom w:val="single" w:sz="8" w:space="0" w:color="000000"/>
            </w:tcBorders>
            <w:tcMar>
              <w:bottom w:w="28" w:type="dxa"/>
            </w:tcMar>
            <w:vAlign w:val="bottom"/>
          </w:tcPr>
          <w:p>
            <w:pPr>
              <w:pStyle w:val="TableContents"/>
              <w:bidi w:val="0"/>
              <w:spacing w:before="0" w:after="283"/>
              <w:jc w:val="center"/>
              <w:rPr/>
            </w:pPr>
            <w:r>
              <w:rPr/>
              <w:t>Nine Months</w:t>
              <w:br/>
              <w:t>2025</w:t>
            </w:r>
          </w:p>
        </w:tc>
        <w:tc>
          <w:tcPr>
            <w:tcW w:w="65" w:type="dxa"/>
            <w:tcBorders/>
            <w:vAlign w:val="bottom"/>
          </w:tcPr>
          <w:p>
            <w:pPr>
              <w:pStyle w:val="TableContents"/>
              <w:bidi w:val="0"/>
              <w:spacing w:before="0" w:after="283"/>
              <w:jc w:val="left"/>
              <w:rPr/>
            </w:pPr>
            <w:r>
              <w:rPr/>
              <w:t> </w:t>
            </w:r>
          </w:p>
        </w:tc>
      </w:tr>
      <w:tr>
        <w:trPr/>
        <w:tc>
          <w:tcPr>
            <w:tcW w:w="5865" w:type="dxa"/>
            <w:tcBorders/>
            <w:shd w:fill="CCEEFF" w:val="clear"/>
          </w:tcPr>
          <w:p>
            <w:pPr>
              <w:pStyle w:val="TableContents"/>
              <w:bidi w:val="0"/>
              <w:spacing w:before="0" w:after="0"/>
              <w:jc w:val="left"/>
              <w:rPr>
                <w:rFonts w:ascii="Arial" w:hAnsi="Arial"/>
                <w:sz w:val="20"/>
              </w:rPr>
            </w:pPr>
            <w:r>
              <w:rPr>
                <w:rFonts w:ascii="Arial" w:hAnsi="Arial"/>
                <w:sz w:val="20"/>
              </w:rPr>
              <w:t>Depreciation of fixed assets</w:t>
            </w:r>
          </w:p>
        </w:tc>
        <w:tc>
          <w:tcPr>
            <w:tcW w:w="554"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b/>
              </w:rPr>
            </w:pPr>
            <w:r>
              <w:rPr>
                <w:b/>
              </w:rPr>
              <w:t>$</w:t>
            </w:r>
          </w:p>
        </w:tc>
        <w:tc>
          <w:tcPr>
            <w:tcW w:w="1082" w:type="dxa"/>
            <w:tcBorders/>
            <w:shd w:fill="CCEEFF" w:val="clear"/>
            <w:vAlign w:val="bottom"/>
          </w:tcPr>
          <w:p>
            <w:pPr>
              <w:pStyle w:val="TableContents"/>
              <w:bidi w:val="0"/>
              <w:spacing w:before="0" w:after="283"/>
              <w:jc w:val="right"/>
              <w:rPr>
                <w:b/>
              </w:rPr>
            </w:pPr>
            <w:r>
              <w:rPr>
                <w:b/>
              </w:rPr>
              <w:t>1,405</w:t>
            </w:r>
          </w:p>
        </w:tc>
        <w:tc>
          <w:tcPr>
            <w:tcW w:w="60"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1,258</w:t>
            </w:r>
          </w:p>
        </w:tc>
        <w:tc>
          <w:tcPr>
            <w:tcW w:w="65" w:type="dxa"/>
            <w:tcBorders/>
            <w:shd w:fill="CCEEFF" w:val="clear"/>
            <w:vAlign w:val="bottom"/>
          </w:tcPr>
          <w:p>
            <w:pPr>
              <w:pStyle w:val="TableContents"/>
              <w:bidi w:val="0"/>
              <w:spacing w:before="0" w:after="283"/>
              <w:jc w:val="left"/>
              <w:rPr/>
            </w:pPr>
            <w:r>
              <w:rPr/>
              <w:t> </w:t>
            </w:r>
          </w:p>
        </w:tc>
      </w:tr>
      <w:tr>
        <w:trPr/>
        <w:tc>
          <w:tcPr>
            <w:tcW w:w="5865" w:type="dxa"/>
            <w:tcBorders/>
          </w:tcPr>
          <w:p>
            <w:pPr>
              <w:pStyle w:val="TableContents"/>
              <w:bidi w:val="0"/>
              <w:spacing w:before="0" w:after="0"/>
              <w:jc w:val="left"/>
              <w:rPr>
                <w:rFonts w:ascii="Arial" w:hAnsi="Arial"/>
                <w:sz w:val="20"/>
              </w:rPr>
            </w:pPr>
            <w:r>
              <w:rPr>
                <w:rFonts w:ascii="Arial" w:hAnsi="Arial"/>
                <w:sz w:val="20"/>
              </w:rPr>
              <w:t>Amortization of intangible assets</w:t>
            </w:r>
          </w:p>
        </w:tc>
        <w:tc>
          <w:tcPr>
            <w:tcW w:w="554"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b/>
              </w:rPr>
            </w:pPr>
            <w:r>
              <w:rPr>
                <w:b/>
              </w:rPr>
              <w:t>$</w:t>
            </w:r>
          </w:p>
        </w:tc>
        <w:tc>
          <w:tcPr>
            <w:tcW w:w="1082" w:type="dxa"/>
            <w:tcBorders/>
            <w:vAlign w:val="bottom"/>
          </w:tcPr>
          <w:p>
            <w:pPr>
              <w:pStyle w:val="TableContents"/>
              <w:bidi w:val="0"/>
              <w:spacing w:before="0" w:after="283"/>
              <w:jc w:val="right"/>
              <w:rPr>
                <w:b/>
              </w:rPr>
            </w:pPr>
            <w:r>
              <w:rPr>
                <w:b/>
              </w:rPr>
              <w:t>334</w:t>
            </w:r>
          </w:p>
        </w:tc>
        <w:tc>
          <w:tcPr>
            <w:tcW w:w="60"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w:t>
            </w:r>
          </w:p>
        </w:tc>
        <w:tc>
          <w:tcPr>
            <w:tcW w:w="1406" w:type="dxa"/>
            <w:tcBorders/>
            <w:vAlign w:val="bottom"/>
          </w:tcPr>
          <w:p>
            <w:pPr>
              <w:pStyle w:val="TableContents"/>
              <w:bidi w:val="0"/>
              <w:spacing w:before="0" w:after="283"/>
              <w:jc w:val="right"/>
              <w:rPr/>
            </w:pPr>
            <w:r>
              <w:rPr/>
              <w:t>265</w:t>
            </w:r>
          </w:p>
        </w:tc>
        <w:tc>
          <w:tcPr>
            <w:tcW w:w="65" w:type="dxa"/>
            <w:tcBorders/>
            <w:vAlign w:val="bottom"/>
          </w:tcPr>
          <w:p>
            <w:pPr>
              <w:pStyle w:val="TableContents"/>
              <w:bidi w:val="0"/>
              <w:spacing w:before="0" w:after="283"/>
              <w:jc w:val="left"/>
              <w:rPr/>
            </w:pPr>
            <w:r>
              <w:rPr/>
              <w:t> </w:t>
            </w:r>
          </w:p>
        </w:tc>
      </w:tr>
      <w:tr>
        <w:trPr/>
        <w:tc>
          <w:tcPr>
            <w:tcW w:w="5865" w:type="dxa"/>
            <w:tcBorders/>
            <w:shd w:fill="CCEEFF" w:val="clear"/>
          </w:tcPr>
          <w:p>
            <w:pPr>
              <w:pStyle w:val="TableContents"/>
              <w:bidi w:val="0"/>
              <w:spacing w:before="0" w:after="0"/>
              <w:jc w:val="left"/>
              <w:rPr>
                <w:rFonts w:ascii="Arial" w:hAnsi="Arial"/>
                <w:sz w:val="20"/>
              </w:rPr>
            </w:pPr>
            <w:r>
              <w:rPr>
                <w:rFonts w:ascii="Arial" w:hAnsi="Arial"/>
                <w:sz w:val="20"/>
              </w:rPr>
              <w:t>Amortization of APS investments</w:t>
            </w:r>
          </w:p>
        </w:tc>
        <w:tc>
          <w:tcPr>
            <w:tcW w:w="554"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b/>
              </w:rPr>
            </w:pPr>
            <w:r>
              <w:rPr>
                <w:b/>
              </w:rPr>
              <w:t>$</w:t>
            </w:r>
          </w:p>
        </w:tc>
        <w:tc>
          <w:tcPr>
            <w:tcW w:w="1082" w:type="dxa"/>
            <w:tcBorders/>
            <w:shd w:fill="CCEEFF" w:val="clear"/>
            <w:vAlign w:val="bottom"/>
          </w:tcPr>
          <w:p>
            <w:pPr>
              <w:pStyle w:val="TableContents"/>
              <w:bidi w:val="0"/>
              <w:spacing w:before="0" w:after="283"/>
              <w:jc w:val="right"/>
              <w:rPr>
                <w:b/>
              </w:rPr>
            </w:pPr>
            <w:r>
              <w:rPr>
                <w:b/>
              </w:rPr>
              <w:t>253</w:t>
            </w:r>
          </w:p>
        </w:tc>
        <w:tc>
          <w:tcPr>
            <w:tcW w:w="60"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285</w:t>
            </w:r>
          </w:p>
        </w:tc>
        <w:tc>
          <w:tcPr>
            <w:tcW w:w="65" w:type="dxa"/>
            <w:tcBorders/>
            <w:shd w:fill="CCEEFF" w:val="clear"/>
            <w:vAlign w:val="bottom"/>
          </w:tcPr>
          <w:p>
            <w:pPr>
              <w:pStyle w:val="TableContents"/>
              <w:bidi w:val="0"/>
              <w:spacing w:before="0" w:after="283"/>
              <w:jc w:val="left"/>
              <w:rPr/>
            </w:pPr>
            <w:r>
              <w:rPr/>
              <w:t> </w:t>
            </w:r>
          </w:p>
        </w:tc>
      </w:tr>
      <w:tr>
        <w:trPr/>
        <w:tc>
          <w:tcPr>
            <w:tcW w:w="5865" w:type="dxa"/>
            <w:tcBorders/>
          </w:tcPr>
          <w:p>
            <w:pPr>
              <w:pStyle w:val="TableContents"/>
              <w:bidi w:val="0"/>
              <w:spacing w:before="0" w:after="0"/>
              <w:jc w:val="left"/>
              <w:rPr>
                <w:rFonts w:ascii="Arial" w:hAnsi="Arial"/>
                <w:sz w:val="20"/>
              </w:rPr>
            </w:pPr>
            <w:r>
              <w:rPr>
                <w:rFonts w:ascii="Arial" w:hAnsi="Arial"/>
                <w:sz w:val="20"/>
              </w:rPr>
              <w:t>Amortization of exploration data costs capitalized</w:t>
            </w:r>
          </w:p>
        </w:tc>
        <w:tc>
          <w:tcPr>
            <w:tcW w:w="554"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b/>
              </w:rPr>
            </w:pPr>
            <w:r>
              <w:rPr>
                <w:b/>
              </w:rPr>
              <w:t>$</w:t>
            </w:r>
          </w:p>
        </w:tc>
        <w:tc>
          <w:tcPr>
            <w:tcW w:w="1082" w:type="dxa"/>
            <w:tcBorders/>
            <w:vAlign w:val="bottom"/>
          </w:tcPr>
          <w:p>
            <w:pPr>
              <w:pStyle w:val="TableContents"/>
              <w:bidi w:val="0"/>
              <w:spacing w:before="0" w:after="283"/>
              <w:jc w:val="right"/>
              <w:rPr>
                <w:b/>
              </w:rPr>
            </w:pPr>
            <w:r>
              <w:rPr>
                <w:b/>
              </w:rPr>
              <w:t>103</w:t>
            </w:r>
          </w:p>
        </w:tc>
        <w:tc>
          <w:tcPr>
            <w:tcW w:w="60"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w:t>
            </w:r>
          </w:p>
        </w:tc>
        <w:tc>
          <w:tcPr>
            <w:tcW w:w="1406" w:type="dxa"/>
            <w:tcBorders/>
            <w:vAlign w:val="bottom"/>
          </w:tcPr>
          <w:p>
            <w:pPr>
              <w:pStyle w:val="TableContents"/>
              <w:bidi w:val="0"/>
              <w:spacing w:before="0" w:after="283"/>
              <w:jc w:val="right"/>
              <w:rPr/>
            </w:pPr>
            <w:r>
              <w:rPr/>
              <w:t>103</w:t>
            </w:r>
          </w:p>
        </w:tc>
        <w:tc>
          <w:tcPr>
            <w:tcW w:w="65" w:type="dxa"/>
            <w:tcBorders/>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140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65" w:type="dxa"/>
            <w:tcBorders/>
            <w:shd w:fill="CCEEFF" w:val="clear"/>
          </w:tcPr>
          <w:p>
            <w:pPr>
              <w:pStyle w:val="TableContents"/>
              <w:bidi w:val="0"/>
              <w:spacing w:before="0" w:after="283"/>
              <w:jc w:val="left"/>
              <w:rPr>
                <w:sz w:val="4"/>
                <w:szCs w:val="4"/>
              </w:rPr>
            </w:pPr>
            <w:r>
              <w:rPr>
                <w:sz w:val="4"/>
                <w:szCs w:val="4"/>
              </w:rPr>
            </w:r>
          </w:p>
        </w:tc>
        <w:tc>
          <w:tcPr>
            <w:tcW w:w="554"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b/>
              </w:rPr>
            </w:pPr>
            <w:r>
              <w:rPr>
                <w:b/>
              </w:rPr>
              <w:t>$</w:t>
            </w:r>
          </w:p>
        </w:tc>
        <w:tc>
          <w:tcPr>
            <w:tcW w:w="1082" w:type="dxa"/>
            <w:tcBorders/>
            <w:shd w:fill="CCEEFF" w:val="clear"/>
            <w:vAlign w:val="bottom"/>
          </w:tcPr>
          <w:p>
            <w:pPr>
              <w:pStyle w:val="TableContents"/>
              <w:bidi w:val="0"/>
              <w:spacing w:before="0" w:after="283"/>
              <w:jc w:val="right"/>
              <w:rPr>
                <w:b/>
              </w:rPr>
            </w:pPr>
            <w:r>
              <w:rPr>
                <w:b/>
              </w:rPr>
              <w:t>2,095</w:t>
            </w:r>
          </w:p>
        </w:tc>
        <w:tc>
          <w:tcPr>
            <w:tcW w:w="60"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1,911</w:t>
            </w:r>
          </w:p>
        </w:tc>
        <w:tc>
          <w:tcPr>
            <w:tcW w:w="65" w:type="dxa"/>
            <w:tcBorders/>
            <w:shd w:fill="CCEEFF" w:val="clear"/>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140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are the revenue categories in the Digital Division that offer solutions to SLB’s customers? </w:t>
            </w:r>
          </w:p>
        </w:tc>
      </w:tr>
    </w:tbl>
    <w:p>
      <w:pPr>
        <w:pStyle w:val="TextBody"/>
        <w:bidi w:val="0"/>
        <w:spacing w:before="120" w:after="0"/>
        <w:jc w:val="left"/>
        <w:rPr>
          <w:rFonts w:ascii="Arial" w:hAnsi="Arial"/>
          <w:sz w:val="20"/>
        </w:rPr>
      </w:pPr>
      <w:r>
        <w:rPr>
          <w:rFonts w:ascii="Arial" w:hAnsi="Arial"/>
          <w:sz w:val="20"/>
        </w:rPr>
        <w:t xml:space="preserve">Within Digital, revenue is generated from four key solutions — Platforms &amp; Applications, Digital Operations, Digital Exploration and Professional Services. </w:t>
      </w:r>
    </w:p>
    <w:p>
      <w:pPr>
        <w:pStyle w:val="TextBody"/>
        <w:bidi w:val="0"/>
        <w:spacing w:before="120" w:after="0"/>
        <w:jc w:val="left"/>
        <w:rPr>
          <w:rFonts w:ascii="Arial" w:hAnsi="Arial"/>
          <w:sz w:val="20"/>
        </w:rPr>
      </w:pPr>
      <w:r>
        <w:rPr>
          <w:rFonts w:ascii="Arial" w:hAnsi="Arial"/>
          <w:b/>
          <w:sz w:val="20"/>
        </w:rPr>
        <w:t>Platforms</w:t>
      </w:r>
      <w:r>
        <w:rPr>
          <w:rFonts w:ascii="Arial" w:hAnsi="Arial"/>
          <w:sz w:val="20"/>
        </w:rPr>
        <w:t> </w:t>
      </w:r>
      <w:r>
        <w:rPr>
          <w:rFonts w:ascii="Arial" w:hAnsi="Arial"/>
          <w:b/>
          <w:sz w:val="20"/>
        </w:rPr>
        <w:t>&amp; Applications</w:t>
      </w:r>
      <w:r>
        <w:rPr>
          <w:rFonts w:ascii="Arial" w:hAnsi="Arial"/>
          <w:sz w:val="20"/>
        </w:rPr>
        <w:t xml:space="preserve"> includes SLB’s cloud technologies such as the Delfi and Lumi platforms, along with a suite of specialized, domain-focused applications such as Petrel and Techlog offered as SaaS subscription or perpetual licenses. These platforms and applications automate complex models to simulate the impact of reservoir development plans and aid in the planning of key operations such as drilling, completion and production designs. Additionally, they unlock data and utilize AI and machine learning to reduce cycle time and improve efficiency of workflows to allow customers to make better, faster decisions to improve their project economics and reservoir performance. </w:t>
      </w:r>
    </w:p>
    <w:p>
      <w:pPr>
        <w:pStyle w:val="TextBody"/>
        <w:bidi w:val="0"/>
        <w:spacing w:before="120" w:after="0"/>
        <w:jc w:val="left"/>
        <w:rPr>
          <w:rFonts w:ascii="Arial" w:hAnsi="Arial"/>
          <w:sz w:val="20"/>
        </w:rPr>
      </w:pPr>
      <w:r>
        <w:rPr>
          <w:rFonts w:ascii="Arial" w:hAnsi="Arial"/>
          <w:sz w:val="20"/>
        </w:rPr>
        <w:t xml:space="preserve">Revenue is recurring (with exception of one-off license sales) underpinned by a substantial base of ARR from a globally installed base, complemented by customer adoption of new cloud-based capabilities and IoT-enabled solutions. </w:t>
      </w:r>
    </w:p>
    <w:p>
      <w:pPr>
        <w:pStyle w:val="TextBody"/>
        <w:bidi w:val="0"/>
        <w:spacing w:before="120" w:after="0"/>
        <w:jc w:val="left"/>
        <w:rPr>
          <w:rFonts w:ascii="Arial" w:hAnsi="Arial"/>
          <w:sz w:val="20"/>
        </w:rPr>
      </w:pPr>
      <w:r>
        <w:rPr>
          <w:rFonts w:ascii="Arial" w:hAnsi="Arial"/>
          <w:sz w:val="20"/>
        </w:rPr>
        <w:t xml:space="preserve">This category has best-in-class retention rates and limited churn. </w:t>
      </w:r>
    </w:p>
    <w:p>
      <w:pPr>
        <w:pStyle w:val="TextBody"/>
        <w:bidi w:val="0"/>
        <w:spacing w:before="120" w:after="0"/>
        <w:jc w:val="left"/>
        <w:rPr>
          <w:rFonts w:ascii="Arial" w:hAnsi="Arial"/>
          <w:sz w:val="20"/>
        </w:rPr>
      </w:pPr>
      <w:r>
        <w:rPr>
          <w:rFonts w:ascii="Arial" w:hAnsi="Arial"/>
          <w:b/>
          <w:sz w:val="20"/>
        </w:rPr>
        <w:t>Digital Operations</w:t>
      </w:r>
      <w:r>
        <w:rPr>
          <w:rFonts w:ascii="Arial" w:hAnsi="Arial"/>
          <w:sz w:val="20"/>
        </w:rPr>
        <w:t xml:space="preserve"> combines the unique strengths of SLB’s oilfield services with advanced digital technologies to deliver more reliable, efficient and autonomous field operations. By integrating connected solutions with Performance Live digital service delivery centers, customers gain real-time monitoring, remote decision making and automated execution across their workflows from autonomous drilling to automated well intervention, all while reducing costs and improving project economics. </w:t>
      </w:r>
    </w:p>
    <w:p>
      <w:pPr>
        <w:pStyle w:val="TextBody"/>
        <w:bidi w:val="0"/>
        <w:spacing w:before="120" w:after="0"/>
        <w:jc w:val="left"/>
        <w:rPr>
          <w:rFonts w:ascii="Arial" w:hAnsi="Arial"/>
          <w:sz w:val="20"/>
        </w:rPr>
      </w:pPr>
      <w:r>
        <w:rPr>
          <w:rFonts w:ascii="Arial" w:hAnsi="Arial"/>
          <w:sz w:val="20"/>
        </w:rPr>
        <w:t xml:space="preserve">Revenue is generated from the same customer base as the Core divisions and is, therefore, repeatable. Additionally, a portion of the revenue is recurring in nature. </w:t>
      </w:r>
    </w:p>
    <w:p>
      <w:pPr>
        <w:pStyle w:val="TextBody"/>
        <w:bidi w:val="0"/>
        <w:spacing w:before="120" w:after="0"/>
        <w:jc w:val="left"/>
        <w:rPr>
          <w:rFonts w:ascii="Arial" w:hAnsi="Arial"/>
          <w:sz w:val="20"/>
        </w:rPr>
      </w:pPr>
      <w:r>
        <w:rPr>
          <w:rFonts w:ascii="Arial" w:hAnsi="Arial"/>
          <w:sz w:val="20"/>
        </w:rPr>
        <w:t xml:space="preserve">To incentivize the Core divisions — Well Construction, Reservoir Performance and Production Systems — and Digital to develop and promote this category, the resulting revenue is recognized in both the respective Core division as well as in the Digital Division. This effect is eliminated in consolidation. </w:t>
      </w:r>
    </w:p>
    <w:p>
      <w:pPr>
        <w:pStyle w:val="TextBody"/>
        <w:bidi w:val="0"/>
        <w:spacing w:before="120" w:after="0"/>
        <w:jc w:val="left"/>
        <w:rPr>
          <w:rFonts w:ascii="Arial" w:hAnsi="Arial"/>
          <w:sz w:val="20"/>
        </w:rPr>
      </w:pPr>
      <w:r>
        <w:rPr>
          <w:rFonts w:ascii="Arial" w:hAnsi="Arial"/>
          <w:b/>
          <w:sz w:val="20"/>
        </w:rPr>
        <w:t>Digital Exploration</w:t>
      </w:r>
      <w:r>
        <w:rPr>
          <w:rFonts w:ascii="Arial" w:hAnsi="Arial"/>
          <w:sz w:val="20"/>
        </w:rPr>
        <w:t xml:space="preserve"> represents SLB’s exploration data business. The exploration data library is a differentiated asset library of seismic surveys and other subsurface data that customers rely on for better exploration and development decisions. These licensed datasets also support carbon storage design and monitoring. The library covers key exploration and producing basins worldwide and datasets are refreshed and reprocessed to benefit from the latest imaging algorithms and AI technologies, enabled by high-performance cloud computing. Revenue is generated from one-time, non-transferable license sales and is therefore non-recurring in nature. </w:t>
      </w:r>
    </w:p>
    <w:p>
      <w:pPr>
        <w:pStyle w:val="TextBody"/>
        <w:bidi w:val="0"/>
        <w:spacing w:before="120" w:after="0"/>
        <w:jc w:val="left"/>
        <w:rPr>
          <w:rFonts w:ascii="Arial" w:hAnsi="Arial"/>
          <w:sz w:val="20"/>
        </w:rPr>
      </w:pPr>
      <w:r>
        <w:rPr>
          <w:rFonts w:ascii="Arial" w:hAnsi="Arial"/>
          <w:b/>
          <w:sz w:val="20"/>
        </w:rPr>
        <w:t>Professional Services</w:t>
      </w:r>
      <w:r>
        <w:rPr>
          <w:rFonts w:ascii="Arial" w:hAnsi="Arial"/>
          <w:sz w:val="20"/>
        </w:rPr>
        <w:t xml:space="preserve"> includes consulting and other services required to support customers’ digital transformations. These services include transition support from on-prem to cloud-based digital solutions, data clean-up and migration, workflow automation — including deployment of workflow solutions built within SLB’s global network of Innovation Factori workspaces — and training to further enable customers’ digital transformations. </w:t>
      </w:r>
    </w:p>
    <w:p>
      <w:pPr>
        <w:pStyle w:val="TextBody"/>
        <w:bidi w:val="0"/>
        <w:spacing w:before="120" w:after="0"/>
        <w:jc w:val="left"/>
        <w:rPr>
          <w:rFonts w:ascii="Arial" w:hAnsi="Arial"/>
          <w:sz w:val="20"/>
        </w:rPr>
      </w:pPr>
      <w:r>
        <w:rPr>
          <w:rFonts w:ascii="Arial" w:hAnsi="Arial"/>
          <w:sz w:val="20"/>
        </w:rPr>
        <w:t xml:space="preserve">Revenue in this category is largely project-based, and repetitive engagements with the same customers are common. These services generate pull-through opportunities across other digital revenue streams.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How much revenue was generated from each of the categories comprising the Digital Division in the first nine months of 2026 and the first nine months of 2025? What is the pretax operating income and adjusted EBITDA of the Digital Division for those periods? </w:t>
            </w:r>
          </w:p>
        </w:tc>
      </w:tr>
    </w:tbl>
    <w:p>
      <w:pPr>
        <w:pStyle w:val="TextBody"/>
        <w:bidi w:val="0"/>
        <w:spacing w:before="120" w:after="0"/>
        <w:jc w:val="left"/>
        <w:rPr>
          <w:rFonts w:ascii="Arial" w:hAnsi="Arial"/>
          <w:sz w:val="20"/>
        </w:rPr>
      </w:pPr>
      <w:r>
        <w:rPr>
          <w:rFonts w:ascii="Arial" w:hAnsi="Arial"/>
          <w:sz w:val="20"/>
        </w:rPr>
        <w:t xml:space="preserve">Digital revenue, pretax operating income, and adjusted EBITDA in the first nine months of 2026 and first nine months of 2025 are detailed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2"/>
        <w:gridCol w:w="366"/>
        <w:gridCol w:w="178"/>
        <w:gridCol w:w="720"/>
        <w:gridCol w:w="375"/>
        <w:gridCol w:w="278"/>
        <w:gridCol w:w="171"/>
        <w:gridCol w:w="699"/>
        <w:gridCol w:w="275"/>
        <w:gridCol w:w="270"/>
        <w:gridCol w:w="132"/>
        <w:gridCol w:w="1705"/>
        <w:gridCol w:w="64"/>
      </w:tblGrid>
      <w:tr>
        <w:trPr/>
        <w:tc>
          <w:tcPr>
            <w:tcW w:w="4972"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7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4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837" w:type="dxa"/>
            <w:gridSpan w:val="2"/>
            <w:tcBorders>
              <w:bottom w:val="single" w:sz="8" w:space="0" w:color="000000"/>
            </w:tcBorders>
            <w:tcMar>
              <w:bottom w:w="28" w:type="dxa"/>
            </w:tcMar>
            <w:vAlign w:val="bottom"/>
          </w:tcPr>
          <w:p>
            <w:pPr>
              <w:pStyle w:val="TableContents"/>
              <w:bidi w:val="0"/>
              <w:spacing w:before="0" w:after="283"/>
              <w:jc w:val="center"/>
              <w:rPr/>
            </w:pPr>
            <w:r>
              <w:rPr/>
              <w:t>(Stated in millions)</w:t>
              <w:br/>
            </w:r>
            <w:r>
              <w:rPr>
                <w:b/>
              </w:rPr>
              <w:t>Change</w:t>
            </w:r>
          </w:p>
        </w:tc>
        <w:tc>
          <w:tcPr>
            <w:tcW w:w="64" w:type="dxa"/>
            <w:tcBorders/>
            <w:vAlign w:val="bottom"/>
          </w:tcPr>
          <w:p>
            <w:pPr>
              <w:pStyle w:val="TableContents"/>
              <w:bidi w:val="0"/>
              <w:spacing w:before="0" w:after="283"/>
              <w:jc w:val="left"/>
              <w:rPr/>
            </w:pPr>
            <w:r>
              <w:rPr/>
              <w:t> </w:t>
            </w:r>
          </w:p>
        </w:tc>
      </w:tr>
      <w:tr>
        <w:trPr/>
        <w:tc>
          <w:tcPr>
            <w:tcW w:w="497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37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Year-on-year</w:t>
            </w:r>
          </w:p>
        </w:tc>
        <w:tc>
          <w:tcPr>
            <w:tcW w:w="64" w:type="dxa"/>
            <w:tcBorders/>
            <w:vAlign w:val="bottom"/>
          </w:tcPr>
          <w:p>
            <w:pPr>
              <w:pStyle w:val="TableContents"/>
              <w:bidi w:val="0"/>
              <w:spacing w:before="0" w:after="283"/>
              <w:jc w:val="left"/>
              <w:rPr/>
            </w:pPr>
            <w:r>
              <w:rPr/>
              <w:t> </w:t>
            </w:r>
          </w:p>
        </w:tc>
      </w:tr>
      <w:tr>
        <w:trPr/>
        <w:tc>
          <w:tcPr>
            <w:tcW w:w="4972"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36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2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69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70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72" w:type="dxa"/>
            <w:tcBorders/>
            <w:vAlign w:val="bottom"/>
          </w:tcPr>
          <w:p>
            <w:pPr>
              <w:pStyle w:val="TableContents"/>
              <w:bidi w:val="0"/>
              <w:spacing w:before="0" w:after="0"/>
              <w:jc w:val="left"/>
              <w:rPr>
                <w:rFonts w:ascii="Arial" w:hAnsi="Arial"/>
                <w:sz w:val="20"/>
              </w:rPr>
            </w:pPr>
            <w:r>
              <w:rPr>
                <w:rFonts w:ascii="Arial" w:hAnsi="Arial"/>
                <w:sz w:val="20"/>
              </w:rPr>
              <w:t>Platforms &amp; Applications</w:t>
            </w:r>
          </w:p>
        </w:tc>
        <w:tc>
          <w:tcPr>
            <w:tcW w:w="36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20" w:type="dxa"/>
            <w:tcBorders/>
            <w:vAlign w:val="bottom"/>
          </w:tcPr>
          <w:p>
            <w:pPr>
              <w:pStyle w:val="TableContents"/>
              <w:bidi w:val="0"/>
              <w:spacing w:before="0" w:after="283"/>
              <w:jc w:val="right"/>
              <w:rPr>
                <w:b/>
              </w:rPr>
            </w:pPr>
            <w:r>
              <w:rPr>
                <w:b/>
              </w:rPr>
              <w:t>797</w:t>
            </w:r>
          </w:p>
        </w:tc>
        <w:tc>
          <w:tcPr>
            <w:tcW w:w="37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699" w:type="dxa"/>
            <w:tcBorders/>
            <w:vAlign w:val="bottom"/>
          </w:tcPr>
          <w:p>
            <w:pPr>
              <w:pStyle w:val="TableContents"/>
              <w:bidi w:val="0"/>
              <w:spacing w:before="0" w:after="283"/>
              <w:jc w:val="right"/>
              <w:rPr/>
            </w:pPr>
            <w:r>
              <w:rPr/>
              <w:t>774</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05" w:type="dxa"/>
            <w:tcBorders/>
            <w:vAlign w:val="bottom"/>
          </w:tcPr>
          <w:p>
            <w:pPr>
              <w:pStyle w:val="TableContents"/>
              <w:bidi w:val="0"/>
              <w:spacing w:before="0" w:after="283"/>
              <w:jc w:val="center"/>
              <w:rPr>
                <w:b/>
              </w:rPr>
            </w:pPr>
            <w:r>
              <w:rPr>
                <w:b/>
              </w:rPr>
              <w:t>3%</w:t>
            </w:r>
          </w:p>
        </w:tc>
        <w:tc>
          <w:tcPr>
            <w:tcW w:w="64" w:type="dxa"/>
            <w:tcBorders/>
            <w:vAlign w:val="bottom"/>
          </w:tcPr>
          <w:p>
            <w:pPr>
              <w:pStyle w:val="TableContents"/>
              <w:bidi w:val="0"/>
              <w:spacing w:before="0" w:after="283"/>
              <w:jc w:val="left"/>
              <w:rPr/>
            </w:pPr>
            <w:r>
              <w:rPr/>
              <w:t> </w:t>
            </w:r>
          </w:p>
        </w:tc>
      </w:tr>
      <w:tr>
        <w:trPr/>
        <w:tc>
          <w:tcPr>
            <w:tcW w:w="4972"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 Operations</w:t>
            </w:r>
          </w:p>
        </w:tc>
        <w:tc>
          <w:tcPr>
            <w:tcW w:w="36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b/>
              </w:rPr>
            </w:pPr>
            <w:r>
              <w:rPr>
                <w:b/>
              </w:rPr>
              <w:t>454</w:t>
            </w:r>
          </w:p>
        </w:tc>
        <w:tc>
          <w:tcPr>
            <w:tcW w:w="37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302</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center"/>
              <w:rPr>
                <w:b/>
              </w:rPr>
            </w:pPr>
            <w:r>
              <w:rPr>
                <w:b/>
              </w:rPr>
              <w:t>50%</w:t>
            </w:r>
          </w:p>
        </w:tc>
        <w:tc>
          <w:tcPr>
            <w:tcW w:w="64" w:type="dxa"/>
            <w:tcBorders/>
            <w:shd w:fill="CCEEFF" w:val="clear"/>
            <w:vAlign w:val="bottom"/>
          </w:tcPr>
          <w:p>
            <w:pPr>
              <w:pStyle w:val="TableContents"/>
              <w:bidi w:val="0"/>
              <w:spacing w:before="0" w:after="283"/>
              <w:jc w:val="left"/>
              <w:rPr/>
            </w:pPr>
            <w:r>
              <w:rPr/>
              <w:t> </w:t>
            </w:r>
          </w:p>
        </w:tc>
      </w:tr>
      <w:tr>
        <w:trPr/>
        <w:tc>
          <w:tcPr>
            <w:tcW w:w="4972" w:type="dxa"/>
            <w:tcBorders/>
            <w:vAlign w:val="bottom"/>
          </w:tcPr>
          <w:p>
            <w:pPr>
              <w:pStyle w:val="TableContents"/>
              <w:bidi w:val="0"/>
              <w:spacing w:before="0" w:after="0"/>
              <w:jc w:val="left"/>
              <w:rPr>
                <w:rFonts w:ascii="Arial" w:hAnsi="Arial"/>
                <w:sz w:val="20"/>
              </w:rPr>
            </w:pPr>
            <w:r>
              <w:rPr>
                <w:rFonts w:ascii="Arial" w:hAnsi="Arial"/>
                <w:sz w:val="20"/>
              </w:rPr>
              <w:t>Digital Exploration</w:t>
            </w:r>
          </w:p>
        </w:tc>
        <w:tc>
          <w:tcPr>
            <w:tcW w:w="36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b/>
              </w:rPr>
            </w:pPr>
            <w:r>
              <w:rPr>
                <w:b/>
              </w:rPr>
              <w:t>306</w:t>
            </w:r>
          </w:p>
        </w:tc>
        <w:tc>
          <w:tcPr>
            <w:tcW w:w="37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253</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05" w:type="dxa"/>
            <w:tcBorders/>
            <w:vAlign w:val="bottom"/>
          </w:tcPr>
          <w:p>
            <w:pPr>
              <w:pStyle w:val="TableContents"/>
              <w:bidi w:val="0"/>
              <w:spacing w:before="0" w:after="283"/>
              <w:jc w:val="center"/>
              <w:rPr>
                <w:b/>
              </w:rPr>
            </w:pPr>
            <w:r>
              <w:rPr>
                <w:b/>
              </w:rPr>
              <w:t>21%</w:t>
            </w:r>
          </w:p>
        </w:tc>
        <w:tc>
          <w:tcPr>
            <w:tcW w:w="64" w:type="dxa"/>
            <w:tcBorders/>
            <w:vAlign w:val="bottom"/>
          </w:tcPr>
          <w:p>
            <w:pPr>
              <w:pStyle w:val="TableContents"/>
              <w:bidi w:val="0"/>
              <w:spacing w:before="0" w:after="283"/>
              <w:jc w:val="left"/>
              <w:rPr/>
            </w:pPr>
            <w:r>
              <w:rPr/>
              <w:t> </w:t>
            </w:r>
          </w:p>
        </w:tc>
      </w:tr>
      <w:tr>
        <w:trPr/>
        <w:tc>
          <w:tcPr>
            <w:tcW w:w="4972" w:type="dxa"/>
            <w:tcBorders/>
            <w:shd w:fill="CCEEFF" w:val="clear"/>
            <w:vAlign w:val="bottom"/>
          </w:tcPr>
          <w:p>
            <w:pPr>
              <w:pStyle w:val="TableContents"/>
              <w:bidi w:val="0"/>
              <w:spacing w:before="0" w:after="0"/>
              <w:jc w:val="left"/>
              <w:rPr>
                <w:rFonts w:ascii="Arial" w:hAnsi="Arial"/>
                <w:sz w:val="20"/>
              </w:rPr>
            </w:pPr>
            <w:r>
              <w:rPr>
                <w:rFonts w:ascii="Arial" w:hAnsi="Arial"/>
                <w:sz w:val="20"/>
              </w:rPr>
              <w:t>Professional Services</w:t>
            </w:r>
          </w:p>
        </w:tc>
        <w:tc>
          <w:tcPr>
            <w:tcW w:w="36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b/>
              </w:rPr>
            </w:pPr>
            <w:r>
              <w:rPr>
                <w:b/>
              </w:rPr>
              <w:t>474</w:t>
            </w:r>
          </w:p>
        </w:tc>
        <w:tc>
          <w:tcPr>
            <w:tcW w:w="37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507</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center"/>
              <w:rPr>
                <w:b/>
              </w:rPr>
            </w:pPr>
            <w:r>
              <w:rPr>
                <w:b/>
              </w:rPr>
              <w:t>-7%</w:t>
            </w:r>
          </w:p>
        </w:tc>
        <w:tc>
          <w:tcPr>
            <w:tcW w:w="64" w:type="dxa"/>
            <w:tcBorders/>
            <w:shd w:fill="CCEEFF" w:val="clear"/>
            <w:vAlign w:val="bottom"/>
          </w:tcPr>
          <w:p>
            <w:pPr>
              <w:pStyle w:val="TableContents"/>
              <w:bidi w:val="0"/>
              <w:spacing w:before="0" w:after="283"/>
              <w:jc w:val="left"/>
              <w:rPr/>
            </w:pPr>
            <w:r>
              <w:rPr/>
              <w:t> </w:t>
            </w:r>
          </w:p>
        </w:tc>
      </w:tr>
      <w:tr>
        <w:trPr/>
        <w:tc>
          <w:tcPr>
            <w:tcW w:w="4972"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37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170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72"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20" w:type="dxa"/>
            <w:tcBorders/>
            <w:vAlign w:val="bottom"/>
          </w:tcPr>
          <w:p>
            <w:pPr>
              <w:pStyle w:val="TableContents"/>
              <w:bidi w:val="0"/>
              <w:spacing w:before="0" w:after="283"/>
              <w:jc w:val="right"/>
              <w:rPr>
                <w:b/>
              </w:rPr>
            </w:pPr>
            <w:r>
              <w:rPr>
                <w:b/>
              </w:rPr>
              <w:t>2,030</w:t>
            </w:r>
          </w:p>
        </w:tc>
        <w:tc>
          <w:tcPr>
            <w:tcW w:w="37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699" w:type="dxa"/>
            <w:tcBorders/>
            <w:vAlign w:val="bottom"/>
          </w:tcPr>
          <w:p>
            <w:pPr>
              <w:pStyle w:val="TableContents"/>
              <w:bidi w:val="0"/>
              <w:spacing w:before="0" w:after="283"/>
              <w:jc w:val="right"/>
              <w:rPr/>
            </w:pPr>
            <w:r>
              <w:rPr/>
              <w:t>1,836</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05" w:type="dxa"/>
            <w:tcBorders/>
            <w:vAlign w:val="bottom"/>
          </w:tcPr>
          <w:p>
            <w:pPr>
              <w:pStyle w:val="TableContents"/>
              <w:bidi w:val="0"/>
              <w:spacing w:before="0" w:after="283"/>
              <w:jc w:val="center"/>
              <w:rPr>
                <w:b/>
              </w:rPr>
            </w:pPr>
            <w:r>
              <w:rPr>
                <w:b/>
              </w:rPr>
              <w:t>11%</w:t>
            </w:r>
          </w:p>
        </w:tc>
        <w:tc>
          <w:tcPr>
            <w:tcW w:w="64" w:type="dxa"/>
            <w:tcBorders/>
            <w:vAlign w:val="bottom"/>
          </w:tcPr>
          <w:p>
            <w:pPr>
              <w:pStyle w:val="TableContents"/>
              <w:bidi w:val="0"/>
              <w:spacing w:before="0" w:after="283"/>
              <w:jc w:val="left"/>
              <w:rPr/>
            </w:pPr>
            <w:r>
              <w:rPr/>
              <w:t> </w:t>
            </w:r>
          </w:p>
        </w:tc>
      </w:tr>
      <w:tr>
        <w:trPr/>
        <w:tc>
          <w:tcPr>
            <w:tcW w:w="4972"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37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6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double" w:sz="6" w:space="1" w:color="000000"/>
              </w:pBdr>
              <w:bidi w:val="0"/>
              <w:spacing w:before="0" w:after="0"/>
              <w:jc w:val="left"/>
              <w:rPr/>
            </w:pPr>
            <w:r>
              <w:rPr/>
              <w:t> </w:t>
            </w:r>
          </w:p>
        </w:tc>
        <w:tc>
          <w:tcPr>
            <w:tcW w:w="170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72" w:type="dxa"/>
            <w:tcBorders/>
            <w:shd w:fill="CCEEFF" w:val="clear"/>
            <w:vAlign w:val="bottom"/>
          </w:tcPr>
          <w:p>
            <w:pPr>
              <w:pStyle w:val="TableContents"/>
              <w:bidi w:val="0"/>
              <w:spacing w:before="0" w:after="0"/>
              <w:jc w:val="left"/>
              <w:rPr>
                <w:rFonts w:ascii="Arial" w:hAnsi="Arial"/>
                <w:sz w:val="20"/>
              </w:rPr>
            </w:pPr>
            <w:r>
              <w:rPr>
                <w:rFonts w:ascii="Arial" w:hAnsi="Arial"/>
                <w:sz w:val="20"/>
              </w:rPr>
              <w:t>Pretax operating income</w:t>
            </w:r>
          </w:p>
        </w:tc>
        <w:tc>
          <w:tcPr>
            <w:tcW w:w="36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20" w:type="dxa"/>
            <w:tcBorders/>
            <w:shd w:fill="CCEEFF" w:val="clear"/>
            <w:vAlign w:val="bottom"/>
          </w:tcPr>
          <w:p>
            <w:pPr>
              <w:pStyle w:val="TableContents"/>
              <w:bidi w:val="0"/>
              <w:spacing w:before="0" w:after="283"/>
              <w:jc w:val="right"/>
              <w:rPr>
                <w:b/>
              </w:rPr>
            </w:pPr>
            <w:r>
              <w:rPr>
                <w:b/>
              </w:rPr>
              <w:t>522</w:t>
            </w:r>
          </w:p>
        </w:tc>
        <w:tc>
          <w:tcPr>
            <w:tcW w:w="37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9" w:type="dxa"/>
            <w:tcBorders/>
            <w:shd w:fill="CCEEFF" w:val="clear"/>
            <w:vAlign w:val="bottom"/>
          </w:tcPr>
          <w:p>
            <w:pPr>
              <w:pStyle w:val="TableContents"/>
              <w:bidi w:val="0"/>
              <w:spacing w:before="0" w:after="283"/>
              <w:jc w:val="right"/>
              <w:rPr/>
            </w:pPr>
            <w:r>
              <w:rPr/>
              <w:t>465</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center"/>
              <w:rPr>
                <w:b/>
              </w:rPr>
            </w:pPr>
            <w:r>
              <w:rPr>
                <w:b/>
              </w:rPr>
              <w:t>12%</w:t>
            </w:r>
          </w:p>
        </w:tc>
        <w:tc>
          <w:tcPr>
            <w:tcW w:w="64" w:type="dxa"/>
            <w:tcBorders/>
            <w:shd w:fill="CCEEFF" w:val="clear"/>
            <w:vAlign w:val="bottom"/>
          </w:tcPr>
          <w:p>
            <w:pPr>
              <w:pStyle w:val="TableContents"/>
              <w:bidi w:val="0"/>
              <w:spacing w:before="0" w:after="283"/>
              <w:jc w:val="left"/>
              <w:rPr/>
            </w:pPr>
            <w:r>
              <w:rPr/>
              <w:t> </w:t>
            </w:r>
          </w:p>
        </w:tc>
      </w:tr>
      <w:tr>
        <w:trPr/>
        <w:tc>
          <w:tcPr>
            <w:tcW w:w="4972" w:type="dxa"/>
            <w:tcBorders/>
            <w:vAlign w:val="bottom"/>
          </w:tcPr>
          <w:p>
            <w:pPr>
              <w:pStyle w:val="TableContents"/>
              <w:bidi w:val="0"/>
              <w:spacing w:before="0" w:after="0"/>
              <w:jc w:val="left"/>
              <w:rPr>
                <w:rFonts w:ascii="Arial" w:hAnsi="Arial"/>
                <w:sz w:val="20"/>
              </w:rPr>
            </w:pPr>
            <w:r>
              <w:rPr>
                <w:rFonts w:ascii="Arial" w:hAnsi="Arial"/>
                <w:sz w:val="20"/>
              </w:rPr>
              <w:t>Pretax operating margin</w:t>
            </w:r>
          </w:p>
        </w:tc>
        <w:tc>
          <w:tcPr>
            <w:tcW w:w="36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b/>
              </w:rPr>
            </w:pPr>
            <w:r>
              <w:rPr>
                <w:b/>
              </w:rPr>
              <w:t>25.7</w:t>
            </w:r>
          </w:p>
        </w:tc>
        <w:tc>
          <w:tcPr>
            <w:tcW w:w="37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25.3</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05" w:type="dxa"/>
            <w:tcBorders/>
            <w:vAlign w:val="bottom"/>
          </w:tcPr>
          <w:p>
            <w:pPr>
              <w:pStyle w:val="TableContents"/>
              <w:bidi w:val="0"/>
              <w:spacing w:before="0" w:after="283"/>
              <w:jc w:val="center"/>
              <w:rPr>
                <w:b/>
              </w:rPr>
            </w:pPr>
            <w:r>
              <w:rPr>
                <w:b/>
              </w:rPr>
              <w:t>41 bps</w:t>
            </w:r>
          </w:p>
        </w:tc>
        <w:tc>
          <w:tcPr>
            <w:tcW w:w="64" w:type="dxa"/>
            <w:tcBorders/>
            <w:vAlign w:val="bottom"/>
          </w:tcPr>
          <w:p>
            <w:pPr>
              <w:pStyle w:val="TableContents"/>
              <w:bidi w:val="0"/>
              <w:spacing w:before="0" w:after="283"/>
              <w:jc w:val="left"/>
              <w:rPr/>
            </w:pPr>
            <w:r>
              <w:rPr/>
              <w:t> </w:t>
            </w:r>
          </w:p>
        </w:tc>
      </w:tr>
      <w:tr>
        <w:trPr/>
        <w:tc>
          <w:tcPr>
            <w:tcW w:w="4972"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w:t>
            </w:r>
          </w:p>
        </w:tc>
        <w:tc>
          <w:tcPr>
            <w:tcW w:w="36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20" w:type="dxa"/>
            <w:tcBorders/>
            <w:shd w:fill="CCEEFF" w:val="clear"/>
            <w:vAlign w:val="bottom"/>
          </w:tcPr>
          <w:p>
            <w:pPr>
              <w:pStyle w:val="TableContents"/>
              <w:bidi w:val="0"/>
              <w:spacing w:before="0" w:after="283"/>
              <w:jc w:val="right"/>
              <w:rPr>
                <w:b/>
              </w:rPr>
            </w:pPr>
            <w:r>
              <w:rPr>
                <w:b/>
              </w:rPr>
              <w:t>637</w:t>
            </w:r>
          </w:p>
        </w:tc>
        <w:tc>
          <w:tcPr>
            <w:tcW w:w="37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9" w:type="dxa"/>
            <w:tcBorders/>
            <w:shd w:fill="CCEEFF" w:val="clear"/>
            <w:vAlign w:val="bottom"/>
          </w:tcPr>
          <w:p>
            <w:pPr>
              <w:pStyle w:val="TableContents"/>
              <w:bidi w:val="0"/>
              <w:spacing w:before="0" w:after="283"/>
              <w:jc w:val="right"/>
              <w:rPr/>
            </w:pPr>
            <w:r>
              <w:rPr/>
              <w:t>582</w:t>
            </w:r>
          </w:p>
        </w:tc>
        <w:tc>
          <w:tcPr>
            <w:tcW w:w="275"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05" w:type="dxa"/>
            <w:tcBorders/>
            <w:shd w:fill="CCEEFF" w:val="clear"/>
            <w:vAlign w:val="bottom"/>
          </w:tcPr>
          <w:p>
            <w:pPr>
              <w:pStyle w:val="TableContents"/>
              <w:bidi w:val="0"/>
              <w:spacing w:before="0" w:after="283"/>
              <w:jc w:val="center"/>
              <w:rPr>
                <w:b/>
              </w:rPr>
            </w:pPr>
            <w:r>
              <w:rPr>
                <w:b/>
              </w:rPr>
              <w:t>10%</w:t>
            </w:r>
          </w:p>
        </w:tc>
        <w:tc>
          <w:tcPr>
            <w:tcW w:w="64" w:type="dxa"/>
            <w:tcBorders/>
            <w:shd w:fill="CCEEFF" w:val="clear"/>
            <w:vAlign w:val="bottom"/>
          </w:tcPr>
          <w:p>
            <w:pPr>
              <w:pStyle w:val="TableContents"/>
              <w:bidi w:val="0"/>
              <w:spacing w:before="0" w:after="283"/>
              <w:jc w:val="left"/>
              <w:rPr/>
            </w:pPr>
            <w:r>
              <w:rPr/>
              <w:t> </w:t>
            </w:r>
          </w:p>
        </w:tc>
      </w:tr>
      <w:tr>
        <w:trPr/>
        <w:tc>
          <w:tcPr>
            <w:tcW w:w="4972" w:type="dxa"/>
            <w:tcBorders/>
            <w:vAlign w:val="bottom"/>
          </w:tcPr>
          <w:p>
            <w:pPr>
              <w:pStyle w:val="TableContents"/>
              <w:bidi w:val="0"/>
              <w:spacing w:before="0" w:after="0"/>
              <w:jc w:val="left"/>
              <w:rPr>
                <w:rFonts w:ascii="Arial" w:hAnsi="Arial"/>
                <w:sz w:val="20"/>
              </w:rPr>
            </w:pPr>
            <w:r>
              <w:rPr>
                <w:rFonts w:ascii="Arial" w:hAnsi="Arial"/>
                <w:sz w:val="20"/>
              </w:rPr>
              <w:t>Adjusted EBITDA margin</w:t>
            </w:r>
          </w:p>
        </w:tc>
        <w:tc>
          <w:tcPr>
            <w:tcW w:w="36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b/>
              </w:rPr>
            </w:pPr>
            <w:r>
              <w:rPr>
                <w:b/>
              </w:rPr>
              <w:t>31.4</w:t>
            </w:r>
          </w:p>
        </w:tc>
        <w:tc>
          <w:tcPr>
            <w:tcW w:w="37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31.7</w:t>
            </w:r>
          </w:p>
        </w:tc>
        <w:tc>
          <w:tcPr>
            <w:tcW w:w="275"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05" w:type="dxa"/>
            <w:tcBorders/>
            <w:vAlign w:val="bottom"/>
          </w:tcPr>
          <w:p>
            <w:pPr>
              <w:pStyle w:val="TableContents"/>
              <w:bidi w:val="0"/>
              <w:spacing w:before="0" w:after="283"/>
              <w:jc w:val="center"/>
              <w:rPr>
                <w:b/>
              </w:rPr>
            </w:pPr>
            <w:r>
              <w:rPr>
                <w:b/>
              </w:rPr>
              <w:t>-31 bps</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In Digital, what is the definition of ARR and what was the ARR as of September 30, 2026, June 30, 2026, and September 30, 2025? </w:t>
            </w:r>
          </w:p>
        </w:tc>
      </w:tr>
    </w:tbl>
    <w:p>
      <w:pPr>
        <w:pStyle w:val="TextBody"/>
        <w:bidi w:val="0"/>
        <w:spacing w:before="120" w:after="0"/>
        <w:jc w:val="left"/>
        <w:rPr>
          <w:rFonts w:ascii="Arial" w:hAnsi="Arial"/>
          <w:sz w:val="20"/>
        </w:rPr>
      </w:pPr>
      <w:r>
        <w:rPr>
          <w:rFonts w:ascii="Arial" w:hAnsi="Arial"/>
          <w:sz w:val="20"/>
        </w:rPr>
        <w:t xml:space="preserve">ARR represents the annual value of recurring subscription and maintenance revenues from Platforms &amp; Applications, along with the recurring portion of Digital Operations, providing a measure of predictable revenue over the next 12 months. This is calculated based on the trailing twelve months revenue and excludes one-time license sales and variable usage fees. </w:t>
      </w:r>
    </w:p>
    <w:p>
      <w:pPr>
        <w:pStyle w:val="TextBody"/>
        <w:bidi w:val="0"/>
        <w:spacing w:before="120" w:after="0"/>
        <w:jc w:val="left"/>
        <w:rPr>
          <w:rFonts w:ascii="Arial" w:hAnsi="Arial"/>
          <w:sz w:val="20"/>
        </w:rPr>
      </w:pPr>
      <w:r>
        <w:rPr>
          <w:rFonts w:ascii="Arial" w:hAnsi="Arial"/>
          <w:sz w:val="20"/>
        </w:rPr>
        <w:t xml:space="preserve">ARR was $1.04 billion as of September 30, 2026, $1.04 billion as of June 30, 2026, and $926 million as of September 30, 2025, resulting in a 13% increase year 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is the Data Center Solutions business and where is it reported? </w:t>
            </w:r>
          </w:p>
        </w:tc>
      </w:tr>
    </w:tbl>
    <w:p>
      <w:pPr>
        <w:pStyle w:val="TextBody"/>
        <w:bidi w:val="0"/>
        <w:spacing w:before="120" w:after="0"/>
        <w:jc w:val="left"/>
        <w:rPr>
          <w:rFonts w:ascii="Arial" w:hAnsi="Arial"/>
          <w:sz w:val="20"/>
        </w:rPr>
      </w:pPr>
      <w:r>
        <w:rPr>
          <w:rFonts w:ascii="Arial" w:hAnsi="Arial"/>
          <w:sz w:val="20"/>
        </w:rPr>
        <w:t xml:space="preserve">The Data Center Solutions business designs and manufactures critical infrastructure components — such as modular data center enclosures, cooling systems and other hardware — for hyperscalers and enterprises. By leveraging scalable, standardized production with rapid lead times, and rigorous quality assurance, SLB provides configurable solutions that balance cost efficiency, reliability and customization to meet accelerating data center demand. </w:t>
      </w:r>
    </w:p>
    <w:p>
      <w:pPr>
        <w:pStyle w:val="TextBody"/>
        <w:bidi w:val="0"/>
        <w:spacing w:before="120" w:after="0"/>
        <w:jc w:val="left"/>
        <w:rPr>
          <w:rFonts w:ascii="Arial" w:hAnsi="Arial"/>
          <w:sz w:val="20"/>
        </w:rPr>
      </w:pPr>
      <w:r>
        <w:rPr>
          <w:rFonts w:ascii="Arial" w:hAnsi="Arial"/>
          <w:sz w:val="20"/>
        </w:rPr>
        <w:t xml:space="preserve">AI-driven data demand is fueling rapid growth, and this business is going to be a material and meaningful contributor to SLB’s portfolio in the future. This business is reported in the All Other category.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much revenue was generated from the Data Center Solutions business for the third quarter of 2026, the second quarter of 2026, the third quarter of 2025, the first nine months of 2026, and the first nine months of 2025? </w:t>
            </w:r>
          </w:p>
        </w:tc>
      </w:tr>
    </w:tbl>
    <w:p>
      <w:pPr>
        <w:pStyle w:val="TextBody"/>
        <w:bidi w:val="0"/>
        <w:spacing w:before="120" w:after="0"/>
        <w:jc w:val="left"/>
        <w:rPr>
          <w:rFonts w:ascii="Arial" w:hAnsi="Arial"/>
          <w:sz w:val="20"/>
        </w:rPr>
      </w:pPr>
      <w:r>
        <w:rPr>
          <w:rFonts w:ascii="Arial" w:hAnsi="Arial"/>
          <w:sz w:val="20"/>
        </w:rPr>
        <w:t xml:space="preserve">Data Center Solutions revenue was $230 million in the third quarter of 2026, $186 million in the second quarter of 2026, and $131 million in the third quarter of 2025, resulting in a 23% increase sequentially and 76% increase year on year. </w:t>
      </w:r>
    </w:p>
    <w:p>
      <w:pPr>
        <w:pStyle w:val="TextBody"/>
        <w:bidi w:val="0"/>
        <w:spacing w:before="120" w:after="0"/>
        <w:jc w:val="left"/>
        <w:rPr>
          <w:rFonts w:ascii="Arial" w:hAnsi="Arial"/>
          <w:sz w:val="20"/>
        </w:rPr>
      </w:pPr>
      <w:r>
        <w:rPr>
          <w:rFonts w:ascii="Arial" w:hAnsi="Arial"/>
          <w:sz w:val="20"/>
        </w:rPr>
        <w:t xml:space="preserve">Data Center Solutions revenue was $557 million in the first nine months of 2026 and $331 million in the first nine months of 2025, resulting in a 68% increase year 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Divisions comprise SLB’s Core business and what were their revenue and pretax operating income for the third quarter of 2026, the second quarter of 2026, and the third quarter of 2025? </w:t>
            </w:r>
          </w:p>
        </w:tc>
      </w:tr>
    </w:tbl>
    <w:p>
      <w:pPr>
        <w:pStyle w:val="TextBody"/>
        <w:bidi w:val="0"/>
        <w:spacing w:before="120" w:after="0"/>
        <w:jc w:val="left"/>
        <w:rPr>
          <w:rFonts w:ascii="Arial" w:hAnsi="Arial"/>
          <w:sz w:val="20"/>
        </w:rPr>
      </w:pPr>
      <w:r>
        <w:rPr>
          <w:rFonts w:ascii="Arial" w:hAnsi="Arial"/>
          <w:sz w:val="20"/>
        </w:rPr>
        <w:t xml:space="preserve">SLB’s Core business comprises the Reservoir Performance, Well Construction, and Production Systems Divisions. SLB’s Core business revenue and pretax operating income for the third quarter of 2026, the second quarter of 2026, and the third quarter of 2025 are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5"/>
        <w:gridCol w:w="184"/>
        <w:gridCol w:w="178"/>
        <w:gridCol w:w="713"/>
        <w:gridCol w:w="324"/>
        <w:gridCol w:w="131"/>
        <w:gridCol w:w="140"/>
        <w:gridCol w:w="577"/>
        <w:gridCol w:w="284"/>
        <w:gridCol w:w="131"/>
        <w:gridCol w:w="172"/>
        <w:gridCol w:w="692"/>
        <w:gridCol w:w="283"/>
        <w:gridCol w:w="131"/>
        <w:gridCol w:w="87"/>
        <w:gridCol w:w="1046"/>
        <w:gridCol w:w="60"/>
        <w:gridCol w:w="131"/>
        <w:gridCol w:w="84"/>
        <w:gridCol w:w="1223"/>
        <w:gridCol w:w="69"/>
      </w:tblGrid>
      <w:tr>
        <w:trPr/>
        <w:tc>
          <w:tcPr>
            <w:tcW w:w="356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342" w:type="dxa"/>
            <w:gridSpan w:val="10"/>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631" w:type="dxa"/>
            <w:gridSpan w:val="6"/>
            <w:tcBorders/>
            <w:vAlign w:val="bottom"/>
          </w:tcPr>
          <w:p>
            <w:pPr>
              <w:pStyle w:val="TableContents"/>
              <w:bidi w:val="0"/>
              <w:spacing w:before="0" w:after="283"/>
              <w:jc w:val="right"/>
              <w:rPr/>
            </w:pPr>
            <w:r>
              <w:rPr/>
              <w:t>(Stated in millions)</w:t>
            </w:r>
          </w:p>
        </w:tc>
        <w:tc>
          <w:tcPr>
            <w:tcW w:w="69" w:type="dxa"/>
            <w:tcBorders/>
            <w:vAlign w:val="bottom"/>
          </w:tcPr>
          <w:p>
            <w:pPr>
              <w:pStyle w:val="TableContents"/>
              <w:bidi w:val="0"/>
              <w:spacing w:before="0" w:after="283"/>
              <w:jc w:val="left"/>
              <w:rPr/>
            </w:pPr>
            <w:r>
              <w:rPr/>
              <w:t> </w:t>
            </w:r>
          </w:p>
        </w:tc>
      </w:tr>
      <w:tr>
        <w:trPr/>
        <w:tc>
          <w:tcPr>
            <w:tcW w:w="35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34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6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5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2026</w:t>
            </w:r>
          </w:p>
        </w:tc>
        <w:tc>
          <w:tcPr>
            <w:tcW w:w="32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2026</w:t>
            </w:r>
          </w:p>
        </w:tc>
        <w:tc>
          <w:tcPr>
            <w:tcW w:w="28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2025</w:t>
            </w:r>
          </w:p>
        </w:tc>
        <w:tc>
          <w:tcPr>
            <w:tcW w:w="28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565" w:type="dxa"/>
            <w:tcBorders/>
            <w:shd w:fill="CCEEFF" w:val="clear"/>
          </w:tcPr>
          <w:p>
            <w:pPr>
              <w:pStyle w:val="TableContents"/>
              <w:bidi w:val="0"/>
              <w:spacing w:before="0" w:after="0"/>
              <w:jc w:val="left"/>
              <w:rPr>
                <w:rFonts w:ascii="Arial" w:hAnsi="Arial"/>
                <w:b/>
                <w:sz w:val="20"/>
              </w:rPr>
            </w:pPr>
            <w:r>
              <w:rPr>
                <w:rFonts w:ascii="Arial" w:hAnsi="Arial"/>
                <w:b/>
                <w:sz w:val="20"/>
              </w:rPr>
              <w:t>Revenue</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1,634</w:t>
            </w:r>
          </w:p>
        </w:tc>
        <w:tc>
          <w:tcPr>
            <w:tcW w:w="32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1,556</w:t>
            </w:r>
          </w:p>
        </w:tc>
        <w:tc>
          <w:tcPr>
            <w:tcW w:w="28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1,682</w:t>
            </w:r>
          </w:p>
        </w:tc>
        <w:tc>
          <w:tcPr>
            <w:tcW w:w="28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565"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2,888</w:t>
            </w:r>
          </w:p>
        </w:tc>
        <w:tc>
          <w:tcPr>
            <w:tcW w:w="32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2,742</w:t>
            </w:r>
          </w:p>
        </w:tc>
        <w:tc>
          <w:tcPr>
            <w:tcW w:w="28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2,967</w:t>
            </w:r>
          </w:p>
        </w:tc>
        <w:tc>
          <w:tcPr>
            <w:tcW w:w="28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4,000</w:t>
            </w:r>
          </w:p>
        </w:tc>
        <w:tc>
          <w:tcPr>
            <w:tcW w:w="32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3,771</w:t>
            </w:r>
          </w:p>
        </w:tc>
        <w:tc>
          <w:tcPr>
            <w:tcW w:w="28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3,474</w:t>
            </w:r>
          </w:p>
        </w:tc>
        <w:tc>
          <w:tcPr>
            <w:tcW w:w="28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6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8,522</w:t>
            </w:r>
          </w:p>
        </w:tc>
        <w:tc>
          <w:tcPr>
            <w:tcW w:w="32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8,069</w:t>
            </w:r>
          </w:p>
        </w:tc>
        <w:tc>
          <w:tcPr>
            <w:tcW w:w="28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8,123</w:t>
            </w:r>
          </w:p>
        </w:tc>
        <w:tc>
          <w:tcPr>
            <w:tcW w:w="28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center"/>
              <w:rPr>
                <w:b/>
              </w:rPr>
            </w:pPr>
            <w:r>
              <w:rPr>
                <w:b/>
              </w:rPr>
              <w:t>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pPr>
            <w:r>
              <w:rPr/>
              <w:t>5%</w:t>
            </w:r>
          </w:p>
        </w:tc>
        <w:tc>
          <w:tcPr>
            <w:tcW w:w="69" w:type="dxa"/>
            <w:tcBorders/>
            <w:shd w:fill="CCEEFF" w:val="clear"/>
            <w:vAlign w:val="bottom"/>
          </w:tcPr>
          <w:p>
            <w:pPr>
              <w:pStyle w:val="TableContents"/>
              <w:bidi w:val="0"/>
              <w:spacing w:before="0" w:after="283"/>
              <w:jc w:val="left"/>
              <w:rPr/>
            </w:pPr>
            <w:r>
              <w:rPr/>
              <w:t> </w:t>
            </w:r>
          </w:p>
        </w:tc>
      </w:tr>
      <w:tr>
        <w:trPr/>
        <w:tc>
          <w:tcPr>
            <w:tcW w:w="356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65" w:type="dxa"/>
            <w:tcBorders/>
          </w:tcPr>
          <w:p>
            <w:pPr>
              <w:pStyle w:val="TableContents"/>
              <w:bidi w:val="0"/>
              <w:spacing w:before="0" w:after="0"/>
              <w:jc w:val="left"/>
              <w:rPr>
                <w:rFonts w:ascii="Arial" w:hAnsi="Arial"/>
                <w:b/>
                <w:sz w:val="20"/>
              </w:rPr>
            </w:pPr>
            <w:r>
              <w:rPr>
                <w:rFonts w:ascii="Arial" w:hAnsi="Arial"/>
                <w:b/>
                <w:sz w:val="20"/>
              </w:rPr>
              <w:t>Pretax Operating Income</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3"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565" w:type="dxa"/>
            <w:tcBorders/>
            <w:shd w:fill="CCEEFF" w:val="clear"/>
            <w:vAlign w:val="bottom"/>
          </w:tcPr>
          <w:p>
            <w:pPr>
              <w:pStyle w:val="TableContents"/>
              <w:bidi w:val="0"/>
              <w:spacing w:before="0" w:after="0"/>
              <w:jc w:val="left"/>
              <w:rPr>
                <w:rFonts w:ascii="Arial" w:hAnsi="Arial"/>
                <w:sz w:val="20"/>
              </w:rPr>
            </w:pPr>
            <w:r>
              <w:rPr>
                <w:rFonts w:ascii="Arial" w:hAnsi="Arial"/>
                <w:sz w:val="20"/>
              </w:rPr>
              <w:t>Reservoir Performance</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266</w:t>
            </w:r>
          </w:p>
        </w:tc>
        <w:tc>
          <w:tcPr>
            <w:tcW w:w="32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232</w:t>
            </w:r>
          </w:p>
        </w:tc>
        <w:tc>
          <w:tcPr>
            <w:tcW w:w="28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312</w:t>
            </w:r>
          </w:p>
        </w:tc>
        <w:tc>
          <w:tcPr>
            <w:tcW w:w="28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0"/>
              <w:jc w:val="left"/>
              <w:rPr>
                <w:rFonts w:ascii="Arial" w:hAnsi="Arial"/>
                <w:sz w:val="20"/>
              </w:rPr>
            </w:pPr>
            <w:r>
              <w:rPr>
                <w:rFonts w:ascii="Arial" w:hAnsi="Arial"/>
                <w:sz w:val="20"/>
              </w:rPr>
              <w:t>Well Construction</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475</w:t>
            </w:r>
          </w:p>
        </w:tc>
        <w:tc>
          <w:tcPr>
            <w:tcW w:w="32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417</w:t>
            </w:r>
          </w:p>
        </w:tc>
        <w:tc>
          <w:tcPr>
            <w:tcW w:w="28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558</w:t>
            </w:r>
          </w:p>
        </w:tc>
        <w:tc>
          <w:tcPr>
            <w:tcW w:w="28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565" w:type="dxa"/>
            <w:tcBorders/>
            <w:shd w:fill="CCEEFF" w:val="clear"/>
            <w:vAlign w:val="bottom"/>
          </w:tcPr>
          <w:p>
            <w:pPr>
              <w:pStyle w:val="TableContents"/>
              <w:bidi w:val="0"/>
              <w:spacing w:before="0" w:after="0"/>
              <w:jc w:val="left"/>
              <w:rPr>
                <w:rFonts w:ascii="Arial" w:hAnsi="Arial"/>
                <w:sz w:val="20"/>
              </w:rPr>
            </w:pPr>
            <w:r>
              <w:rPr>
                <w:rFonts w:ascii="Arial" w:hAnsi="Arial"/>
                <w:sz w:val="20"/>
              </w:rPr>
              <w:t>Production Systems</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646</w:t>
            </w:r>
          </w:p>
        </w:tc>
        <w:tc>
          <w:tcPr>
            <w:tcW w:w="32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586</w:t>
            </w:r>
          </w:p>
        </w:tc>
        <w:tc>
          <w:tcPr>
            <w:tcW w:w="28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559</w:t>
            </w:r>
          </w:p>
        </w:tc>
        <w:tc>
          <w:tcPr>
            <w:tcW w:w="28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6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1,387</w:t>
            </w:r>
          </w:p>
        </w:tc>
        <w:tc>
          <w:tcPr>
            <w:tcW w:w="32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1,235</w:t>
            </w:r>
          </w:p>
        </w:tc>
        <w:tc>
          <w:tcPr>
            <w:tcW w:w="28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1,429</w:t>
            </w:r>
          </w:p>
        </w:tc>
        <w:tc>
          <w:tcPr>
            <w:tcW w:w="28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center"/>
              <w:rPr>
                <w:b/>
              </w:rPr>
            </w:pPr>
            <w:r>
              <w:rPr>
                <w:b/>
              </w:rPr>
              <w:t>12%</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pPr>
            <w:r>
              <w:rPr/>
              <w:t>-3%</w:t>
            </w:r>
          </w:p>
        </w:tc>
        <w:tc>
          <w:tcPr>
            <w:tcW w:w="69" w:type="dxa"/>
            <w:tcBorders/>
            <w:vAlign w:val="bottom"/>
          </w:tcPr>
          <w:p>
            <w:pPr>
              <w:pStyle w:val="TableContents"/>
              <w:bidi w:val="0"/>
              <w:spacing w:before="0" w:after="283"/>
              <w:jc w:val="left"/>
              <w:rPr/>
            </w:pPr>
            <w:r>
              <w:rPr/>
              <w:t> </w:t>
            </w:r>
          </w:p>
        </w:tc>
      </w:tr>
      <w:tr>
        <w:trPr/>
        <w:tc>
          <w:tcPr>
            <w:tcW w:w="356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65"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Pretax Operating Margin</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16.3</w:t>
            </w:r>
          </w:p>
        </w:tc>
        <w:tc>
          <w:tcPr>
            <w:tcW w:w="324" w:type="dxa"/>
            <w:tcBorders/>
            <w:vAlign w:val="bottom"/>
          </w:tcPr>
          <w:p>
            <w:pPr>
              <w:pStyle w:val="TableContents"/>
              <w:bidi w:val="0"/>
              <w:spacing w:before="0" w:after="283"/>
              <w:jc w:val="left"/>
              <w:rPr>
                <w:b/>
              </w:rPr>
            </w:pPr>
            <w:r>
              <w:rPr>
                <w:b/>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14.9</w:t>
            </w:r>
          </w:p>
        </w:tc>
        <w:tc>
          <w:tcPr>
            <w:tcW w:w="28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18.5</w:t>
            </w:r>
          </w:p>
        </w:tc>
        <w:tc>
          <w:tcPr>
            <w:tcW w:w="28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565"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16.4</w:t>
            </w:r>
          </w:p>
        </w:tc>
        <w:tc>
          <w:tcPr>
            <w:tcW w:w="324" w:type="dxa"/>
            <w:tcBorders/>
            <w:shd w:fill="CCEEFF" w:val="clear"/>
            <w:vAlign w:val="bottom"/>
          </w:tcPr>
          <w:p>
            <w:pPr>
              <w:pStyle w:val="TableContents"/>
              <w:bidi w:val="0"/>
              <w:spacing w:before="0" w:after="283"/>
              <w:jc w:val="left"/>
              <w:rPr>
                <w:b/>
              </w:rPr>
            </w:pPr>
            <w:r>
              <w:rPr>
                <w:b/>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15.2</w:t>
            </w:r>
          </w:p>
        </w:tc>
        <w:tc>
          <w:tcPr>
            <w:tcW w:w="28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18.8</w:t>
            </w:r>
          </w:p>
        </w:tc>
        <w:tc>
          <w:tcPr>
            <w:tcW w:w="28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16.1</w:t>
            </w:r>
          </w:p>
        </w:tc>
        <w:tc>
          <w:tcPr>
            <w:tcW w:w="324" w:type="dxa"/>
            <w:tcBorders/>
            <w:vAlign w:val="bottom"/>
          </w:tcPr>
          <w:p>
            <w:pPr>
              <w:pStyle w:val="TableContents"/>
              <w:bidi w:val="0"/>
              <w:spacing w:before="0" w:after="283"/>
              <w:jc w:val="left"/>
              <w:rPr>
                <w:b/>
              </w:rPr>
            </w:pPr>
            <w:r>
              <w:rPr>
                <w:b/>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15.5</w:t>
            </w:r>
          </w:p>
        </w:tc>
        <w:tc>
          <w:tcPr>
            <w:tcW w:w="28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16.1</w:t>
            </w:r>
          </w:p>
        </w:tc>
        <w:tc>
          <w:tcPr>
            <w:tcW w:w="28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56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6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16.3</w:t>
            </w:r>
          </w:p>
        </w:tc>
        <w:tc>
          <w:tcPr>
            <w:tcW w:w="324" w:type="dxa"/>
            <w:tcBorders/>
            <w:shd w:fill="CCEEFF" w:val="clear"/>
            <w:vAlign w:val="bottom"/>
          </w:tcPr>
          <w:p>
            <w:pPr>
              <w:pStyle w:val="TableContents"/>
              <w:bidi w:val="0"/>
              <w:spacing w:before="0" w:after="283"/>
              <w:jc w:val="left"/>
              <w:rPr>
                <w:b/>
              </w:rPr>
            </w:pPr>
            <w:r>
              <w:rPr>
                <w:b/>
              </w:rPr>
              <w:t>% </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15.3</w:t>
            </w:r>
          </w:p>
        </w:tc>
        <w:tc>
          <w:tcPr>
            <w:tcW w:w="284"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17.6</w:t>
            </w:r>
          </w:p>
        </w:tc>
        <w:tc>
          <w:tcPr>
            <w:tcW w:w="28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center"/>
              <w:rPr>
                <w:b/>
              </w:rPr>
            </w:pPr>
            <w:r>
              <w:rPr>
                <w:b/>
              </w:rPr>
              <w:t>97 bps</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pPr>
            <w:r>
              <w:rPr/>
              <w:t>-132 bps</w:t>
            </w:r>
          </w:p>
        </w:tc>
        <w:tc>
          <w:tcPr>
            <w:tcW w:w="69" w:type="dxa"/>
            <w:tcBorders/>
            <w:shd w:fill="CCEEFF" w:val="clear"/>
            <w:vAlign w:val="bottom"/>
          </w:tcPr>
          <w:p>
            <w:pPr>
              <w:pStyle w:val="TableContents"/>
              <w:bidi w:val="0"/>
              <w:spacing w:before="0" w:after="283"/>
              <w:jc w:val="left"/>
              <w:rPr/>
            </w:pPr>
            <w:r>
              <w:rPr/>
              <w:t> </w:t>
            </w:r>
          </w:p>
        </w:tc>
      </w:tr>
      <w:tr>
        <w:trPr/>
        <w:tc>
          <w:tcPr>
            <w:tcW w:w="356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6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3"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0"/>
        </w:rPr>
      </w:pPr>
      <w:r>
        <w:rPr>
          <w:rFonts w:ascii="Arial" w:hAnsi="Arial"/>
          <w:sz w:val="20"/>
        </w:rPr>
        <w:t xml:space="preserve">Third-quarter 2026 results reflect activity from ChampionX, which contributed $970 million of revenue to SLB’s Core business. Excluding the impact of this acquisition, Core revenue was essentially flat year on year. </w:t>
      </w:r>
    </w:p>
    <w:p>
      <w:pPr>
        <w:pStyle w:val="TextBody"/>
        <w:bidi w:val="0"/>
        <w:spacing w:before="360" w:after="0"/>
        <w:jc w:val="left"/>
        <w:rPr>
          <w:rFonts w:ascii="Arial" w:hAnsi="Arial"/>
          <w:b/>
          <w:sz w:val="20"/>
        </w:rPr>
      </w:pPr>
      <w:r>
        <w:rPr>
          <w:rFonts w:ascii="Arial" w:hAnsi="Arial"/>
          <w:b/>
          <w:sz w:val="20"/>
        </w:rPr>
        <w:t xml:space="preserve">About SLB </w:t>
      </w:r>
    </w:p>
    <w:p>
      <w:pPr>
        <w:pStyle w:val="TextBody"/>
        <w:bidi w:val="0"/>
        <w:spacing w:before="120" w:after="0"/>
        <w:jc w:val="left"/>
        <w:rPr>
          <w:rFonts w:ascii="Arial" w:hAnsi="Arial"/>
          <w:sz w:val="20"/>
        </w:rPr>
      </w:pPr>
      <w:r>
        <w:rPr>
          <w:rFonts w:ascii="Arial" w:hAnsi="Arial"/>
          <w:sz w:val="20"/>
        </w:rPr>
        <w:t xml:space="preserve">SLB (NYSE: SLB) is a global technology company that has driven energy innovation for 100 years.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 </w:t>
      </w:r>
    </w:p>
    <w:p>
      <w:pPr>
        <w:pStyle w:val="TextBody"/>
        <w:bidi w:val="0"/>
        <w:spacing w:before="360" w:after="0"/>
        <w:jc w:val="left"/>
        <w:rPr>
          <w:rFonts w:ascii="Arial" w:hAnsi="Arial"/>
          <w:b/>
          <w:sz w:val="20"/>
        </w:rPr>
      </w:pPr>
      <w:r>
        <w:rPr>
          <w:rFonts w:ascii="Arial" w:hAnsi="Arial"/>
          <w:b/>
          <w:sz w:val="20"/>
        </w:rPr>
        <w:t xml:space="preserve">Conference Call Information </w:t>
      </w:r>
    </w:p>
    <w:p>
      <w:pPr>
        <w:pStyle w:val="TextBody"/>
        <w:bidi w:val="0"/>
        <w:spacing w:before="120" w:after="0"/>
        <w:jc w:val="left"/>
        <w:rPr>
          <w:rFonts w:ascii="Arial" w:hAnsi="Arial"/>
          <w:sz w:val="20"/>
        </w:rPr>
      </w:pPr>
      <w:r>
        <w:rPr>
          <w:rFonts w:ascii="Arial" w:hAnsi="Arial"/>
          <w:sz w:val="20"/>
        </w:rPr>
        <w:t xml:space="preserve">SLB will hold a conference call to discuss the earnings press release and business outlook on Friday, October 23, 2026. The call is scheduled to begin at 9:30 a.m. U.S. Eastern time. To access the call, which is open to the public, please </w:t>
      </w:r>
    </w:p>
    <w:p>
      <w:pPr>
        <w:pStyle w:val="TextBody"/>
        <w:bidi w:val="0"/>
        <w:spacing w:before="0" w:after="0"/>
        <w:jc w:val="left"/>
        <w:rPr>
          <w:rFonts w:ascii="Arial" w:hAnsi="Arial"/>
          <w:sz w:val="20"/>
        </w:rPr>
      </w:pPr>
      <w:r>
        <w:rPr>
          <w:rFonts w:ascii="Arial" w:hAnsi="Arial"/>
          <w:sz w:val="20"/>
        </w:rPr>
        <w:t xml:space="preserve">contact the conference call operator at +1 (800) 715-9871 within North America, or +1 (646) 307-1963 outside of North America, approximately 10 minutes prior to the call’s scheduled start time, and provide the access code 3440360. At the conclusion of the conference call, an audio replay will be available until October 30, 2026, by dialling +1 (800) 770-2030 within North America, or +1 (609) 800-9909 outside of North America, and providing the access code 3440360. The conference call will be webcasted simultaneously at https://events.q4inc.com/attendee/293449855 on a listen-only basis. A replay of the webcast will also be available at the same website until October 30, 2026.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95"/>
        <w:gridCol w:w="121"/>
        <w:gridCol w:w="4789"/>
      </w:tblGrid>
      <w:tr>
        <w:trPr/>
        <w:tc>
          <w:tcPr>
            <w:tcW w:w="52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89"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b/>
              </w:rPr>
            </w:pPr>
            <w:r>
              <w:rPr>
                <w:b/>
              </w:rPr>
              <w:t>Investors</w:t>
            </w:r>
          </w:p>
        </w:tc>
        <w:tc>
          <w:tcPr>
            <w:tcW w:w="121" w:type="dxa"/>
            <w:tcBorders/>
            <w:vAlign w:val="bottom"/>
          </w:tcPr>
          <w:p>
            <w:pPr>
              <w:pStyle w:val="TableContents"/>
              <w:bidi w:val="0"/>
              <w:spacing w:before="0" w:after="283"/>
              <w:jc w:val="left"/>
              <w:rPr/>
            </w:pPr>
            <w:r>
              <w:rPr/>
              <w:t>  </w:t>
            </w:r>
          </w:p>
        </w:tc>
        <w:tc>
          <w:tcPr>
            <w:tcW w:w="4789" w:type="dxa"/>
            <w:tcBorders/>
            <w:vAlign w:val="bottom"/>
          </w:tcPr>
          <w:p>
            <w:pPr>
              <w:pStyle w:val="TableContents"/>
              <w:bidi w:val="0"/>
              <w:spacing w:before="0" w:after="283"/>
              <w:jc w:val="left"/>
              <w:rPr>
                <w:b/>
              </w:rPr>
            </w:pPr>
            <w:r>
              <w:rPr>
                <w:b/>
              </w:rPr>
              <w:t>Media</w:t>
            </w:r>
          </w:p>
        </w:tc>
      </w:tr>
      <w:tr>
        <w:trPr/>
        <w:tc>
          <w:tcPr>
            <w:tcW w:w="5295" w:type="dxa"/>
            <w:tcBorders/>
          </w:tcPr>
          <w:p>
            <w:pPr>
              <w:pStyle w:val="TableContents"/>
              <w:bidi w:val="0"/>
              <w:spacing w:before="0" w:after="283"/>
              <w:jc w:val="left"/>
              <w:rPr/>
            </w:pPr>
            <w:r>
              <w:rPr/>
              <w:t xml:space="preserve">James R. McDonald — SVP, Investor Relations &amp; Industry Affairs, SLB </w:t>
              <w:br/>
              <w:t xml:space="preserve">Joy V. Domingo — Director of Investor Relations, SLB </w:t>
              <w:br/>
              <w:t xml:space="preserve">Tel: +1 (713) 375-3535 </w:t>
              <w:br/>
              <w:t>investor-relations@slb.com</w:t>
            </w:r>
          </w:p>
        </w:tc>
        <w:tc>
          <w:tcPr>
            <w:tcW w:w="121" w:type="dxa"/>
            <w:tcBorders/>
            <w:vAlign w:val="bottom"/>
          </w:tcPr>
          <w:p>
            <w:pPr>
              <w:pStyle w:val="TableContents"/>
              <w:bidi w:val="0"/>
              <w:spacing w:before="0" w:after="283"/>
              <w:jc w:val="left"/>
              <w:rPr/>
            </w:pPr>
            <w:r>
              <w:rPr/>
              <w:t>  </w:t>
            </w:r>
          </w:p>
        </w:tc>
        <w:tc>
          <w:tcPr>
            <w:tcW w:w="4789" w:type="dxa"/>
            <w:tcBorders/>
          </w:tcPr>
          <w:p>
            <w:pPr>
              <w:pStyle w:val="TableContents"/>
              <w:bidi w:val="0"/>
              <w:spacing w:before="0" w:after="283"/>
              <w:jc w:val="left"/>
              <w:rPr/>
            </w:pPr>
            <w:r>
              <w:rPr/>
              <w:t xml:space="preserve">Moira Duff — Director of External Communications, SLB </w:t>
              <w:br/>
              <w:t xml:space="preserve">Tel: +1 (713) 375-3407 </w:t>
              <w:br/>
              <w:t>media@slb.com</w:t>
            </w:r>
          </w:p>
        </w:tc>
      </w:tr>
    </w:tbl>
    <w:p>
      <w:pPr>
        <w:pStyle w:val="TextBody"/>
        <w:bidi w:val="0"/>
        <w:spacing w:before="36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third-quarter 2026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the benefits of the proposed transaction between SLB and Kelvion and the anticipated timing of such transaction;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the terms and timing of the proposed transaction between SLB and Kelvion; the ability of SLB and Kelvion to integrate the business successfully and to achieve anticipated synergies and value creation from the proposed transaction; the ability to secure government regulatory approvals on the terms expected, at all or in a timely manner; and other risks and uncertainties detailed in this press release and our most recent Forms 10-K, 10-Q, and 8-K filed with or furnished to the Securities and Exchange Commission (the “SEC”). </w:t>
      </w:r>
    </w:p>
    <w:p>
      <w:pPr>
        <w:pStyle w:val="TextBody"/>
        <w:bidi w:val="0"/>
        <w:spacing w:before="240" w:after="0"/>
        <w:jc w:val="left"/>
        <w:rPr>
          <w:rFonts w:ascii="Arial" w:hAnsi="Arial"/>
          <w:sz w:val="20"/>
        </w:rPr>
      </w:pPr>
      <w:r>
        <w:rPr>
          <w:rFonts w:ascii="Arial" w:hAnsi="Arial"/>
          <w:sz w:val="20"/>
        </w:rPr>
        <w:t xml:space="preserve">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12349</Words>
  <Characters>66644</Characters>
  <CharactersWithSpaces>83885</CharactersWithSpaces>
  <Paragraphs>8950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