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   03/20/2023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219,765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pursuant to a Rule 10b5-1 trading plan adopted by the reporting person on November 17, 2022.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2023-03-22T16:49:07Z</dcterms:created>
  <dcterms:modified xsi:type="dcterms:W3CDTF">2023-03-22T16:49:07Z</dcterms:modified>
</cp:coreProperties>
</file>