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Kasibhatla Vijay</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03/12/2021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620"/>
              <w:spacing w:after="0"/>
              <w:rPr>
                <w:sz w:val="20"/>
                <w:szCs w:val="20"/>
                <w:color w:val="auto"/>
              </w:rPr>
            </w:pPr>
            <w:r>
              <w:rPr>
                <w:rFonts w:ascii="Arial" w:cs="Arial" w:eastAsia="Arial" w:hAnsi="Arial"/>
                <w:sz w:val="17"/>
                <w:szCs w:val="17"/>
                <w:color w:val="0000FF"/>
              </w:rPr>
              <w:t>Director, M&amp;A</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862</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40,449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113"/>
              <w:spacing w:after="0"/>
              <w:rPr>
                <w:sz w:val="20"/>
                <w:szCs w:val="20"/>
                <w:color w:val="auto"/>
              </w:rPr>
            </w:pPr>
            <w:r>
              <w:rPr>
                <w:rFonts w:ascii="Arial" w:cs="Arial" w:eastAsia="Arial" w:hAnsi="Arial"/>
                <w:sz w:val="17"/>
                <w:szCs w:val="17"/>
                <w:color w:val="0000FF"/>
              </w:rPr>
              <w:t>406</w:t>
            </w:r>
          </w:p>
        </w:tc>
        <w:tc>
          <w:tcPr>
            <w:tcW w:w="440" w:type="dxa"/>
            <w:vAlign w:val="bottom"/>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29.24</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40,043</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17, 2018. Vesting of the PSUs was based on three-year Company performance relative to select key competitors. Most of these competitors had not reported their 2020 audited financial results when the Company's compensation committee met in January 2021 to certify performance under the PSUs. As a result, the Company's compensation committee approved the issuance of 90% of the shares that the committee determined had been earned according to the information available to the committee at the time. As of March 12, 2021, all such competitors had reported their 2020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05054"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2021-03-16T08:47:24Z</dcterms:created>
  <dcterms:modified xsi:type="dcterms:W3CDTF">2021-03-16T08:47:24Z</dcterms:modified>
</cp:coreProperties>
</file>