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7"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104140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1-4601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(SCHLUMBERGER LIMITED)</w:t>
      </w: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9" w:lineRule="exact"/>
        <w:rPr>
          <w:sz w:val="24"/>
          <w:szCs w:val="24"/>
          <w:color w:val="auto"/>
        </w:rPr>
      </w:pPr>
    </w:p>
    <w:tbl>
      <w:tblPr>
        <w:tblLayout w:type="fixed"/>
        <w:tblInd w:w="1460" w:type="dxa"/>
        <w:tblCellMar>
          <w:top w:w="0" w:type="dxa"/>
          <w:left w:w="0" w:type="dxa"/>
          <w:bottom w:w="0" w:type="dxa"/>
          <w:right w:w="0" w:type="dxa"/>
        </w:tblCellMar>
      </w:tblPr>
      <w:tr>
        <w:trPr>
          <w:trHeight w:val="212"/>
        </w:trPr>
        <w:tc>
          <w:tcPr>
            <w:tcW w:w="4540" w:type="dxa"/>
            <w:vAlign w:val="bottom"/>
          </w:tcPr>
          <w:p>
            <w:pPr>
              <w:jc w:val="center"/>
              <w:ind w:right="1855"/>
              <w:spacing w:after="0"/>
              <w:rPr>
                <w:sz w:val="20"/>
                <w:szCs w:val="20"/>
                <w:color w:val="auto"/>
              </w:rPr>
            </w:pPr>
            <w:r>
              <w:rPr>
                <w:rFonts w:ascii="Arial" w:cs="Arial" w:eastAsia="Arial" w:hAnsi="Arial"/>
                <w:sz w:val="18"/>
                <w:szCs w:val="18"/>
                <w:b w:val="1"/>
                <w:bCs w:val="1"/>
                <w:color w:val="auto"/>
                <w:w w:val="99"/>
              </w:rPr>
              <w:t>CURAÇAO</w:t>
            </w:r>
          </w:p>
        </w:tc>
        <w:tc>
          <w:tcPr>
            <w:tcW w:w="3060" w:type="dxa"/>
            <w:vAlign w:val="bottom"/>
          </w:tcPr>
          <w:p>
            <w:pPr>
              <w:jc w:val="center"/>
              <w:ind w:left="1837"/>
              <w:spacing w:after="0"/>
              <w:rPr>
                <w:sz w:val="20"/>
                <w:szCs w:val="20"/>
                <w:color w:val="auto"/>
              </w:rPr>
            </w:pPr>
            <w:r>
              <w:rPr>
                <w:rFonts w:ascii="Arial" w:cs="Arial" w:eastAsia="Arial" w:hAnsi="Arial"/>
                <w:sz w:val="18"/>
                <w:szCs w:val="18"/>
                <w:b w:val="1"/>
                <w:bCs w:val="1"/>
                <w:color w:val="auto"/>
                <w:w w:val="89"/>
              </w:rPr>
              <w:t>52-0684746</w:t>
            </w:r>
          </w:p>
        </w:tc>
      </w:tr>
      <w:tr>
        <w:trPr>
          <w:trHeight w:val="148"/>
        </w:trPr>
        <w:tc>
          <w:tcPr>
            <w:tcW w:w="4540" w:type="dxa"/>
            <w:vAlign w:val="bottom"/>
          </w:tcPr>
          <w:p>
            <w:pPr>
              <w:jc w:val="center"/>
              <w:ind w:right="1855"/>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060" w:type="dxa"/>
            <w:vAlign w:val="bottom"/>
          </w:tcPr>
          <w:p>
            <w:pPr>
              <w:jc w:val="center"/>
              <w:ind w:left="1857"/>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540" w:type="dxa"/>
            <w:vAlign w:val="bottom"/>
          </w:tcPr>
          <w:p>
            <w:pPr>
              <w:jc w:val="center"/>
              <w:ind w:right="1855"/>
              <w:spacing w:after="0"/>
              <w:rPr>
                <w:sz w:val="20"/>
                <w:szCs w:val="20"/>
                <w:color w:val="auto"/>
              </w:rPr>
            </w:pPr>
            <w:r>
              <w:rPr>
                <w:rFonts w:ascii="Arial" w:cs="Arial" w:eastAsia="Arial" w:hAnsi="Arial"/>
                <w:sz w:val="14"/>
                <w:szCs w:val="14"/>
                <w:b w:val="1"/>
                <w:bCs w:val="1"/>
                <w:color w:val="auto"/>
                <w:w w:val="94"/>
              </w:rPr>
              <w:t>incorporation or organization)</w:t>
            </w:r>
          </w:p>
        </w:tc>
        <w:tc>
          <w:tcPr>
            <w:tcW w:w="3060" w:type="dxa"/>
            <w:vAlign w:val="bottom"/>
          </w:tcPr>
          <w:p>
            <w:pPr>
              <w:jc w:val="center"/>
              <w:ind w:left="1837"/>
              <w:spacing w:after="0"/>
              <w:rPr>
                <w:sz w:val="20"/>
                <w:szCs w:val="20"/>
                <w:color w:val="auto"/>
              </w:rPr>
            </w:pPr>
            <w:r>
              <w:rPr>
                <w:rFonts w:ascii="Arial" w:cs="Arial" w:eastAsia="Arial" w:hAnsi="Arial"/>
                <w:sz w:val="14"/>
                <w:szCs w:val="14"/>
                <w:b w:val="1"/>
                <w:bCs w:val="1"/>
                <w:color w:val="auto"/>
                <w:w w:val="96"/>
              </w:rPr>
              <w:t>Identification No.)</w:t>
            </w:r>
          </w:p>
        </w:tc>
      </w:tr>
      <w:tr>
        <w:trPr>
          <w:trHeight w:val="304"/>
        </w:trPr>
        <w:tc>
          <w:tcPr>
            <w:tcW w:w="4540" w:type="dxa"/>
            <w:vAlign w:val="bottom"/>
          </w:tcPr>
          <w:p>
            <w:pPr>
              <w:jc w:val="center"/>
              <w:ind w:right="1835"/>
              <w:spacing w:after="0"/>
              <w:rPr>
                <w:sz w:val="20"/>
                <w:szCs w:val="20"/>
                <w:color w:val="auto"/>
              </w:rPr>
            </w:pPr>
            <w:r>
              <w:rPr>
                <w:rFonts w:ascii="Arial" w:cs="Arial" w:eastAsia="Arial" w:hAnsi="Arial"/>
                <w:sz w:val="18"/>
                <w:szCs w:val="18"/>
                <w:b w:val="1"/>
                <w:bCs w:val="1"/>
                <w:color w:val="auto"/>
              </w:rPr>
              <w:t>42 RUE SAINT-DOMINIQUE</w:t>
            </w:r>
          </w:p>
        </w:tc>
        <w:tc>
          <w:tcPr>
            <w:tcW w:w="3060" w:type="dxa"/>
            <w:vAlign w:val="bottom"/>
          </w:tcPr>
          <w:p>
            <w:pPr>
              <w:spacing w:after="0"/>
              <w:rPr>
                <w:sz w:val="24"/>
                <w:szCs w:val="24"/>
                <w:color w:val="auto"/>
              </w:rPr>
            </w:pPr>
          </w:p>
        </w:tc>
      </w:tr>
      <w:tr>
        <w:trPr>
          <w:trHeight w:val="234"/>
        </w:trPr>
        <w:tc>
          <w:tcPr>
            <w:tcW w:w="4540" w:type="dxa"/>
            <w:vAlign w:val="bottom"/>
          </w:tcPr>
          <w:p>
            <w:pPr>
              <w:jc w:val="center"/>
              <w:ind w:right="1855"/>
              <w:spacing w:after="0"/>
              <w:rPr>
                <w:sz w:val="20"/>
                <w:szCs w:val="20"/>
                <w:color w:val="auto"/>
              </w:rPr>
            </w:pPr>
            <w:r>
              <w:rPr>
                <w:rFonts w:ascii="Arial" w:cs="Arial" w:eastAsia="Arial" w:hAnsi="Arial"/>
                <w:sz w:val="18"/>
                <w:szCs w:val="18"/>
                <w:b w:val="1"/>
                <w:bCs w:val="1"/>
                <w:color w:val="auto"/>
                <w:w w:val="97"/>
              </w:rPr>
              <w:t>PARIS, FRANCE</w:t>
            </w:r>
          </w:p>
        </w:tc>
        <w:tc>
          <w:tcPr>
            <w:tcW w:w="3060" w:type="dxa"/>
            <w:vAlign w:val="bottom"/>
          </w:tcPr>
          <w:p>
            <w:pPr>
              <w:jc w:val="center"/>
              <w:ind w:left="1837"/>
              <w:spacing w:after="0"/>
              <w:rPr>
                <w:sz w:val="20"/>
                <w:szCs w:val="20"/>
                <w:color w:val="auto"/>
              </w:rPr>
            </w:pPr>
            <w:r>
              <w:rPr>
                <w:rFonts w:ascii="Arial" w:cs="Arial" w:eastAsia="Arial" w:hAnsi="Arial"/>
                <w:sz w:val="18"/>
                <w:szCs w:val="18"/>
                <w:b w:val="1"/>
                <w:bCs w:val="1"/>
                <w:color w:val="auto"/>
                <w:w w:val="91"/>
              </w:rPr>
              <w:t>75007</w:t>
            </w:r>
          </w:p>
        </w:tc>
      </w:tr>
      <w:tr>
        <w:trPr>
          <w:trHeight w:val="319"/>
        </w:trPr>
        <w:tc>
          <w:tcPr>
            <w:tcW w:w="4540" w:type="dxa"/>
            <w:vAlign w:val="bottom"/>
          </w:tcPr>
          <w:p>
            <w:pPr>
              <w:jc w:val="center"/>
              <w:ind w:right="1835"/>
              <w:spacing w:after="0"/>
              <w:rPr>
                <w:sz w:val="20"/>
                <w:szCs w:val="20"/>
                <w:color w:val="auto"/>
              </w:rPr>
            </w:pPr>
            <w:r>
              <w:rPr>
                <w:rFonts w:ascii="Arial" w:cs="Arial" w:eastAsia="Arial" w:hAnsi="Arial"/>
                <w:sz w:val="18"/>
                <w:szCs w:val="18"/>
                <w:b w:val="1"/>
                <w:bCs w:val="1"/>
                <w:color w:val="auto"/>
                <w:w w:val="96"/>
              </w:rPr>
              <w:t>5599 SAN FELIPE</w:t>
            </w:r>
          </w:p>
        </w:tc>
        <w:tc>
          <w:tcPr>
            <w:tcW w:w="3060" w:type="dxa"/>
            <w:vAlign w:val="bottom"/>
          </w:tcPr>
          <w:p>
            <w:pPr>
              <w:spacing w:after="0"/>
              <w:rPr>
                <w:sz w:val="24"/>
                <w:szCs w:val="24"/>
                <w:color w:val="auto"/>
              </w:rPr>
            </w:pPr>
          </w:p>
        </w:tc>
      </w:tr>
      <w:tr>
        <w:trPr>
          <w:trHeight w:val="234"/>
        </w:trPr>
        <w:tc>
          <w:tcPr>
            <w:tcW w:w="4540" w:type="dxa"/>
            <w:vAlign w:val="bottom"/>
          </w:tcPr>
          <w:p>
            <w:pPr>
              <w:jc w:val="center"/>
              <w:ind w:right="1855"/>
              <w:spacing w:after="0"/>
              <w:rPr>
                <w:sz w:val="20"/>
                <w:szCs w:val="20"/>
                <w:color w:val="auto"/>
              </w:rPr>
            </w:pPr>
            <w:r>
              <w:rPr>
                <w:rFonts w:ascii="Arial" w:cs="Arial" w:eastAsia="Arial" w:hAnsi="Arial"/>
                <w:sz w:val="18"/>
                <w:szCs w:val="18"/>
                <w:b w:val="1"/>
                <w:bCs w:val="1"/>
                <w:color w:val="auto"/>
                <w:w w:val="96"/>
              </w:rPr>
              <w:t>HOUSTON, TEXAS, U.S.A.</w:t>
            </w:r>
          </w:p>
        </w:tc>
        <w:tc>
          <w:tcPr>
            <w:tcW w:w="3060" w:type="dxa"/>
            <w:vAlign w:val="bottom"/>
          </w:tcPr>
          <w:p>
            <w:pPr>
              <w:jc w:val="center"/>
              <w:ind w:left="1837"/>
              <w:spacing w:after="0"/>
              <w:rPr>
                <w:sz w:val="20"/>
                <w:szCs w:val="20"/>
                <w:color w:val="auto"/>
              </w:rPr>
            </w:pPr>
            <w:r>
              <w:rPr>
                <w:rFonts w:ascii="Arial" w:cs="Arial" w:eastAsia="Arial" w:hAnsi="Arial"/>
                <w:sz w:val="18"/>
                <w:szCs w:val="18"/>
                <w:b w:val="1"/>
                <w:bCs w:val="1"/>
                <w:color w:val="auto"/>
                <w:w w:val="91"/>
              </w:rPr>
              <w:t>77056</w:t>
            </w:r>
          </w:p>
        </w:tc>
      </w:tr>
      <w:tr>
        <w:trPr>
          <w:trHeight w:val="319"/>
        </w:trPr>
        <w:tc>
          <w:tcPr>
            <w:tcW w:w="4540" w:type="dxa"/>
            <w:vAlign w:val="bottom"/>
          </w:tcPr>
          <w:p>
            <w:pPr>
              <w:jc w:val="center"/>
              <w:ind w:right="1855"/>
              <w:spacing w:after="0"/>
              <w:rPr>
                <w:sz w:val="20"/>
                <w:szCs w:val="20"/>
                <w:color w:val="auto"/>
              </w:rPr>
            </w:pPr>
            <w:r>
              <w:rPr>
                <w:rFonts w:ascii="Arial" w:cs="Arial" w:eastAsia="Arial" w:hAnsi="Arial"/>
                <w:sz w:val="18"/>
                <w:szCs w:val="18"/>
                <w:b w:val="1"/>
                <w:bCs w:val="1"/>
                <w:color w:val="auto"/>
              </w:rPr>
              <w:t>62 BUCKINGHAM GATE</w:t>
            </w:r>
          </w:p>
        </w:tc>
        <w:tc>
          <w:tcPr>
            <w:tcW w:w="3060" w:type="dxa"/>
            <w:vAlign w:val="bottom"/>
          </w:tcPr>
          <w:p>
            <w:pPr>
              <w:spacing w:after="0"/>
              <w:rPr>
                <w:sz w:val="24"/>
                <w:szCs w:val="24"/>
                <w:color w:val="auto"/>
              </w:rPr>
            </w:pPr>
          </w:p>
        </w:tc>
      </w:tr>
      <w:tr>
        <w:trPr>
          <w:trHeight w:val="234"/>
        </w:trPr>
        <w:tc>
          <w:tcPr>
            <w:tcW w:w="4540" w:type="dxa"/>
            <w:vAlign w:val="bottom"/>
          </w:tcPr>
          <w:p>
            <w:pPr>
              <w:jc w:val="center"/>
              <w:ind w:right="1855"/>
              <w:spacing w:after="0"/>
              <w:rPr>
                <w:sz w:val="20"/>
                <w:szCs w:val="20"/>
                <w:color w:val="auto"/>
              </w:rPr>
            </w:pPr>
            <w:r>
              <w:rPr>
                <w:rFonts w:ascii="Arial" w:cs="Arial" w:eastAsia="Arial" w:hAnsi="Arial"/>
                <w:sz w:val="18"/>
                <w:szCs w:val="18"/>
                <w:b w:val="1"/>
                <w:bCs w:val="1"/>
                <w:color w:val="auto"/>
              </w:rPr>
              <w:t>LONDON, UNITED KINGDOM</w:t>
            </w:r>
          </w:p>
        </w:tc>
        <w:tc>
          <w:tcPr>
            <w:tcW w:w="3060" w:type="dxa"/>
            <w:vAlign w:val="bottom"/>
          </w:tcPr>
          <w:p>
            <w:pPr>
              <w:jc w:val="center"/>
              <w:ind w:left="1857"/>
              <w:spacing w:after="0"/>
              <w:rPr>
                <w:sz w:val="20"/>
                <w:szCs w:val="20"/>
                <w:color w:val="auto"/>
              </w:rPr>
            </w:pPr>
            <w:r>
              <w:rPr>
                <w:rFonts w:ascii="Arial" w:cs="Arial" w:eastAsia="Arial" w:hAnsi="Arial"/>
                <w:sz w:val="18"/>
                <w:szCs w:val="18"/>
                <w:b w:val="1"/>
                <w:bCs w:val="1"/>
                <w:color w:val="auto"/>
                <w:w w:val="94"/>
              </w:rPr>
              <w:t>SW1E 6AJ</w:t>
            </w:r>
          </w:p>
        </w:tc>
      </w:tr>
      <w:tr>
        <w:trPr>
          <w:trHeight w:val="319"/>
        </w:trPr>
        <w:tc>
          <w:tcPr>
            <w:tcW w:w="4540" w:type="dxa"/>
            <w:vAlign w:val="bottom"/>
          </w:tcPr>
          <w:p>
            <w:pPr>
              <w:jc w:val="center"/>
              <w:ind w:right="1855"/>
              <w:spacing w:after="0"/>
              <w:rPr>
                <w:sz w:val="20"/>
                <w:szCs w:val="20"/>
                <w:color w:val="auto"/>
              </w:rPr>
            </w:pPr>
            <w:r>
              <w:rPr>
                <w:rFonts w:ascii="Arial" w:cs="Arial" w:eastAsia="Arial" w:hAnsi="Arial"/>
                <w:sz w:val="18"/>
                <w:szCs w:val="18"/>
                <w:b w:val="1"/>
                <w:bCs w:val="1"/>
                <w:color w:val="auto"/>
                <w:w w:val="98"/>
              </w:rPr>
              <w:t>PARKSTRAAT 83 THE HAGUE,</w:t>
            </w:r>
          </w:p>
        </w:tc>
        <w:tc>
          <w:tcPr>
            <w:tcW w:w="3060" w:type="dxa"/>
            <w:vAlign w:val="bottom"/>
          </w:tcPr>
          <w:p>
            <w:pPr>
              <w:spacing w:after="0"/>
              <w:rPr>
                <w:sz w:val="24"/>
                <w:szCs w:val="24"/>
                <w:color w:val="auto"/>
              </w:rPr>
            </w:pPr>
          </w:p>
        </w:tc>
      </w:tr>
      <w:tr>
        <w:trPr>
          <w:trHeight w:val="212"/>
        </w:trPr>
        <w:tc>
          <w:tcPr>
            <w:tcW w:w="4540" w:type="dxa"/>
            <w:vAlign w:val="bottom"/>
          </w:tcPr>
          <w:p>
            <w:pPr>
              <w:jc w:val="center"/>
              <w:ind w:right="1855"/>
              <w:spacing w:after="0"/>
              <w:rPr>
                <w:sz w:val="20"/>
                <w:szCs w:val="20"/>
                <w:color w:val="auto"/>
              </w:rPr>
            </w:pPr>
            <w:r>
              <w:rPr>
                <w:rFonts w:ascii="Arial" w:cs="Arial" w:eastAsia="Arial" w:hAnsi="Arial"/>
                <w:sz w:val="18"/>
                <w:szCs w:val="18"/>
                <w:b w:val="1"/>
                <w:bCs w:val="1"/>
                <w:color w:val="auto"/>
              </w:rPr>
              <w:t>THE NETHERLANDS</w:t>
            </w:r>
          </w:p>
        </w:tc>
        <w:tc>
          <w:tcPr>
            <w:tcW w:w="3060" w:type="dxa"/>
            <w:vAlign w:val="bottom"/>
          </w:tcPr>
          <w:p>
            <w:pPr>
              <w:jc w:val="center"/>
              <w:ind w:left="1857"/>
              <w:spacing w:after="0"/>
              <w:rPr>
                <w:sz w:val="20"/>
                <w:szCs w:val="20"/>
                <w:color w:val="auto"/>
              </w:rPr>
            </w:pPr>
            <w:r>
              <w:rPr>
                <w:rFonts w:ascii="Arial" w:cs="Arial" w:eastAsia="Arial" w:hAnsi="Arial"/>
                <w:sz w:val="18"/>
                <w:szCs w:val="18"/>
                <w:b w:val="1"/>
                <w:bCs w:val="1"/>
                <w:color w:val="auto"/>
                <w:w w:val="92"/>
              </w:rPr>
              <w:t>2514 JG</w:t>
            </w:r>
          </w:p>
        </w:tc>
      </w:tr>
      <w:tr>
        <w:trPr>
          <w:trHeight w:val="186"/>
        </w:trPr>
        <w:tc>
          <w:tcPr>
            <w:tcW w:w="4540" w:type="dxa"/>
            <w:vAlign w:val="bottom"/>
          </w:tcPr>
          <w:p>
            <w:pPr>
              <w:jc w:val="center"/>
              <w:ind w:right="1835"/>
              <w:spacing w:after="0"/>
              <w:rPr>
                <w:sz w:val="20"/>
                <w:szCs w:val="20"/>
                <w:color w:val="auto"/>
              </w:rPr>
            </w:pPr>
            <w:r>
              <w:rPr>
                <w:rFonts w:ascii="Arial" w:cs="Arial" w:eastAsia="Arial" w:hAnsi="Arial"/>
                <w:sz w:val="14"/>
                <w:szCs w:val="14"/>
                <w:b w:val="1"/>
                <w:bCs w:val="1"/>
                <w:color w:val="auto"/>
                <w:w w:val="90"/>
              </w:rPr>
              <w:t>(Addresses of principal executive offices)</w:t>
            </w:r>
          </w:p>
        </w:tc>
        <w:tc>
          <w:tcPr>
            <w:tcW w:w="3060" w:type="dxa"/>
            <w:vAlign w:val="bottom"/>
          </w:tcPr>
          <w:p>
            <w:pPr>
              <w:jc w:val="center"/>
              <w:ind w:left="1857"/>
              <w:spacing w:after="0"/>
              <w:rPr>
                <w:sz w:val="20"/>
                <w:szCs w:val="20"/>
                <w:color w:val="auto"/>
              </w:rPr>
            </w:pPr>
            <w:r>
              <w:rPr>
                <w:rFonts w:ascii="Arial" w:cs="Arial" w:eastAsia="Arial" w:hAnsi="Arial"/>
                <w:sz w:val="14"/>
                <w:szCs w:val="14"/>
                <w:b w:val="1"/>
                <w:bCs w:val="1"/>
                <w:color w:val="auto"/>
                <w:w w:val="93"/>
              </w:rPr>
              <w:t>(Zip Codes)</w:t>
            </w:r>
          </w:p>
        </w:tc>
      </w:tr>
    </w:tbl>
    <w:p>
      <w:pPr>
        <w:spacing w:after="0" w:line="75" w:lineRule="exact"/>
        <w:rPr>
          <w:sz w:val="24"/>
          <w:szCs w:val="24"/>
          <w:color w:val="auto"/>
        </w:rPr>
      </w:pPr>
    </w:p>
    <w:p>
      <w:pPr>
        <w:ind w:left="2100"/>
        <w:spacing w:after="0"/>
        <w:rPr>
          <w:sz w:val="20"/>
          <w:szCs w:val="20"/>
          <w:color w:val="auto"/>
        </w:rPr>
      </w:pPr>
      <w:r>
        <w:rPr>
          <w:rFonts w:ascii="Arial" w:cs="Arial" w:eastAsia="Arial" w:hAnsi="Arial"/>
          <w:sz w:val="18"/>
          <w:szCs w:val="18"/>
          <w:b w:val="1"/>
          <w:bCs w:val="1"/>
          <w:color w:val="auto"/>
        </w:rPr>
        <w:t>Registrant’s telephone number in the United States, including area code, is:  (713) 513-2000</w:t>
      </w:r>
    </w:p>
    <w:p>
      <w:pPr>
        <w:spacing w:after="0" w:line="85"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240"/>
          </w:cols>
          <w:pgMar w:left="320" w:top="206" w:right="339" w:bottom="1440" w:gutter="0" w:footer="0" w:header="0"/>
        </w:sectPr>
      </w:pPr>
    </w:p>
    <w:p>
      <w:pPr>
        <w:spacing w:after="0" w:line="136" w:lineRule="exact"/>
        <w:rPr>
          <w:sz w:val="24"/>
          <w:szCs w:val="24"/>
          <w:color w:val="auto"/>
        </w:rPr>
      </w:pPr>
    </w:p>
    <w:p>
      <w:pPr>
        <w:jc w:val="center"/>
        <w:ind w:left="240"/>
        <w:spacing w:after="0"/>
        <w:rPr>
          <w:sz w:val="20"/>
          <w:szCs w:val="20"/>
          <w:color w:val="auto"/>
        </w:rPr>
      </w:pPr>
      <w:r>
        <w:rPr>
          <w:rFonts w:ascii="Arial" w:cs="Arial" w:eastAsia="Arial" w:hAnsi="Arial"/>
          <w:sz w:val="16"/>
          <w:szCs w:val="16"/>
          <w:b w:val="1"/>
          <w:bCs w:val="1"/>
          <w:color w:val="auto"/>
        </w:rPr>
        <w:t>Title of each class</w:t>
      </w:r>
    </w:p>
    <w:p>
      <w:pPr>
        <w:spacing w:after="0" w:line="26" w:lineRule="exact"/>
        <w:rPr>
          <w:sz w:val="24"/>
          <w:szCs w:val="24"/>
          <w:color w:val="auto"/>
        </w:rPr>
      </w:pPr>
    </w:p>
    <w:p>
      <w:pPr>
        <w:jc w:val="center"/>
        <w:ind w:left="240"/>
        <w:spacing w:after="0"/>
        <w:rPr>
          <w:sz w:val="20"/>
          <w:szCs w:val="20"/>
          <w:color w:val="auto"/>
        </w:rPr>
      </w:pPr>
      <w:r>
        <w:rPr>
          <w:rFonts w:ascii="Arial" w:cs="Arial" w:eastAsia="Arial" w:hAnsi="Arial"/>
          <w:sz w:val="14"/>
          <w:szCs w:val="14"/>
          <w:color w:val="auto"/>
        </w:rPr>
        <w:t>common stock, par value $0.01 per share</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jc w:val="center"/>
        <w:ind w:right="500"/>
        <w:spacing w:after="0"/>
        <w:rPr>
          <w:sz w:val="20"/>
          <w:szCs w:val="20"/>
          <w:color w:val="auto"/>
        </w:rPr>
      </w:pPr>
      <w:r>
        <w:rPr>
          <w:rFonts w:ascii="Arial" w:cs="Arial" w:eastAsia="Arial" w:hAnsi="Arial"/>
          <w:sz w:val="14"/>
          <w:szCs w:val="14"/>
          <w:b w:val="1"/>
          <w:bCs w:val="1"/>
          <w:color w:val="auto"/>
        </w:rPr>
        <w:t>Trading Symbol(s)</w:t>
      </w:r>
    </w:p>
    <w:p>
      <w:pPr>
        <w:spacing w:after="0" w:line="49" w:lineRule="exact"/>
        <w:rPr>
          <w:sz w:val="24"/>
          <w:szCs w:val="24"/>
          <w:color w:val="auto"/>
        </w:rPr>
      </w:pPr>
    </w:p>
    <w:p>
      <w:pPr>
        <w:jc w:val="center"/>
        <w:ind w:right="500"/>
        <w:spacing w:after="0"/>
        <w:rPr>
          <w:sz w:val="20"/>
          <w:szCs w:val="20"/>
          <w:color w:val="auto"/>
        </w:rPr>
      </w:pPr>
      <w:r>
        <w:rPr>
          <w:rFonts w:ascii="Arial" w:cs="Arial" w:eastAsia="Arial" w:hAnsi="Arial"/>
          <w:sz w:val="16"/>
          <w:szCs w:val="16"/>
          <w:color w:val="auto"/>
        </w:rPr>
        <w:t>SLB</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jc w:val="center"/>
        <w:ind w:right="740"/>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49"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New York Stock Exchange</w:t>
      </w:r>
    </w:p>
    <w:p>
      <w:pPr>
        <w:spacing w:after="0" w:line="123" w:lineRule="exact"/>
        <w:rPr>
          <w:sz w:val="24"/>
          <w:szCs w:val="24"/>
          <w:color w:val="auto"/>
        </w:rPr>
      </w:pPr>
    </w:p>
    <w:p>
      <w:pPr>
        <w:sectPr>
          <w:pgSz w:w="11900" w:h="16838" w:orient="portrait"/>
          <w:cols w:equalWidth="0" w:num="3">
            <w:col w:w="4260" w:space="720"/>
            <w:col w:w="1800" w:space="720"/>
            <w:col w:w="3740"/>
          </w:cols>
          <w:pgMar w:left="320" w:top="206" w:right="339" w:bottom="1440" w:gutter="0" w:footer="0" w:header="0"/>
          <w:type w:val="continuous"/>
        </w:sectPr>
      </w:pPr>
    </w:p>
    <w:p>
      <w:pPr>
        <w:spacing w:after="0" w:line="284"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10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ind w:right="400"/>
        <w:spacing w:after="0" w:line="21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7" w:lineRule="exact"/>
        <w:rPr>
          <w:sz w:val="24"/>
          <w:szCs w:val="24"/>
          <w:color w:val="auto"/>
        </w:rPr>
      </w:pPr>
    </w:p>
    <w:p>
      <w:pPr>
        <w:ind w:right="12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2"/>
                <w:szCs w:val="22"/>
                <w:color w:val="auto"/>
              </w:rPr>
            </w:pPr>
          </w:p>
        </w:tc>
        <w:tc>
          <w:tcPr>
            <w:tcW w:w="440" w:type="dxa"/>
            <w:vAlign w:val="bottom"/>
          </w:tcPr>
          <w:p>
            <w:pPr>
              <w:spacing w:after="0"/>
              <w:rPr>
                <w:sz w:val="22"/>
                <w:szCs w:val="22"/>
                <w:color w:val="auto"/>
              </w:rPr>
            </w:pPr>
          </w:p>
        </w:tc>
      </w:tr>
    </w:tbl>
    <w:p>
      <w:pPr>
        <w:spacing w:after="0" w:line="100" w:lineRule="exact"/>
        <w:rPr>
          <w:sz w:val="24"/>
          <w:szCs w:val="24"/>
          <w:color w:val="auto"/>
        </w:rPr>
      </w:pPr>
    </w:p>
    <w:p>
      <w:pPr>
        <w:ind w:right="58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8060" w:type="dxa"/>
            <w:vAlign w:val="bottom"/>
            <w:gridSpan w:val="3"/>
          </w:tcPr>
          <w:p>
            <w:pPr>
              <w:spacing w:after="0" w:line="184" w:lineRule="exact"/>
              <w:rPr>
                <w:sz w:val="20"/>
                <w:szCs w:val="20"/>
                <w:color w:val="auto"/>
              </w:rPr>
            </w:pPr>
            <w:r>
              <w:rPr>
                <w:rFonts w:ascii="Arial" w:cs="Arial" w:eastAsia="Arial" w:hAnsi="Arial"/>
                <w:sz w:val="16"/>
                <w:szCs w:val="16"/>
                <w:color w:val="auto"/>
                <w:w w:val="93"/>
              </w:rPr>
              <w:t xml:space="preserve">Indicate by check mark whether the registrant is a shell company (as defined in Rule 12b-2 of the Exchange Act).  Yes </w:t>
            </w:r>
            <w:r>
              <w:rPr>
                <w:rFonts w:ascii="MS PGothic" w:cs="MS PGothic" w:eastAsia="MS PGothic" w:hAnsi="MS PGothic"/>
                <w:sz w:val="16"/>
                <w:szCs w:val="16"/>
                <w:color w:val="auto"/>
                <w:w w:val="93"/>
              </w:rPr>
              <w:t>☐</w:t>
            </w:r>
          </w:p>
        </w:tc>
        <w:tc>
          <w:tcPr>
            <w:tcW w:w="2500" w:type="dxa"/>
            <w:vAlign w:val="bottom"/>
            <w:gridSpan w:val="2"/>
          </w:tcPr>
          <w:p>
            <w:pPr>
              <w:jc w:val="right"/>
              <w:ind w:right="1899"/>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r>
      <w:tr>
        <w:trPr>
          <w:trHeight w:val="292"/>
        </w:trPr>
        <w:tc>
          <w:tcPr>
            <w:tcW w:w="8060" w:type="dxa"/>
            <w:vAlign w:val="bottom"/>
            <w:gridSpan w:val="3"/>
          </w:tcPr>
          <w:p>
            <w:pPr>
              <w:spacing w:after="0"/>
              <w:rPr>
                <w:sz w:val="20"/>
                <w:szCs w:val="20"/>
                <w:color w:val="auto"/>
              </w:rPr>
            </w:pPr>
            <w:r>
              <w:rPr>
                <w:rFonts w:ascii="Arial" w:cs="Arial" w:eastAsia="Arial" w:hAnsi="Arial"/>
                <w:sz w:val="16"/>
                <w:szCs w:val="16"/>
                <w:color w:val="auto"/>
                <w:w w:val="91"/>
              </w:rPr>
              <w:t>Indicate the number of shares outstanding of each of the issuer’s classes of common stock, as of the latest practicable date.</w:t>
            </w:r>
          </w:p>
        </w:tc>
        <w:tc>
          <w:tcPr>
            <w:tcW w:w="48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97"/>
        </w:trPr>
        <w:tc>
          <w:tcPr>
            <w:tcW w:w="8060" w:type="dxa"/>
            <w:vAlign w:val="bottom"/>
            <w:gridSpan w:val="3"/>
          </w:tcPr>
          <w:p>
            <w:pPr>
              <w:ind w:left="3760"/>
              <w:spacing w:after="0"/>
              <w:rPr>
                <w:sz w:val="20"/>
                <w:szCs w:val="20"/>
                <w:color w:val="auto"/>
              </w:rPr>
            </w:pPr>
            <w:r>
              <w:rPr>
                <w:rFonts w:ascii="Arial" w:cs="Arial" w:eastAsia="Arial" w:hAnsi="Arial"/>
                <w:sz w:val="16"/>
                <w:szCs w:val="16"/>
                <w:b w:val="1"/>
                <w:bCs w:val="1"/>
                <w:color w:val="auto"/>
              </w:rPr>
              <w:t>Class</w:t>
            </w:r>
          </w:p>
        </w:tc>
        <w:tc>
          <w:tcPr>
            <w:tcW w:w="480" w:type="dxa"/>
            <w:vAlign w:val="bottom"/>
          </w:tcPr>
          <w:p>
            <w:pPr>
              <w:spacing w:after="0"/>
              <w:rPr>
                <w:sz w:val="24"/>
                <w:szCs w:val="24"/>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0"/>
              </w:rPr>
              <w:t>Outstanding at June 30, 2020</w:t>
            </w:r>
          </w:p>
        </w:tc>
      </w:tr>
      <w:tr>
        <w:trPr>
          <w:trHeight w:val="223"/>
        </w:trPr>
        <w:tc>
          <w:tcPr>
            <w:tcW w:w="8060" w:type="dxa"/>
            <w:vAlign w:val="bottom"/>
            <w:gridSpan w:val="3"/>
          </w:tcPr>
          <w:p>
            <w:pPr>
              <w:spacing w:after="0"/>
              <w:rPr>
                <w:sz w:val="20"/>
                <w:szCs w:val="20"/>
                <w:color w:val="auto"/>
              </w:rPr>
            </w:pPr>
            <w:r>
              <w:rPr>
                <w:rFonts w:ascii="Arial" w:cs="Arial" w:eastAsia="Arial" w:hAnsi="Arial"/>
                <w:sz w:val="16"/>
                <w:szCs w:val="16"/>
                <w:color w:val="auto"/>
              </w:rPr>
              <w:t>COMMON STOCK, $0.01 PAR VALUE PER SHARE</w:t>
            </w:r>
          </w:p>
        </w:tc>
        <w:tc>
          <w:tcPr>
            <w:tcW w:w="2500" w:type="dxa"/>
            <w:vAlign w:val="bottom"/>
            <w:gridSpan w:val="2"/>
          </w:tcPr>
          <w:p>
            <w:pPr>
              <w:jc w:val="right"/>
              <w:ind w:right="499"/>
              <w:spacing w:after="0"/>
              <w:rPr>
                <w:sz w:val="20"/>
                <w:szCs w:val="20"/>
                <w:color w:val="auto"/>
              </w:rPr>
            </w:pPr>
            <w:r>
              <w:rPr>
                <w:rFonts w:ascii="Arial" w:cs="Arial" w:eastAsia="Arial" w:hAnsi="Arial"/>
                <w:sz w:val="16"/>
                <w:szCs w:val="16"/>
                <w:color w:val="auto"/>
              </w:rPr>
              <w:t>1,388,101,743</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1417955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06"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Quarter 2020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of Contents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8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PART I</w:t>
            </w:r>
          </w:p>
        </w:tc>
        <w:tc>
          <w:tcPr>
            <w:tcW w:w="972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Financial Information</w:t>
            </w:r>
          </w:p>
        </w:tc>
        <w:tc>
          <w:tcPr>
            <w:tcW w:w="4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Page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980" w:type="dxa"/>
            <w:vAlign w:val="bottom"/>
            <w:vMerge w:val="continue"/>
          </w:tcPr>
          <w:p>
            <w:pPr>
              <w:spacing w:after="0"/>
              <w:rPr>
                <w:sz w:val="18"/>
                <w:szCs w:val="18"/>
                <w:color w:val="auto"/>
              </w:rPr>
            </w:pPr>
          </w:p>
        </w:tc>
        <w:tc>
          <w:tcPr>
            <w:tcW w:w="972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980" w:type="dxa"/>
            <w:vAlign w:val="bottom"/>
          </w:tcPr>
          <w:p>
            <w:pPr>
              <w:ind w:left="60"/>
              <w:spacing w:after="0"/>
              <w:rPr>
                <w:sz w:val="20"/>
                <w:szCs w:val="20"/>
                <w:color w:val="auto"/>
              </w:rPr>
            </w:pPr>
            <w:r>
              <w:rPr>
                <w:rFonts w:ascii="Arial" w:cs="Arial" w:eastAsia="Arial" w:hAnsi="Arial"/>
                <w:sz w:val="18"/>
                <w:szCs w:val="18"/>
                <w:b w:val="1"/>
                <w:bCs w:val="1"/>
                <w:color w:val="auto"/>
              </w:rPr>
              <w:t>Item 1.</w:t>
            </w:r>
          </w:p>
        </w:tc>
        <w:tc>
          <w:tcPr>
            <w:tcW w:w="9720" w:type="dxa"/>
            <w:vAlign w:val="bottom"/>
          </w:tcPr>
          <w:p>
            <w:pPr>
              <w:ind w:left="2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80" w:type="dxa"/>
            <w:vAlign w:val="bottom"/>
          </w:tcPr>
          <w:p>
            <w:pPr>
              <w:ind w:left="60"/>
              <w:spacing w:after="0"/>
              <w:rPr>
                <w:sz w:val="20"/>
                <w:szCs w:val="20"/>
                <w:color w:val="auto"/>
              </w:rPr>
            </w:pPr>
            <w:r>
              <w:rPr>
                <w:rFonts w:ascii="Arial" w:cs="Arial" w:eastAsia="Arial" w:hAnsi="Arial"/>
                <w:sz w:val="18"/>
                <w:szCs w:val="18"/>
                <w:b w:val="1"/>
                <w:bCs w:val="1"/>
                <w:color w:val="auto"/>
              </w:rPr>
              <w:t>Item 2.</w:t>
            </w:r>
          </w:p>
        </w:tc>
        <w:tc>
          <w:tcPr>
            <w:tcW w:w="9720" w:type="dxa"/>
            <w:vAlign w:val="bottom"/>
          </w:tcPr>
          <w:p>
            <w:pPr>
              <w:ind w:left="22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Management’s Discussion and Analysis of Financial Condition and Results of Operations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80" w:type="dxa"/>
            <w:vAlign w:val="bottom"/>
          </w:tcPr>
          <w:p>
            <w:pPr>
              <w:ind w:left="60"/>
              <w:spacing w:after="0"/>
              <w:rPr>
                <w:sz w:val="20"/>
                <w:szCs w:val="20"/>
                <w:color w:val="auto"/>
              </w:rPr>
            </w:pPr>
            <w:r>
              <w:rPr>
                <w:rFonts w:ascii="Arial" w:cs="Arial" w:eastAsia="Arial" w:hAnsi="Arial"/>
                <w:sz w:val="18"/>
                <w:szCs w:val="18"/>
                <w:b w:val="1"/>
                <w:bCs w:val="1"/>
                <w:color w:val="auto"/>
              </w:rPr>
              <w:t>Item 3.</w:t>
            </w:r>
          </w:p>
        </w:tc>
        <w:tc>
          <w:tcPr>
            <w:tcW w:w="9720" w:type="dxa"/>
            <w:vAlign w:val="bottom"/>
          </w:tcPr>
          <w:p>
            <w:pPr>
              <w:ind w:left="22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Quantitative and Qualitative Disclosures about Market Risk</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80" w:type="dxa"/>
            <w:vAlign w:val="bottom"/>
          </w:tcPr>
          <w:p>
            <w:pPr>
              <w:ind w:left="60"/>
              <w:spacing w:after="0"/>
              <w:rPr>
                <w:sz w:val="20"/>
                <w:szCs w:val="20"/>
                <w:color w:val="auto"/>
              </w:rPr>
            </w:pPr>
            <w:r>
              <w:rPr>
                <w:rFonts w:ascii="Arial" w:cs="Arial" w:eastAsia="Arial" w:hAnsi="Arial"/>
                <w:sz w:val="18"/>
                <w:szCs w:val="18"/>
                <w:b w:val="1"/>
                <w:bCs w:val="1"/>
                <w:color w:val="auto"/>
              </w:rPr>
              <w:t>Item 4.</w:t>
            </w:r>
          </w:p>
        </w:tc>
        <w:tc>
          <w:tcPr>
            <w:tcW w:w="9720" w:type="dxa"/>
            <w:vAlign w:val="bottom"/>
          </w:tcPr>
          <w:p>
            <w:pPr>
              <w:ind w:left="22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Controls and Procedures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80" w:type="dxa"/>
            <w:vAlign w:val="bottom"/>
          </w:tcPr>
          <w:p>
            <w:pPr>
              <w:ind w:left="120"/>
              <w:spacing w:after="0"/>
              <w:rPr>
                <w:sz w:val="20"/>
                <w:szCs w:val="20"/>
                <w:color w:val="auto"/>
              </w:rPr>
            </w:pPr>
            <w:r>
              <w:rPr>
                <w:rFonts w:ascii="Arial" w:cs="Arial" w:eastAsia="Arial" w:hAnsi="Arial"/>
                <w:sz w:val="18"/>
                <w:szCs w:val="18"/>
                <w:b w:val="1"/>
                <w:bCs w:val="1"/>
                <w:color w:val="auto"/>
              </w:rPr>
              <w:t>PART II</w:t>
            </w:r>
          </w:p>
        </w:tc>
        <w:tc>
          <w:tcPr>
            <w:tcW w:w="9720" w:type="dxa"/>
            <w:vAlign w:val="bottom"/>
          </w:tcPr>
          <w:p>
            <w:pPr>
              <w:ind w:left="220"/>
              <w:spacing w:after="0"/>
              <w:rPr>
                <w:sz w:val="20"/>
                <w:szCs w:val="20"/>
                <w:color w:val="auto"/>
              </w:rPr>
            </w:pPr>
            <w:r>
              <w:rPr>
                <w:rFonts w:ascii="Arial" w:cs="Arial" w:eastAsia="Arial" w:hAnsi="Arial"/>
                <w:sz w:val="18"/>
                <w:szCs w:val="18"/>
                <w:b w:val="1"/>
                <w:bCs w:val="1"/>
                <w:color w:val="auto"/>
              </w:rPr>
              <w:t>Other Information</w:t>
            </w: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80" w:type="dxa"/>
            <w:vAlign w:val="bottom"/>
          </w:tcPr>
          <w:p>
            <w:pPr>
              <w:ind w:left="60"/>
              <w:spacing w:after="0"/>
              <w:rPr>
                <w:sz w:val="20"/>
                <w:szCs w:val="20"/>
                <w:color w:val="auto"/>
              </w:rPr>
            </w:pPr>
            <w:r>
              <w:rPr>
                <w:rFonts w:ascii="Arial" w:cs="Arial" w:eastAsia="Arial" w:hAnsi="Arial"/>
                <w:sz w:val="18"/>
                <w:szCs w:val="18"/>
                <w:b w:val="1"/>
                <w:bCs w:val="1"/>
                <w:color w:val="auto"/>
              </w:rPr>
              <w:t>Item 1.</w:t>
            </w:r>
          </w:p>
        </w:tc>
        <w:tc>
          <w:tcPr>
            <w:tcW w:w="9720" w:type="dxa"/>
            <w:vAlign w:val="bottom"/>
          </w:tcPr>
          <w:p>
            <w:pPr>
              <w:ind w:left="22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Legal Proceedings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80" w:type="dxa"/>
            <w:vAlign w:val="bottom"/>
          </w:tcPr>
          <w:p>
            <w:pPr>
              <w:ind w:left="60"/>
              <w:spacing w:after="0"/>
              <w:rPr>
                <w:sz w:val="20"/>
                <w:szCs w:val="20"/>
                <w:color w:val="auto"/>
              </w:rPr>
            </w:pPr>
            <w:r>
              <w:rPr>
                <w:rFonts w:ascii="Arial" w:cs="Arial" w:eastAsia="Arial" w:hAnsi="Arial"/>
                <w:sz w:val="18"/>
                <w:szCs w:val="18"/>
                <w:b w:val="1"/>
                <w:bCs w:val="1"/>
                <w:color w:val="auto"/>
              </w:rPr>
              <w:t>Item 1A.</w:t>
            </w:r>
          </w:p>
        </w:tc>
        <w:tc>
          <w:tcPr>
            <w:tcW w:w="9720" w:type="dxa"/>
            <w:vAlign w:val="bottom"/>
          </w:tcPr>
          <w:p>
            <w:pPr>
              <w:ind w:left="22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Risk Factors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80" w:type="dxa"/>
            <w:vAlign w:val="bottom"/>
          </w:tcPr>
          <w:p>
            <w:pPr>
              <w:ind w:left="60"/>
              <w:spacing w:after="0"/>
              <w:rPr>
                <w:sz w:val="20"/>
                <w:szCs w:val="20"/>
                <w:color w:val="auto"/>
              </w:rPr>
            </w:pPr>
            <w:r>
              <w:rPr>
                <w:rFonts w:ascii="Arial" w:cs="Arial" w:eastAsia="Arial" w:hAnsi="Arial"/>
                <w:sz w:val="18"/>
                <w:szCs w:val="18"/>
                <w:b w:val="1"/>
                <w:bCs w:val="1"/>
                <w:color w:val="auto"/>
              </w:rPr>
              <w:t>Item 2.</w:t>
            </w:r>
          </w:p>
        </w:tc>
        <w:tc>
          <w:tcPr>
            <w:tcW w:w="9720" w:type="dxa"/>
            <w:vAlign w:val="bottom"/>
          </w:tcPr>
          <w:p>
            <w:pPr>
              <w:ind w:left="22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Unregistered Sales of Equity Securities and Use of Proceeds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80" w:type="dxa"/>
            <w:vAlign w:val="bottom"/>
          </w:tcPr>
          <w:p>
            <w:pPr>
              <w:ind w:left="60"/>
              <w:spacing w:after="0"/>
              <w:rPr>
                <w:sz w:val="20"/>
                <w:szCs w:val="20"/>
                <w:color w:val="auto"/>
              </w:rPr>
            </w:pPr>
            <w:r>
              <w:rPr>
                <w:rFonts w:ascii="Arial" w:cs="Arial" w:eastAsia="Arial" w:hAnsi="Arial"/>
                <w:sz w:val="18"/>
                <w:szCs w:val="18"/>
                <w:b w:val="1"/>
                <w:bCs w:val="1"/>
                <w:color w:val="auto"/>
              </w:rPr>
              <w:t>Item 3.</w:t>
            </w:r>
          </w:p>
        </w:tc>
        <w:tc>
          <w:tcPr>
            <w:tcW w:w="9720" w:type="dxa"/>
            <w:vAlign w:val="bottom"/>
          </w:tcPr>
          <w:p>
            <w:pPr>
              <w:ind w:left="22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Defaults Upon Senior Securities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80" w:type="dxa"/>
            <w:vAlign w:val="bottom"/>
          </w:tcPr>
          <w:p>
            <w:pPr>
              <w:ind w:left="60"/>
              <w:spacing w:after="0"/>
              <w:rPr>
                <w:sz w:val="20"/>
                <w:szCs w:val="20"/>
                <w:color w:val="auto"/>
              </w:rPr>
            </w:pPr>
            <w:r>
              <w:rPr>
                <w:rFonts w:ascii="Arial" w:cs="Arial" w:eastAsia="Arial" w:hAnsi="Arial"/>
                <w:sz w:val="18"/>
                <w:szCs w:val="18"/>
                <w:b w:val="1"/>
                <w:bCs w:val="1"/>
                <w:color w:val="auto"/>
              </w:rPr>
              <w:t>Item 4.</w:t>
            </w:r>
          </w:p>
        </w:tc>
        <w:tc>
          <w:tcPr>
            <w:tcW w:w="9720" w:type="dxa"/>
            <w:vAlign w:val="bottom"/>
          </w:tcPr>
          <w:p>
            <w:pPr>
              <w:ind w:left="22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Mine Safety Disclosures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80" w:type="dxa"/>
            <w:vAlign w:val="bottom"/>
          </w:tcPr>
          <w:p>
            <w:pPr>
              <w:ind w:left="60"/>
              <w:spacing w:after="0"/>
              <w:rPr>
                <w:sz w:val="20"/>
                <w:szCs w:val="20"/>
                <w:color w:val="auto"/>
              </w:rPr>
            </w:pPr>
            <w:r>
              <w:rPr>
                <w:rFonts w:ascii="Arial" w:cs="Arial" w:eastAsia="Arial" w:hAnsi="Arial"/>
                <w:sz w:val="18"/>
                <w:szCs w:val="18"/>
                <w:b w:val="1"/>
                <w:bCs w:val="1"/>
                <w:color w:val="auto"/>
              </w:rPr>
              <w:t>Item 5.</w:t>
            </w:r>
          </w:p>
        </w:tc>
        <w:tc>
          <w:tcPr>
            <w:tcW w:w="9720" w:type="dxa"/>
            <w:vAlign w:val="bottom"/>
          </w:tcPr>
          <w:p>
            <w:pPr>
              <w:ind w:left="22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Other Information</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80" w:type="dxa"/>
            <w:vAlign w:val="bottom"/>
          </w:tcPr>
          <w:p>
            <w:pPr>
              <w:ind w:left="60"/>
              <w:spacing w:after="0"/>
              <w:rPr>
                <w:sz w:val="20"/>
                <w:szCs w:val="20"/>
                <w:color w:val="auto"/>
              </w:rPr>
            </w:pPr>
            <w:r>
              <w:rPr>
                <w:rFonts w:ascii="Arial" w:cs="Arial" w:eastAsia="Arial" w:hAnsi="Arial"/>
                <w:sz w:val="18"/>
                <w:szCs w:val="18"/>
                <w:b w:val="1"/>
                <w:bCs w:val="1"/>
                <w:color w:val="auto"/>
              </w:rPr>
              <w:t>Item 6.</w:t>
            </w:r>
          </w:p>
        </w:tc>
        <w:tc>
          <w:tcPr>
            <w:tcW w:w="9720" w:type="dxa"/>
            <w:vAlign w:val="bottom"/>
          </w:tcPr>
          <w:p>
            <w:pPr>
              <w:ind w:left="22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Exhibits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9"/>
        </w:trPr>
        <w:tc>
          <w:tcPr>
            <w:tcW w:w="980" w:type="dxa"/>
            <w:vAlign w:val="bottom"/>
            <w:tcBorders>
              <w:bottom w:val="single" w:sz="8" w:color="9A9A9A"/>
            </w:tcBorders>
          </w:tcPr>
          <w:p>
            <w:pPr>
              <w:spacing w:after="0"/>
              <w:rPr>
                <w:sz w:val="24"/>
                <w:szCs w:val="24"/>
                <w:color w:val="auto"/>
              </w:rPr>
            </w:pPr>
          </w:p>
        </w:tc>
        <w:tc>
          <w:tcPr>
            <w:tcW w:w="97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Financial Statements.</w:t>
      </w:r>
    </w:p>
    <w:p>
      <w:pPr>
        <w:spacing w:after="0" w:line="200" w:lineRule="exact"/>
        <w:rPr>
          <w:sz w:val="20"/>
          <w:szCs w:val="20"/>
          <w:color w:val="auto"/>
        </w:rPr>
      </w:pPr>
    </w:p>
    <w:p>
      <w:pPr>
        <w:spacing w:after="0" w:line="241" w:lineRule="exact"/>
        <w:rPr>
          <w:sz w:val="20"/>
          <w:szCs w:val="20"/>
          <w:color w:val="auto"/>
        </w:rPr>
      </w:pPr>
    </w:p>
    <w:p>
      <w:pPr>
        <w:ind w:left="356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7" w:lineRule="exact"/>
        <w:rPr>
          <w:sz w:val="20"/>
          <w:szCs w:val="20"/>
          <w:color w:val="auto"/>
        </w:rPr>
      </w:pPr>
    </w:p>
    <w:p>
      <w:pPr>
        <w:ind w:left="3460"/>
        <w:spacing w:after="0"/>
        <w:rPr>
          <w:sz w:val="20"/>
          <w:szCs w:val="20"/>
          <w:color w:val="auto"/>
        </w:rPr>
      </w:pPr>
      <w:r>
        <w:rPr>
          <w:rFonts w:ascii="Arial" w:cs="Arial" w:eastAsia="Arial" w:hAnsi="Arial"/>
          <w:sz w:val="18"/>
          <w:szCs w:val="18"/>
          <w:b w:val="1"/>
          <w:bCs w:val="1"/>
          <w:u w:val="single" w:color="auto"/>
          <w:color w:val="auto"/>
        </w:rPr>
        <w:t>CONSOLIDATED STATEMENT OF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920" w:type="dxa"/>
            <w:vAlign w:val="bottom"/>
            <w:gridSpan w:val="7"/>
          </w:tcPr>
          <w:p>
            <w:pPr>
              <w:ind w:left="160"/>
              <w:spacing w:after="0"/>
              <w:rPr>
                <w:sz w:val="20"/>
                <w:szCs w:val="20"/>
                <w:color w:val="auto"/>
              </w:rPr>
            </w:pPr>
            <w:r>
              <w:rPr>
                <w:rFonts w:ascii="Arial" w:cs="Arial" w:eastAsia="Arial" w:hAnsi="Arial"/>
                <w:sz w:val="14"/>
                <w:szCs w:val="14"/>
                <w:i w:val="1"/>
                <w:iCs w:val="1"/>
                <w:color w:val="auto"/>
                <w:w w:val="96"/>
              </w:rPr>
              <w:t>(Stated in millions, except per share amounts</w:t>
            </w:r>
            <w:r>
              <w:rPr>
                <w:rFonts w:ascii="Arial" w:cs="Arial" w:eastAsia="Arial" w:hAnsi="Arial"/>
                <w:sz w:val="14"/>
                <w:szCs w:val="14"/>
                <w:color w:val="auto"/>
                <w:w w:val="96"/>
              </w:rPr>
              <w:t>)</w:t>
            </w:r>
          </w:p>
        </w:tc>
      </w:tr>
      <w:tr>
        <w:trPr>
          <w:trHeight w:val="444"/>
        </w:trPr>
        <w:tc>
          <w:tcPr>
            <w:tcW w:w="4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b w:val="1"/>
                <w:bCs w:val="1"/>
                <w:color w:val="auto"/>
              </w:rPr>
              <w:t>Second Quarter</w:t>
            </w:r>
          </w:p>
        </w:tc>
        <w:tc>
          <w:tcPr>
            <w:tcW w:w="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Six Months</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4820" w:type="dxa"/>
            <w:vAlign w:val="bottom"/>
            <w:tcBorders>
              <w:bottom w:val="single" w:sz="8" w:color="CFF0FC"/>
            </w:tcBorders>
          </w:tcPr>
          <w:p>
            <w:pPr>
              <w:spacing w:after="0"/>
              <w:rPr>
                <w:sz w:val="19"/>
                <w:szCs w:val="19"/>
                <w:color w:val="auto"/>
              </w:rPr>
            </w:pPr>
          </w:p>
        </w:tc>
        <w:tc>
          <w:tcPr>
            <w:tcW w:w="9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4"/>
              </w:rPr>
              <w:t>2019</w:t>
            </w:r>
          </w:p>
        </w:tc>
        <w:tc>
          <w:tcPr>
            <w:tcW w:w="100" w:type="dxa"/>
            <w:vAlign w:val="bottom"/>
            <w:tcBorders>
              <w:bottom w:val="single" w:sz="8" w:color="CFF0FC"/>
            </w:tcBorders>
          </w:tcPr>
          <w:p>
            <w:pPr>
              <w:spacing w:after="0"/>
              <w:rPr>
                <w:sz w:val="19"/>
                <w:szCs w:val="19"/>
                <w:color w:val="auto"/>
              </w:rPr>
            </w:pPr>
          </w:p>
        </w:tc>
      </w:tr>
      <w:tr>
        <w:trPr>
          <w:trHeight w:val="223"/>
        </w:trPr>
        <w:tc>
          <w:tcPr>
            <w:tcW w:w="48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Revenue</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820" w:type="dxa"/>
            <w:vAlign w:val="bottom"/>
          </w:tcPr>
          <w:p>
            <w:pPr>
              <w:ind w:left="260"/>
              <w:spacing w:after="0"/>
              <w:rPr>
                <w:sz w:val="20"/>
                <w:szCs w:val="20"/>
                <w:color w:val="auto"/>
              </w:rPr>
            </w:pPr>
            <w:r>
              <w:rPr>
                <w:rFonts w:ascii="Arial" w:cs="Arial" w:eastAsia="Arial" w:hAnsi="Arial"/>
                <w:sz w:val="18"/>
                <w:szCs w:val="18"/>
                <w:color w:val="auto"/>
              </w:rPr>
              <w:t>Services</w:t>
            </w:r>
          </w:p>
        </w:tc>
        <w:tc>
          <w:tcPr>
            <w:tcW w:w="1200" w:type="dxa"/>
            <w:vAlign w:val="bottom"/>
            <w:gridSpan w:val="2"/>
          </w:tcPr>
          <w:p>
            <w:pPr>
              <w:jc w:val="right"/>
              <w:ind w:right="87"/>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3,721</w:t>
            </w:r>
          </w:p>
        </w:tc>
        <w:tc>
          <w:tcPr>
            <w:tcW w:w="2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6,153</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9,147</w:t>
            </w:r>
          </w:p>
        </w:tc>
        <w:tc>
          <w:tcPr>
            <w:tcW w:w="260" w:type="dxa"/>
            <w:vAlign w:val="bottom"/>
          </w:tcPr>
          <w:p>
            <w:pPr>
              <w:spacing w:after="0"/>
              <w:rPr>
                <w:sz w:val="19"/>
                <w:szCs w:val="19"/>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12,059</w:t>
            </w:r>
          </w:p>
        </w:tc>
        <w:tc>
          <w:tcPr>
            <w:tcW w:w="100" w:type="dxa"/>
            <w:vAlign w:val="bottom"/>
          </w:tcPr>
          <w:p>
            <w:pPr>
              <w:spacing w:after="0"/>
              <w:rPr>
                <w:sz w:val="19"/>
                <w:szCs w:val="19"/>
                <w:color w:val="auto"/>
              </w:rPr>
            </w:pPr>
          </w:p>
        </w:tc>
      </w:tr>
      <w:tr>
        <w:trPr>
          <w:trHeight w:val="229"/>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Product sales</w:t>
            </w:r>
          </w:p>
        </w:tc>
        <w:tc>
          <w:tcPr>
            <w:tcW w:w="9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1,635</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2,116</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3,664</w:t>
            </w:r>
          </w:p>
        </w:tc>
        <w:tc>
          <w:tcPr>
            <w:tcW w:w="2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4,090</w:t>
            </w:r>
          </w:p>
        </w:tc>
        <w:tc>
          <w:tcPr>
            <w:tcW w:w="100" w:type="dxa"/>
            <w:vAlign w:val="bottom"/>
            <w:shd w:val="clear" w:color="auto" w:fill="CFF0FC"/>
          </w:tcPr>
          <w:p>
            <w:pPr>
              <w:spacing w:after="0"/>
              <w:rPr>
                <w:sz w:val="19"/>
                <w:szCs w:val="19"/>
                <w:color w:val="auto"/>
              </w:rPr>
            </w:pPr>
          </w:p>
        </w:tc>
      </w:tr>
      <w:tr>
        <w:trPr>
          <w:trHeight w:val="223"/>
        </w:trPr>
        <w:tc>
          <w:tcPr>
            <w:tcW w:w="4820" w:type="dxa"/>
            <w:vAlign w:val="bottom"/>
          </w:tcPr>
          <w:p>
            <w:pPr>
              <w:spacing w:after="0"/>
              <w:rPr>
                <w:sz w:val="20"/>
                <w:szCs w:val="20"/>
                <w:color w:val="auto"/>
              </w:rPr>
            </w:pPr>
            <w:r>
              <w:rPr>
                <w:rFonts w:ascii="Arial" w:cs="Arial" w:eastAsia="Arial" w:hAnsi="Arial"/>
                <w:sz w:val="18"/>
                <w:szCs w:val="18"/>
                <w:i w:val="1"/>
                <w:iCs w:val="1"/>
                <w:color w:val="auto"/>
              </w:rPr>
              <w:t>Total Revenue</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5,356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8,269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12,811</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16,149</w:t>
            </w:r>
          </w:p>
        </w:tc>
        <w:tc>
          <w:tcPr>
            <w:tcW w:w="100" w:type="dxa"/>
            <w:vAlign w:val="bottom"/>
          </w:tcPr>
          <w:p>
            <w:pPr>
              <w:spacing w:after="0"/>
              <w:rPr>
                <w:sz w:val="19"/>
                <w:szCs w:val="19"/>
                <w:color w:val="auto"/>
              </w:rPr>
            </w:pPr>
          </w:p>
        </w:tc>
      </w:tr>
      <w:tr>
        <w:trPr>
          <w:trHeight w:val="229"/>
        </w:trPr>
        <w:tc>
          <w:tcPr>
            <w:tcW w:w="48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Interest &amp; other income</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33</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72</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FF0FC"/>
          </w:tcPr>
          <w:p>
            <w:pPr>
              <w:spacing w:after="0"/>
              <w:rPr>
                <w:sz w:val="19"/>
                <w:szCs w:val="19"/>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i w:val="1"/>
                <w:iCs w:val="1"/>
                <w:color w:val="auto"/>
              </w:rPr>
              <w:t>Expenses</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services</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3,383</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5,308</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8,109</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10,422</w:t>
            </w:r>
          </w:p>
        </w:tc>
        <w:tc>
          <w:tcPr>
            <w:tcW w:w="100" w:type="dxa"/>
            <w:vAlign w:val="bottom"/>
            <w:shd w:val="clear" w:color="auto" w:fill="CFF0FC"/>
          </w:tcPr>
          <w:p>
            <w:pPr>
              <w:spacing w:after="0"/>
              <w:rPr>
                <w:sz w:val="19"/>
                <w:szCs w:val="19"/>
                <w:color w:val="auto"/>
              </w:rPr>
            </w:pPr>
          </w:p>
        </w:tc>
      </w:tr>
      <w:tr>
        <w:trPr>
          <w:trHeight w:val="229"/>
        </w:trPr>
        <w:tc>
          <w:tcPr>
            <w:tcW w:w="4820" w:type="dxa"/>
            <w:vAlign w:val="bottom"/>
          </w:tcPr>
          <w:p>
            <w:pPr>
              <w:ind w:left="260"/>
              <w:spacing w:after="0"/>
              <w:rPr>
                <w:sz w:val="20"/>
                <w:szCs w:val="20"/>
                <w:color w:val="auto"/>
              </w:rPr>
            </w:pPr>
            <w:r>
              <w:rPr>
                <w:rFonts w:ascii="Arial" w:cs="Arial" w:eastAsia="Arial" w:hAnsi="Arial"/>
                <w:sz w:val="18"/>
                <w:szCs w:val="18"/>
                <w:color w:val="auto"/>
              </w:rPr>
              <w:t>Cost of sales</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1,542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1,944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3,439</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3,787</w:t>
            </w:r>
          </w:p>
        </w:tc>
        <w:tc>
          <w:tcPr>
            <w:tcW w:w="100" w:type="dxa"/>
            <w:vAlign w:val="bottom"/>
          </w:tcPr>
          <w:p>
            <w:pPr>
              <w:spacing w:after="0"/>
              <w:rPr>
                <w:sz w:val="19"/>
                <w:szCs w:val="19"/>
                <w:color w:val="auto"/>
              </w:rPr>
            </w:pPr>
          </w:p>
        </w:tc>
      </w:tr>
      <w:tr>
        <w:trPr>
          <w:trHeight w:val="230"/>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&amp; engineering</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142</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315</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FF0FC"/>
          </w:tcPr>
          <w:p>
            <w:pPr>
              <w:spacing w:after="0"/>
              <w:rPr>
                <w:sz w:val="19"/>
                <w:szCs w:val="19"/>
                <w:color w:val="auto"/>
              </w:rPr>
            </w:pPr>
          </w:p>
        </w:tc>
      </w:tr>
      <w:tr>
        <w:trPr>
          <w:trHeight w:val="229"/>
        </w:trPr>
        <w:tc>
          <w:tcPr>
            <w:tcW w:w="4820" w:type="dxa"/>
            <w:vAlign w:val="bottom"/>
          </w:tcPr>
          <w:p>
            <w:pPr>
              <w:ind w:left="260"/>
              <w:spacing w:after="0"/>
              <w:rPr>
                <w:sz w:val="20"/>
                <w:szCs w:val="20"/>
                <w:color w:val="auto"/>
              </w:rPr>
            </w:pPr>
            <w:r>
              <w:rPr>
                <w:rFonts w:ascii="Arial" w:cs="Arial" w:eastAsia="Arial" w:hAnsi="Arial"/>
                <w:sz w:val="18"/>
                <w:szCs w:val="18"/>
                <w:color w:val="auto"/>
              </w:rPr>
              <w:t>General &amp; administrative</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81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208</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9"/>
                <w:szCs w:val="19"/>
                <w:color w:val="auto"/>
              </w:rPr>
            </w:pPr>
          </w:p>
        </w:tc>
      </w:tr>
      <w:tr>
        <w:trPr>
          <w:trHeight w:val="230"/>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Impairments &amp; other</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3,724</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12,247</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9"/>
        </w:trPr>
        <w:tc>
          <w:tcPr>
            <w:tcW w:w="48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Interest</w:t>
            </w:r>
          </w:p>
        </w:tc>
        <w:tc>
          <w:tcPr>
            <w:tcW w:w="9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281</w:t>
            </w:r>
          </w:p>
        </w:tc>
        <w:tc>
          <w:tcPr>
            <w:tcW w:w="2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FF0FC"/>
            </w:tcBorders>
          </w:tcPr>
          <w:p>
            <w:pPr>
              <w:spacing w:after="0"/>
              <w:rPr>
                <w:sz w:val="19"/>
                <w:szCs w:val="19"/>
                <w:color w:val="auto"/>
              </w:rPr>
            </w:pPr>
          </w:p>
        </w:tc>
      </w:tr>
      <w:tr>
        <w:trPr>
          <w:trHeight w:val="223"/>
        </w:trPr>
        <w:tc>
          <w:tcPr>
            <w:tcW w:w="48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Income (loss) before taxes</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(3,627)</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(11,716)</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1,101</w:t>
            </w:r>
          </w:p>
        </w:tc>
        <w:tc>
          <w:tcPr>
            <w:tcW w:w="100" w:type="dxa"/>
            <w:vAlign w:val="bottom"/>
            <w:shd w:val="clear" w:color="auto" w:fill="CFF0FC"/>
          </w:tcPr>
          <w:p>
            <w:pPr>
              <w:spacing w:after="0"/>
              <w:rPr>
                <w:sz w:val="19"/>
                <w:szCs w:val="19"/>
                <w:color w:val="auto"/>
              </w:rPr>
            </w:pPr>
          </w:p>
        </w:tc>
      </w:tr>
      <w:tr>
        <w:trPr>
          <w:trHeight w:val="230"/>
        </w:trPr>
        <w:tc>
          <w:tcPr>
            <w:tcW w:w="4820" w:type="dxa"/>
            <w:vAlign w:val="bottom"/>
          </w:tcPr>
          <w:p>
            <w:pPr>
              <w:ind w:left="260"/>
              <w:spacing w:after="0"/>
              <w:rPr>
                <w:sz w:val="20"/>
                <w:szCs w:val="20"/>
                <w:color w:val="auto"/>
              </w:rPr>
            </w:pPr>
            <w:r>
              <w:rPr>
                <w:rFonts w:ascii="Arial" w:cs="Arial" w:eastAsia="Arial" w:hAnsi="Arial"/>
                <w:sz w:val="18"/>
                <w:szCs w:val="18"/>
                <w:color w:val="auto"/>
              </w:rPr>
              <w:t>Tax expense (benefit)</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(199)</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(920)</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9"/>
                <w:szCs w:val="19"/>
                <w:color w:val="auto"/>
              </w:rPr>
            </w:pPr>
          </w:p>
        </w:tc>
      </w:tr>
      <w:tr>
        <w:trPr>
          <w:trHeight w:val="223"/>
        </w:trPr>
        <w:tc>
          <w:tcPr>
            <w:tcW w:w="4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Net income (loss)</w:t>
            </w:r>
          </w:p>
        </w:tc>
        <w:tc>
          <w:tcPr>
            <w:tcW w:w="9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(3,428)</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(10,796)</w:t>
            </w:r>
          </w:p>
        </w:tc>
        <w:tc>
          <w:tcPr>
            <w:tcW w:w="2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8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income attributable to noncontrolling interests</w:t>
            </w:r>
          </w:p>
        </w:tc>
        <w:tc>
          <w:tcPr>
            <w:tcW w:w="9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2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FF0FC"/>
            </w:tcBorders>
          </w:tcPr>
          <w:p>
            <w:pPr>
              <w:spacing w:after="0"/>
              <w:rPr>
                <w:sz w:val="19"/>
                <w:szCs w:val="19"/>
                <w:color w:val="auto"/>
              </w:rPr>
            </w:pPr>
          </w:p>
        </w:tc>
      </w:tr>
      <w:tr>
        <w:trPr>
          <w:trHeight w:val="223"/>
        </w:trPr>
        <w:tc>
          <w:tcPr>
            <w:tcW w:w="4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Net income (loss) attributable to Schlumberger</w:t>
            </w:r>
          </w:p>
        </w:tc>
        <w:tc>
          <w:tcPr>
            <w:tcW w:w="9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(3,434)</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(10,810)</w:t>
            </w:r>
          </w:p>
        </w:tc>
        <w:tc>
          <w:tcPr>
            <w:tcW w:w="2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Basic earnings (loss) per share of Schlumberger</w:t>
            </w:r>
          </w:p>
        </w:tc>
        <w:tc>
          <w:tcPr>
            <w:tcW w:w="120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(2.47)</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0.36</w:t>
            </w:r>
          </w:p>
        </w:tc>
        <w:tc>
          <w:tcPr>
            <w:tcW w:w="4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(7.79)</w:t>
            </w: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0.66</w:t>
            </w:r>
          </w:p>
        </w:tc>
        <w:tc>
          <w:tcPr>
            <w:tcW w:w="100" w:type="dxa"/>
            <w:vAlign w:val="bottom"/>
            <w:shd w:val="clear" w:color="auto" w:fill="CFF0FC"/>
          </w:tcPr>
          <w:p>
            <w:pPr>
              <w:spacing w:after="0"/>
              <w:rPr>
                <w:sz w:val="19"/>
                <w:szCs w:val="19"/>
                <w:color w:val="auto"/>
              </w:rPr>
            </w:pPr>
          </w:p>
        </w:tc>
      </w:tr>
      <w:tr>
        <w:trPr>
          <w:trHeight w:val="20"/>
        </w:trPr>
        <w:tc>
          <w:tcPr>
            <w:tcW w:w="482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210"/>
        </w:trPr>
        <w:tc>
          <w:tcPr>
            <w:tcW w:w="4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Diluted earnings (loss) per share of Schlumberger</w:t>
            </w:r>
          </w:p>
        </w:tc>
        <w:tc>
          <w:tcPr>
            <w:tcW w:w="120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(2.47)</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0.35</w:t>
            </w:r>
          </w:p>
        </w:tc>
        <w:tc>
          <w:tcPr>
            <w:tcW w:w="4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(7.79)</w:t>
            </w: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0.65</w:t>
            </w:r>
          </w:p>
        </w:tc>
        <w:tc>
          <w:tcPr>
            <w:tcW w:w="100" w:type="dxa"/>
            <w:vAlign w:val="bottom"/>
            <w:shd w:val="clear" w:color="auto" w:fill="CFF0FC"/>
          </w:tcPr>
          <w:p>
            <w:pPr>
              <w:spacing w:after="0"/>
              <w:rPr>
                <w:sz w:val="19"/>
                <w:szCs w:val="19"/>
                <w:color w:val="auto"/>
              </w:rPr>
            </w:pPr>
          </w:p>
        </w:tc>
      </w:tr>
      <w:tr>
        <w:trPr>
          <w:trHeight w:val="20"/>
        </w:trPr>
        <w:tc>
          <w:tcPr>
            <w:tcW w:w="482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210"/>
        </w:trPr>
        <w:tc>
          <w:tcPr>
            <w:tcW w:w="4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Average shares outstanding:</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820" w:type="dxa"/>
            <w:vAlign w:val="bottom"/>
          </w:tcPr>
          <w:p>
            <w:pPr>
              <w:ind w:left="260"/>
              <w:spacing w:after="0"/>
              <w:rPr>
                <w:sz w:val="20"/>
                <w:szCs w:val="20"/>
                <w:color w:val="auto"/>
              </w:rPr>
            </w:pPr>
            <w:r>
              <w:rPr>
                <w:rFonts w:ascii="Arial" w:cs="Arial" w:eastAsia="Arial" w:hAnsi="Arial"/>
                <w:sz w:val="18"/>
                <w:szCs w:val="18"/>
                <w:color w:val="auto"/>
              </w:rPr>
              <w:t>Basic</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1,388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1,384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1,388</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1,385</w:t>
            </w:r>
          </w:p>
        </w:tc>
        <w:tc>
          <w:tcPr>
            <w:tcW w:w="100" w:type="dxa"/>
            <w:vAlign w:val="bottom"/>
          </w:tcPr>
          <w:p>
            <w:pPr>
              <w:spacing w:after="0"/>
              <w:rPr>
                <w:sz w:val="19"/>
                <w:szCs w:val="19"/>
                <w:color w:val="auto"/>
              </w:rPr>
            </w:pPr>
          </w:p>
        </w:tc>
      </w:tr>
      <w:tr>
        <w:trPr>
          <w:trHeight w:val="229"/>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Assuming dilution</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1,388</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1,388</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1,396</w:t>
            </w:r>
          </w:p>
        </w:tc>
        <w:tc>
          <w:tcPr>
            <w:tcW w:w="10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ind w:left="356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7" w:lineRule="exact"/>
        <w:rPr>
          <w:sz w:val="20"/>
          <w:szCs w:val="20"/>
          <w:color w:val="auto"/>
        </w:rPr>
      </w:pPr>
    </w:p>
    <w:p>
      <w:pPr>
        <w:ind w:left="2640"/>
        <w:spacing w:after="0"/>
        <w:rPr>
          <w:sz w:val="20"/>
          <w:szCs w:val="20"/>
          <w:color w:val="auto"/>
        </w:rPr>
      </w:pPr>
      <w:r>
        <w:rPr>
          <w:rFonts w:ascii="Arial" w:cs="Arial" w:eastAsia="Arial" w:hAnsi="Arial"/>
          <w:sz w:val="18"/>
          <w:szCs w:val="18"/>
          <w:b w:val="1"/>
          <w:bCs w:val="1"/>
          <w:u w:val="single" w:color="auto"/>
          <w:color w:val="auto"/>
        </w:rPr>
        <w:t>CONSOLIDATED STATEMENT OF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w w:val="97"/>
              </w:rPr>
              <w:t>(Stated in millions)</w:t>
            </w:r>
          </w:p>
        </w:tc>
      </w:tr>
      <w:tr>
        <w:trPr>
          <w:trHeight w:val="444"/>
        </w:trPr>
        <w:tc>
          <w:tcPr>
            <w:tcW w:w="5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8"/>
                <w:szCs w:val="18"/>
                <w:b w:val="1"/>
                <w:bCs w:val="1"/>
                <w:color w:val="auto"/>
              </w:rPr>
              <w:t>Second Quarter</w:t>
            </w:r>
          </w:p>
        </w:tc>
        <w:tc>
          <w:tcPr>
            <w:tcW w:w="3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Six Months</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300" w:type="dxa"/>
            <w:vAlign w:val="bottom"/>
            <w:tcBorders>
              <w:bottom w:val="single" w:sz="8" w:color="CFF0FC"/>
            </w:tcBorders>
          </w:tcPr>
          <w:p>
            <w:pPr>
              <w:spacing w:after="0"/>
              <w:rPr>
                <w:sz w:val="19"/>
                <w:szCs w:val="19"/>
                <w:color w:val="auto"/>
              </w:rPr>
            </w:pPr>
          </w:p>
        </w:tc>
        <w:tc>
          <w:tcPr>
            <w:tcW w:w="4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4"/>
              </w:rPr>
              <w:t>2019</w:t>
            </w:r>
          </w:p>
        </w:tc>
        <w:tc>
          <w:tcPr>
            <w:tcW w:w="100" w:type="dxa"/>
            <w:vAlign w:val="bottom"/>
            <w:tcBorders>
              <w:bottom w:val="single" w:sz="8" w:color="CFF0FC"/>
            </w:tcBorders>
          </w:tcPr>
          <w:p>
            <w:pPr>
              <w:spacing w:after="0"/>
              <w:rPr>
                <w:sz w:val="19"/>
                <w:szCs w:val="19"/>
                <w:color w:val="auto"/>
              </w:rPr>
            </w:pPr>
          </w:p>
        </w:tc>
      </w:tr>
      <w:tr>
        <w:trPr>
          <w:trHeight w:val="223"/>
        </w:trPr>
        <w:tc>
          <w:tcPr>
            <w:tcW w:w="530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Net income (loss)</w:t>
            </w: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(3,428)</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(10,796)</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923</w:t>
            </w:r>
          </w:p>
        </w:tc>
        <w:tc>
          <w:tcPr>
            <w:tcW w:w="100" w:type="dxa"/>
            <w:vAlign w:val="bottom"/>
            <w:shd w:val="clear" w:color="auto" w:fill="CFF0FC"/>
          </w:tcPr>
          <w:p>
            <w:pPr>
              <w:spacing w:after="0"/>
              <w:rPr>
                <w:sz w:val="19"/>
                <w:szCs w:val="19"/>
                <w:color w:val="auto"/>
              </w:rPr>
            </w:pPr>
          </w:p>
        </w:tc>
      </w:tr>
      <w:tr>
        <w:trPr>
          <w:trHeight w:val="229"/>
        </w:trPr>
        <w:tc>
          <w:tcPr>
            <w:tcW w:w="5300" w:type="dxa"/>
            <w:vAlign w:val="bottom"/>
          </w:tcPr>
          <w:p>
            <w:pPr>
              <w:spacing w:after="0"/>
              <w:rPr>
                <w:sz w:val="20"/>
                <w:szCs w:val="20"/>
                <w:color w:val="auto"/>
              </w:rPr>
            </w:pPr>
            <w:r>
              <w:rPr>
                <w:rFonts w:ascii="Arial" w:cs="Arial" w:eastAsia="Arial" w:hAnsi="Arial"/>
                <w:sz w:val="18"/>
                <w:szCs w:val="18"/>
                <w:i w:val="1"/>
                <w:iCs w:val="1"/>
                <w:color w:val="auto"/>
              </w:rPr>
              <w:t>Currency translation adjustments</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net change arising during the period</w:t>
            </w: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19</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(37)</w:t>
            </w: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(106)</w:t>
            </w: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FF0FC"/>
          </w:tcPr>
          <w:p>
            <w:pPr>
              <w:spacing w:after="0"/>
              <w:rPr>
                <w:sz w:val="19"/>
                <w:szCs w:val="19"/>
                <w:color w:val="auto"/>
              </w:rPr>
            </w:pPr>
          </w:p>
        </w:tc>
      </w:tr>
      <w:tr>
        <w:trPr>
          <w:trHeight w:val="229"/>
        </w:trPr>
        <w:tc>
          <w:tcPr>
            <w:tcW w:w="5300" w:type="dxa"/>
            <w:vAlign w:val="bottom"/>
          </w:tcPr>
          <w:p>
            <w:pPr>
              <w:spacing w:after="0"/>
              <w:rPr>
                <w:sz w:val="20"/>
                <w:szCs w:val="20"/>
                <w:color w:val="auto"/>
              </w:rPr>
            </w:pPr>
            <w:r>
              <w:rPr>
                <w:rFonts w:ascii="Arial" w:cs="Arial" w:eastAsia="Arial" w:hAnsi="Arial"/>
                <w:sz w:val="18"/>
                <w:szCs w:val="18"/>
                <w:i w:val="1"/>
                <w:iCs w:val="1"/>
                <w:color w:val="auto"/>
              </w:rPr>
              <w:t>Cash flow hedges</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 gain on cash flow hedges</w:t>
            </w: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(28)</w:t>
            </w:r>
          </w:p>
        </w:tc>
        <w:tc>
          <w:tcPr>
            <w:tcW w:w="8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(231)</w:t>
            </w:r>
          </w:p>
        </w:tc>
        <w:tc>
          <w:tcPr>
            <w:tcW w:w="3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w:t>
            </w:r>
          </w:p>
        </w:tc>
      </w:tr>
      <w:tr>
        <w:trPr>
          <w:trHeight w:val="229"/>
        </w:trPr>
        <w:tc>
          <w:tcPr>
            <w:tcW w:w="5300" w:type="dxa"/>
            <w:vAlign w:val="bottom"/>
          </w:tcPr>
          <w:p>
            <w:pPr>
              <w:ind w:left="260"/>
              <w:spacing w:after="0"/>
              <w:rPr>
                <w:sz w:val="20"/>
                <w:szCs w:val="20"/>
                <w:color w:val="auto"/>
              </w:rPr>
            </w:pPr>
            <w:r>
              <w:rPr>
                <w:rFonts w:ascii="Arial" w:cs="Arial" w:eastAsia="Arial" w:hAnsi="Arial"/>
                <w:sz w:val="18"/>
                <w:szCs w:val="18"/>
                <w:color w:val="auto"/>
              </w:rPr>
              <w:t>Reclassification to net income (loss) of net realized loss</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r>
      <w:tr>
        <w:trPr>
          <w:trHeight w:val="229"/>
        </w:trPr>
        <w:tc>
          <w:tcPr>
            <w:tcW w:w="530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Pension and other postretirement benefit plans</w:t>
            </w: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300" w:type="dxa"/>
            <w:vAlign w:val="bottom"/>
          </w:tcPr>
          <w:p>
            <w:pPr>
              <w:ind w:left="260"/>
              <w:spacing w:after="0"/>
              <w:rPr>
                <w:sz w:val="20"/>
                <w:szCs w:val="20"/>
                <w:color w:val="auto"/>
              </w:rPr>
            </w:pPr>
            <w:r>
              <w:rPr>
                <w:rFonts w:ascii="Arial" w:cs="Arial" w:eastAsia="Arial" w:hAnsi="Arial"/>
                <w:sz w:val="18"/>
                <w:szCs w:val="18"/>
                <w:color w:val="auto"/>
              </w:rPr>
              <w:t>Amortization to net income (loss) of net actuarial loss</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37</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88</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r>
      <w:tr>
        <w:trPr>
          <w:trHeight w:val="229"/>
        </w:trPr>
        <w:tc>
          <w:tcPr>
            <w:tcW w:w="5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to net income (loss) of net prior service credit</w:t>
            </w: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w:t>
            </w:r>
          </w:p>
        </w:tc>
      </w:tr>
      <w:tr>
        <w:trPr>
          <w:trHeight w:val="229"/>
        </w:trPr>
        <w:tc>
          <w:tcPr>
            <w:tcW w:w="5300" w:type="dxa"/>
            <w:vAlign w:val="bottom"/>
          </w:tcPr>
          <w:p>
            <w:pPr>
              <w:ind w:left="260"/>
              <w:spacing w:after="0"/>
              <w:rPr>
                <w:sz w:val="20"/>
                <w:szCs w:val="20"/>
                <w:color w:val="auto"/>
              </w:rPr>
            </w:pPr>
            <w:r>
              <w:rPr>
                <w:rFonts w:ascii="Arial" w:cs="Arial" w:eastAsia="Arial" w:hAnsi="Arial"/>
                <w:sz w:val="18"/>
                <w:szCs w:val="18"/>
                <w:color w:val="auto"/>
              </w:rPr>
              <w:t>Impact of curtailment</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(69)</w:t>
            </w:r>
          </w:p>
        </w:tc>
        <w:tc>
          <w:tcPr>
            <w:tcW w:w="8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(69)</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30"/>
        </w:trPr>
        <w:tc>
          <w:tcPr>
            <w:tcW w:w="530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8"/>
              </w:rPr>
              <w:t>Income taxes on pension and other postretirement benefit plans</w:t>
            </w: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r>
      <w:tr>
        <w:trPr>
          <w:trHeight w:val="223"/>
        </w:trPr>
        <w:tc>
          <w:tcPr>
            <w:tcW w:w="5300" w:type="dxa"/>
            <w:vAlign w:val="bottom"/>
          </w:tcPr>
          <w:p>
            <w:pPr>
              <w:spacing w:after="0"/>
              <w:rPr>
                <w:sz w:val="20"/>
                <w:szCs w:val="20"/>
                <w:color w:val="auto"/>
              </w:rPr>
            </w:pPr>
            <w:r>
              <w:rPr>
                <w:rFonts w:ascii="Arial" w:cs="Arial" w:eastAsia="Arial" w:hAnsi="Arial"/>
                <w:sz w:val="18"/>
                <w:szCs w:val="18"/>
                <w:i w:val="1"/>
                <w:iCs w:val="1"/>
                <w:color w:val="auto"/>
              </w:rPr>
              <w:t>Comprehensive income (loss)</w:t>
            </w:r>
          </w:p>
        </w:tc>
        <w:tc>
          <w:tcPr>
            <w:tcW w:w="4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(3,443)</w:t>
            </w:r>
          </w:p>
        </w:tc>
        <w:tc>
          <w:tcPr>
            <w:tcW w:w="24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2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(11,096)</w:t>
            </w:r>
          </w:p>
        </w:tc>
        <w:tc>
          <w:tcPr>
            <w:tcW w:w="26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1,001</w:t>
            </w:r>
          </w:p>
        </w:tc>
        <w:tc>
          <w:tcPr>
            <w:tcW w:w="100" w:type="dxa"/>
            <w:vAlign w:val="bottom"/>
          </w:tcPr>
          <w:p>
            <w:pPr>
              <w:spacing w:after="0"/>
              <w:rPr>
                <w:sz w:val="19"/>
                <w:szCs w:val="19"/>
                <w:color w:val="auto"/>
              </w:rPr>
            </w:pPr>
          </w:p>
        </w:tc>
      </w:tr>
      <w:tr>
        <w:trPr>
          <w:trHeight w:val="230"/>
        </w:trPr>
        <w:tc>
          <w:tcPr>
            <w:tcW w:w="5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Comprehensive income attributable to noncontrolling interests</w:t>
            </w:r>
          </w:p>
        </w:tc>
        <w:tc>
          <w:tcPr>
            <w:tcW w:w="4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w:t>
            </w:r>
          </w:p>
        </w:tc>
        <w:tc>
          <w:tcPr>
            <w:tcW w:w="24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w:t>
            </w:r>
          </w:p>
        </w:tc>
        <w:tc>
          <w:tcPr>
            <w:tcW w:w="2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9"/>
                <w:szCs w:val="19"/>
                <w:color w:val="auto"/>
              </w:rPr>
            </w:pPr>
          </w:p>
        </w:tc>
      </w:tr>
      <w:tr>
        <w:trPr>
          <w:trHeight w:val="223"/>
        </w:trPr>
        <w:tc>
          <w:tcPr>
            <w:tcW w:w="5300" w:type="dxa"/>
            <w:vAlign w:val="bottom"/>
          </w:tcPr>
          <w:p>
            <w:pPr>
              <w:spacing w:after="0"/>
              <w:rPr>
                <w:sz w:val="20"/>
                <w:szCs w:val="20"/>
                <w:color w:val="auto"/>
              </w:rPr>
            </w:pPr>
            <w:r>
              <w:rPr>
                <w:rFonts w:ascii="Arial" w:cs="Arial" w:eastAsia="Arial" w:hAnsi="Arial"/>
                <w:sz w:val="18"/>
                <w:szCs w:val="18"/>
                <w:i w:val="1"/>
                <w:iCs w:val="1"/>
                <w:color w:val="auto"/>
              </w:rPr>
              <w:t>Comprehensive income (loss) attributable to Schlumberger</w:t>
            </w:r>
          </w:p>
        </w:tc>
        <w:tc>
          <w:tcPr>
            <w:tcW w:w="48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(3,449)</w:t>
            </w:r>
          </w:p>
        </w:tc>
        <w:tc>
          <w:tcPr>
            <w:tcW w:w="240" w:type="dxa"/>
            <w:vAlign w:val="bottom"/>
          </w:tcPr>
          <w:p>
            <w:pPr>
              <w:spacing w:after="0"/>
              <w:rPr>
                <w:sz w:val="19"/>
                <w:szCs w:val="19"/>
                <w:color w:val="auto"/>
              </w:rPr>
            </w:pPr>
          </w:p>
        </w:tc>
        <w:tc>
          <w:tcPr>
            <w:tcW w:w="8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(11,110)</w:t>
            </w:r>
          </w:p>
        </w:tc>
        <w:tc>
          <w:tcPr>
            <w:tcW w:w="260" w:type="dxa"/>
            <w:vAlign w:val="bottom"/>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19"/>
                <w:szCs w:val="19"/>
                <w:color w:val="auto"/>
              </w:rPr>
            </w:pPr>
          </w:p>
        </w:tc>
      </w:tr>
      <w:tr>
        <w:trPr>
          <w:trHeight w:val="20"/>
        </w:trPr>
        <w:tc>
          <w:tcPr>
            <w:tcW w:w="5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CONSOLIDATED BALANCE SHEET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39"/>
        </w:trPr>
        <w:tc>
          <w:tcPr>
            <w:tcW w:w="7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2"/>
              </w:rPr>
              <w:t>Jun. 30,</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2020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Dec. 31,</w:t>
            </w:r>
          </w:p>
        </w:tc>
        <w:tc>
          <w:tcPr>
            <w:tcW w:w="0" w:type="dxa"/>
            <w:vAlign w:val="bottom"/>
          </w:tcPr>
          <w:p>
            <w:pPr>
              <w:spacing w:after="0"/>
              <w:rPr>
                <w:sz w:val="1"/>
                <w:szCs w:val="1"/>
                <w:color w:val="auto"/>
              </w:rPr>
            </w:pPr>
          </w:p>
        </w:tc>
      </w:tr>
      <w:tr>
        <w:trPr>
          <w:trHeight w:val="234"/>
        </w:trPr>
        <w:tc>
          <w:tcPr>
            <w:tcW w:w="7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3"/>
              </w:rPr>
              <w:t>(Unaudited)</w:t>
            </w:r>
          </w:p>
        </w:tc>
        <w:tc>
          <w:tcPr>
            <w:tcW w:w="260" w:type="dxa"/>
            <w:vAlign w:val="bottom"/>
          </w:tcPr>
          <w:p>
            <w:pPr>
              <w:spacing w:after="0"/>
              <w:rPr>
                <w:sz w:val="20"/>
                <w:szCs w:val="20"/>
                <w:color w:val="auto"/>
              </w:rPr>
            </w:pPr>
          </w:p>
        </w:tc>
        <w:tc>
          <w:tcPr>
            <w:tcW w:w="1320" w:type="dxa"/>
            <w:vAlign w:val="bottom"/>
          </w:tcPr>
          <w:p>
            <w:pPr>
              <w:jc w:val="right"/>
              <w:ind w:right="531"/>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i w:val="1"/>
                <w:iCs w:val="1"/>
                <w:color w:val="auto"/>
              </w:rPr>
              <w:t>ASSETS</w:t>
            </w:r>
          </w:p>
        </w:tc>
        <w:tc>
          <w:tcPr>
            <w:tcW w:w="220" w:type="dxa"/>
            <w:vAlign w:val="bottom"/>
            <w:tcBorders>
              <w:top w:val="single" w:sz="8" w:color="auto"/>
            </w:tcBorders>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spacing w:after="0"/>
              <w:rPr>
                <w:sz w:val="20"/>
                <w:szCs w:val="20"/>
                <w:color w:val="auto"/>
              </w:rPr>
            </w:pPr>
          </w:p>
        </w:tc>
        <w:tc>
          <w:tcPr>
            <w:tcW w:w="300" w:type="dxa"/>
            <w:vAlign w:val="bottom"/>
            <w:tcBorders>
              <w:top w:val="single" w:sz="8" w:color="CFF0FC"/>
            </w:tcBorders>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4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1,462</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tcPr>
          <w:p>
            <w:pPr>
              <w:ind w:left="260"/>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2,127</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Receivables less allowance for doubtful accounts (2020 - $312; 2019 - $255)</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5,808</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3,601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1,381</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14,379</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15,530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Investments in Affiliated Companies</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1,484</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tcPr>
          <w:p>
            <w:pPr>
              <w:spacing w:after="0"/>
              <w:rPr>
                <w:sz w:val="20"/>
                <w:szCs w:val="20"/>
                <w:color w:val="auto"/>
              </w:rPr>
            </w:pPr>
            <w:r>
              <w:rPr>
                <w:rFonts w:ascii="Arial" w:cs="Arial" w:eastAsia="Arial" w:hAnsi="Arial"/>
                <w:sz w:val="18"/>
                <w:szCs w:val="18"/>
                <w:i w:val="1"/>
                <w:iCs w:val="1"/>
                <w:color w:val="auto"/>
              </w:rPr>
              <w:t>Fixed Assets less accumulated depreciation</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7,729</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9,270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Multiclient Seismic Data</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356</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spacing w:after="0"/>
              <w:rPr>
                <w:sz w:val="20"/>
                <w:szCs w:val="20"/>
                <w:color w:val="auto"/>
              </w:rPr>
            </w:pPr>
            <w:r>
              <w:rPr>
                <w:rFonts w:ascii="Arial" w:cs="Arial" w:eastAsia="Arial" w:hAnsi="Arial"/>
                <w:sz w:val="18"/>
                <w:szCs w:val="18"/>
                <w:i w:val="1"/>
                <w:iCs w:val="1"/>
                <w:color w:val="auto"/>
              </w:rPr>
              <w:t>Goodwill</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12,954</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16,042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Intangible Assets</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3,622</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Borders>
              <w:bottom w:val="single" w:sz="8" w:color="CFF0FC"/>
            </w:tcBorders>
          </w:tcPr>
          <w:p>
            <w:pPr>
              <w:spacing w:after="0"/>
              <w:rPr>
                <w:sz w:val="20"/>
                <w:szCs w:val="20"/>
                <w:color w:val="auto"/>
              </w:rPr>
            </w:pPr>
            <w:r>
              <w:rPr>
                <w:rFonts w:ascii="Arial" w:cs="Arial" w:eastAsia="Arial" w:hAnsi="Arial"/>
                <w:sz w:val="18"/>
                <w:szCs w:val="18"/>
                <w:i w:val="1"/>
                <w:iCs w:val="1"/>
                <w:color w:val="auto"/>
              </w:rPr>
              <w:t>Other Assets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4,143</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44,667</w:t>
            </w:r>
          </w:p>
        </w:tc>
        <w:tc>
          <w:tcPr>
            <w:tcW w:w="3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56,312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LIABILITIES AND EQUITY</w:t>
            </w: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Current Liabilities</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260"/>
              <w:spacing w:after="0"/>
              <w:rPr>
                <w:sz w:val="20"/>
                <w:szCs w:val="20"/>
                <w:color w:val="auto"/>
              </w:rPr>
            </w:pPr>
            <w:r>
              <w:rPr>
                <w:rFonts w:ascii="Arial" w:cs="Arial" w:eastAsia="Arial" w:hAnsi="Arial"/>
                <w:sz w:val="18"/>
                <w:szCs w:val="18"/>
                <w:color w:val="auto"/>
              </w:rPr>
              <w:t>Accounts payable and accrued liabilities</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9,824</w:t>
            </w:r>
          </w:p>
        </w:tc>
        <w:tc>
          <w:tcPr>
            <w:tcW w:w="30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10,663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Estimated liability for taxes on income</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1,054</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260"/>
              <w:spacing w:after="0"/>
              <w:rPr>
                <w:sz w:val="20"/>
                <w:szCs w:val="20"/>
                <w:color w:val="auto"/>
              </w:rPr>
            </w:pPr>
            <w:r>
              <w:rPr>
                <w:rFonts w:ascii="Arial" w:cs="Arial" w:eastAsia="Arial" w:hAnsi="Arial"/>
                <w:sz w:val="18"/>
                <w:szCs w:val="18"/>
                <w:color w:val="auto"/>
              </w:rPr>
              <w:t>Short-term borrowings and current portion of long-term debt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603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Dividends payable</w:t>
            </w: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184</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11,665</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13,098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Long-term Debt</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16,763</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spacing w:after="0"/>
              <w:rPr>
                <w:sz w:val="20"/>
                <w:szCs w:val="20"/>
                <w:color w:val="auto"/>
              </w:rPr>
            </w:pPr>
            <w:r>
              <w:rPr>
                <w:rFonts w:ascii="Arial" w:cs="Arial" w:eastAsia="Arial" w:hAnsi="Arial"/>
                <w:sz w:val="18"/>
                <w:szCs w:val="18"/>
                <w:i w:val="1"/>
                <w:iCs w:val="1"/>
                <w:color w:val="auto"/>
              </w:rPr>
              <w:t>Postretirement Benefits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905</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Deferred Taxes</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42</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Borders>
              <w:bottom w:val="single" w:sz="8" w:color="CFF0FC"/>
            </w:tcBorders>
          </w:tcPr>
          <w:p>
            <w:pPr>
              <w:spacing w:after="0"/>
              <w:rPr>
                <w:sz w:val="20"/>
                <w:szCs w:val="20"/>
                <w:color w:val="auto"/>
              </w:rPr>
            </w:pPr>
            <w:r>
              <w:rPr>
                <w:rFonts w:ascii="Arial" w:cs="Arial" w:eastAsia="Arial" w:hAnsi="Arial"/>
                <w:sz w:val="18"/>
                <w:szCs w:val="18"/>
                <w:i w:val="1"/>
                <w:iCs w:val="1"/>
                <w:color w:val="auto"/>
              </w:rPr>
              <w:t>Other Liabilities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2,836</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32,211</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40" w:type="dxa"/>
            <w:vAlign w:val="bottom"/>
          </w:tcPr>
          <w:p>
            <w:pPr>
              <w:spacing w:after="0"/>
              <w:rPr>
                <w:sz w:val="20"/>
                <w:szCs w:val="20"/>
                <w:color w:val="auto"/>
              </w:rPr>
            </w:pPr>
            <w:r>
              <w:rPr>
                <w:rFonts w:ascii="Arial" w:cs="Arial" w:eastAsia="Arial" w:hAnsi="Arial"/>
                <w:sz w:val="18"/>
                <w:szCs w:val="18"/>
                <w:i w:val="1"/>
                <w:iCs w:val="1"/>
                <w:color w:val="auto"/>
              </w:rPr>
              <w:t>Equity</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13,044</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260"/>
              <w:spacing w:after="0"/>
              <w:rPr>
                <w:sz w:val="20"/>
                <w:szCs w:val="20"/>
                <w:color w:val="auto"/>
              </w:rPr>
            </w:pPr>
            <w:r>
              <w:rPr>
                <w:rFonts w:ascii="Arial" w:cs="Arial" w:eastAsia="Arial" w:hAnsi="Arial"/>
                <w:sz w:val="18"/>
                <w:szCs w:val="18"/>
                <w:color w:val="auto"/>
              </w:rPr>
              <w:t>Treasury stock</w:t>
            </w:r>
          </w:p>
        </w:tc>
        <w:tc>
          <w:tcPr>
            <w:tcW w:w="220" w:type="dxa"/>
            <w:vAlign w:val="bottom"/>
          </w:tcPr>
          <w:p>
            <w:pPr>
              <w:spacing w:after="0"/>
              <w:rPr>
                <w:sz w:val="19"/>
                <w:szCs w:val="19"/>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(3,339)</w:t>
            </w:r>
          </w:p>
        </w:tc>
        <w:tc>
          <w:tcPr>
            <w:tcW w:w="26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(3,631)</w:t>
            </w:r>
          </w:p>
        </w:tc>
        <w:tc>
          <w:tcPr>
            <w:tcW w:w="0" w:type="dxa"/>
            <w:vAlign w:val="bottom"/>
          </w:tcPr>
          <w:p>
            <w:pPr>
              <w:spacing w:after="0"/>
              <w:rPr>
                <w:sz w:val="1"/>
                <w:szCs w:val="1"/>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Retained earnings</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7,073</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26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19"/>
                <w:szCs w:val="19"/>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(4,738)</w:t>
            </w:r>
          </w:p>
        </w:tc>
        <w:tc>
          <w:tcPr>
            <w:tcW w:w="26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(4,438)</w:t>
            </w:r>
          </w:p>
        </w:tc>
        <w:tc>
          <w:tcPr>
            <w:tcW w:w="0" w:type="dxa"/>
            <w:vAlign w:val="bottom"/>
          </w:tcPr>
          <w:p>
            <w:pPr>
              <w:spacing w:after="0"/>
              <w:rPr>
                <w:sz w:val="1"/>
                <w:szCs w:val="1"/>
                <w:color w:val="auto"/>
              </w:rPr>
            </w:pPr>
          </w:p>
        </w:tc>
      </w:tr>
      <w:tr>
        <w:trPr>
          <w:trHeight w:val="223"/>
        </w:trPr>
        <w:tc>
          <w:tcPr>
            <w:tcW w:w="764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Schlumberger stockholders' equity</w:t>
            </w:r>
          </w:p>
        </w:tc>
        <w:tc>
          <w:tcPr>
            <w:tcW w:w="22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12,040</w:t>
            </w:r>
          </w:p>
        </w:tc>
        <w:tc>
          <w:tcPr>
            <w:tcW w:w="3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23,760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Noncontrolling interests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416</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12,456</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44,667</w:t>
            </w:r>
          </w:p>
        </w:tc>
        <w:tc>
          <w:tcPr>
            <w:tcW w:w="30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 w:name="page6"/>
    <w:bookmarkEnd w:id="5"/>
    <w:p>
      <w:pPr>
        <w:ind w:left="356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7" w:lineRule="exact"/>
        <w:rPr>
          <w:sz w:val="20"/>
          <w:szCs w:val="20"/>
          <w:color w:val="auto"/>
        </w:rPr>
      </w:pPr>
    </w:p>
    <w:p>
      <w:pPr>
        <w:ind w:left="3560"/>
        <w:spacing w:after="0"/>
        <w:rPr>
          <w:sz w:val="20"/>
          <w:szCs w:val="20"/>
          <w:color w:val="auto"/>
        </w:rPr>
      </w:pPr>
      <w:r>
        <w:rPr>
          <w:rFonts w:ascii="Arial" w:cs="Arial" w:eastAsia="Arial" w:hAnsi="Arial"/>
          <w:sz w:val="18"/>
          <w:szCs w:val="18"/>
          <w:b w:val="1"/>
          <w:bCs w:val="1"/>
          <w:u w:val="single" w:color="auto"/>
          <w:color w:val="auto"/>
        </w:rPr>
        <w:t>CONSOLIDATED STATEMENT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309"/>
        </w:trPr>
        <w:tc>
          <w:tcPr>
            <w:tcW w:w="6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jc w:val="right"/>
              <w:ind w:right="860"/>
              <w:spacing w:after="0"/>
              <w:rPr>
                <w:sz w:val="20"/>
                <w:szCs w:val="20"/>
                <w:color w:val="auto"/>
              </w:rPr>
            </w:pPr>
            <w:r>
              <w:rPr>
                <w:rFonts w:ascii="Arial" w:cs="Arial" w:eastAsia="Arial" w:hAnsi="Arial"/>
                <w:sz w:val="13"/>
                <w:szCs w:val="13"/>
                <w:b w:val="1"/>
                <w:bCs w:val="1"/>
                <w:color w:val="auto"/>
                <w:w w:val="92"/>
              </w:rPr>
              <w:t>Six Months Ended June 30,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6680" w:type="dxa"/>
            <w:vAlign w:val="bottom"/>
          </w:tcPr>
          <w:p>
            <w:pPr>
              <w:spacing w:after="0"/>
              <w:rPr>
                <w:sz w:val="13"/>
                <w:szCs w:val="13"/>
                <w:color w:val="auto"/>
              </w:rPr>
            </w:pPr>
          </w:p>
        </w:tc>
        <w:tc>
          <w:tcPr>
            <w:tcW w:w="194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2020</w:t>
            </w: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jc w:val="right"/>
              <w:ind w:right="580"/>
              <w:spacing w:after="0"/>
              <w:rPr>
                <w:sz w:val="20"/>
                <w:szCs w:val="20"/>
                <w:color w:val="auto"/>
              </w:rPr>
            </w:pPr>
            <w:r>
              <w:rPr>
                <w:rFonts w:ascii="Arial" w:cs="Arial" w:eastAsia="Arial" w:hAnsi="Arial"/>
                <w:sz w:val="13"/>
                <w:szCs w:val="13"/>
                <w:color w:val="auto"/>
              </w:rPr>
              <w:t>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6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flows from operating activities:</w:t>
            </w:r>
          </w:p>
        </w:tc>
        <w:tc>
          <w:tcPr>
            <w:tcW w:w="100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80" w:type="dxa"/>
            <w:vAlign w:val="bottom"/>
          </w:tcPr>
          <w:p>
            <w:pPr>
              <w:ind w:left="260"/>
              <w:spacing w:after="0"/>
              <w:rPr>
                <w:sz w:val="20"/>
                <w:szCs w:val="20"/>
                <w:color w:val="auto"/>
              </w:rPr>
            </w:pPr>
            <w:r>
              <w:rPr>
                <w:rFonts w:ascii="Arial" w:cs="Arial" w:eastAsia="Arial" w:hAnsi="Arial"/>
                <w:sz w:val="16"/>
                <w:szCs w:val="16"/>
                <w:color w:val="auto"/>
              </w:rPr>
              <w:t>Net income (loss)</w:t>
            </w:r>
          </w:p>
        </w:tc>
        <w:tc>
          <w:tcPr>
            <w:tcW w:w="1940" w:type="dxa"/>
            <w:vAlign w:val="bottom"/>
            <w:gridSpan w:val="2"/>
          </w:tcPr>
          <w:p>
            <w:pPr>
              <w:jc w:val="right"/>
              <w:ind w:right="759"/>
              <w:spacing w:after="0"/>
              <w:rPr>
                <w:sz w:val="20"/>
                <w:szCs w:val="20"/>
                <w:color w:val="auto"/>
              </w:rPr>
            </w:pPr>
            <w:r>
              <w:rPr>
                <w:rFonts w:ascii="Arial" w:cs="Arial" w:eastAsia="Arial" w:hAnsi="Arial"/>
                <w:sz w:val="16"/>
                <w:szCs w:val="16"/>
                <w:b w:val="1"/>
                <w:bCs w:val="1"/>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(10,796)</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923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Adjustments to reconcile net income (loss) to cash provided by operating activities:</w:t>
            </w:r>
          </w:p>
        </w:tc>
        <w:tc>
          <w:tcPr>
            <w:tcW w:w="10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80" w:type="dxa"/>
            <w:vAlign w:val="bottom"/>
          </w:tcPr>
          <w:p>
            <w:pPr>
              <w:ind w:left="620"/>
              <w:spacing w:after="0"/>
              <w:rPr>
                <w:sz w:val="20"/>
                <w:szCs w:val="20"/>
                <w:color w:val="auto"/>
              </w:rPr>
            </w:pPr>
            <w:r>
              <w:rPr>
                <w:rFonts w:ascii="Arial" w:cs="Arial" w:eastAsia="Arial" w:hAnsi="Arial"/>
                <w:sz w:val="16"/>
                <w:szCs w:val="16"/>
                <w:color w:val="auto"/>
              </w:rPr>
              <w:t>Impairments and other charges</w:t>
            </w: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12,247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80" w:type="dxa"/>
            <w:vAlign w:val="bottom"/>
            <w:shd w:val="clear" w:color="auto" w:fill="CFF0FC"/>
          </w:tcPr>
          <w:p>
            <w:pPr>
              <w:ind w:left="620"/>
              <w:spacing w:after="0" w:line="218" w:lineRule="exact"/>
              <w:rPr>
                <w:sz w:val="20"/>
                <w:szCs w:val="20"/>
                <w:color w:val="auto"/>
              </w:rPr>
            </w:pPr>
            <w:r>
              <w:rPr>
                <w:rFonts w:ascii="Arial" w:cs="Arial" w:eastAsia="Arial" w:hAnsi="Arial"/>
                <w:sz w:val="15"/>
                <w:szCs w:val="15"/>
                <w:color w:val="auto"/>
              </w:rPr>
              <w:t xml:space="preserve">Depreciation and amortization </w:t>
            </w:r>
            <w:r>
              <w:rPr>
                <w:rFonts w:ascii="Arial" w:cs="Arial" w:eastAsia="Arial" w:hAnsi="Arial"/>
                <w:sz w:val="25"/>
                <w:szCs w:val="25"/>
                <w:color w:val="auto"/>
                <w:vertAlign w:val="superscript"/>
              </w:rPr>
              <w:t>(1)</w:t>
            </w:r>
          </w:p>
        </w:tc>
        <w:tc>
          <w:tcPr>
            <w:tcW w:w="10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1,396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80" w:type="dxa"/>
            <w:vAlign w:val="bottom"/>
          </w:tcPr>
          <w:p>
            <w:pPr>
              <w:ind w:left="620"/>
              <w:spacing w:after="0"/>
              <w:rPr>
                <w:sz w:val="20"/>
                <w:szCs w:val="20"/>
                <w:color w:val="auto"/>
              </w:rPr>
            </w:pPr>
            <w:r>
              <w:rPr>
                <w:rFonts w:ascii="Arial" w:cs="Arial" w:eastAsia="Arial" w:hAnsi="Arial"/>
                <w:sz w:val="16"/>
                <w:szCs w:val="16"/>
                <w:color w:val="auto"/>
              </w:rPr>
              <w:t>Deferred taxes</w:t>
            </w: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(1,050)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19"/>
        </w:trPr>
        <w:tc>
          <w:tcPr>
            <w:tcW w:w="6680" w:type="dxa"/>
            <w:vAlign w:val="bottom"/>
            <w:shd w:val="clear" w:color="auto" w:fill="CFF0FC"/>
          </w:tcPr>
          <w:p>
            <w:pPr>
              <w:ind w:left="620"/>
              <w:spacing w:after="0"/>
              <w:rPr>
                <w:sz w:val="20"/>
                <w:szCs w:val="20"/>
                <w:color w:val="auto"/>
              </w:rPr>
            </w:pPr>
            <w:r>
              <w:rPr>
                <w:rFonts w:ascii="Arial" w:cs="Arial" w:eastAsia="Arial" w:hAnsi="Arial"/>
                <w:sz w:val="16"/>
                <w:szCs w:val="16"/>
                <w:color w:val="auto"/>
              </w:rPr>
              <w:t>Stock-based compensation expense</w:t>
            </w:r>
          </w:p>
        </w:tc>
        <w:tc>
          <w:tcPr>
            <w:tcW w:w="10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213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80" w:type="dxa"/>
            <w:vAlign w:val="bottom"/>
          </w:tcPr>
          <w:p>
            <w:pPr>
              <w:ind w:left="620"/>
              <w:spacing w:after="0"/>
              <w:rPr>
                <w:sz w:val="20"/>
                <w:szCs w:val="20"/>
                <w:color w:val="auto"/>
              </w:rPr>
            </w:pPr>
            <w:r>
              <w:rPr>
                <w:rFonts w:ascii="Arial" w:cs="Arial" w:eastAsia="Arial" w:hAnsi="Arial"/>
                <w:sz w:val="16"/>
                <w:szCs w:val="16"/>
                <w:color w:val="auto"/>
              </w:rPr>
              <w:t>Earnings of equity method investments, less dividends received</w:t>
            </w: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80" w:type="dxa"/>
            <w:vAlign w:val="bottom"/>
            <w:shd w:val="clear" w:color="auto" w:fill="CFF0FC"/>
          </w:tcPr>
          <w:p>
            <w:pPr>
              <w:ind w:left="260"/>
              <w:spacing w:after="0" w:line="218" w:lineRule="exact"/>
              <w:rPr>
                <w:sz w:val="20"/>
                <w:szCs w:val="20"/>
                <w:color w:val="auto"/>
              </w:rPr>
            </w:pPr>
            <w:r>
              <w:rPr>
                <w:rFonts w:ascii="Arial" w:cs="Arial" w:eastAsia="Arial" w:hAnsi="Arial"/>
                <w:sz w:val="15"/>
                <w:szCs w:val="15"/>
                <w:color w:val="auto"/>
              </w:rPr>
              <w:t xml:space="preserve">Change in assets and liabilities: </w:t>
            </w:r>
            <w:r>
              <w:rPr>
                <w:rFonts w:ascii="Arial" w:cs="Arial" w:eastAsia="Arial" w:hAnsi="Arial"/>
                <w:sz w:val="25"/>
                <w:szCs w:val="25"/>
                <w:color w:val="auto"/>
                <w:vertAlign w:val="superscript"/>
              </w:rPr>
              <w:t>(2)</w:t>
            </w:r>
          </w:p>
        </w:tc>
        <w:tc>
          <w:tcPr>
            <w:tcW w:w="10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80" w:type="dxa"/>
            <w:vAlign w:val="bottom"/>
          </w:tcPr>
          <w:p>
            <w:pPr>
              <w:ind w:left="620"/>
              <w:spacing w:after="0"/>
              <w:rPr>
                <w:sz w:val="20"/>
                <w:szCs w:val="20"/>
                <w:color w:val="auto"/>
              </w:rPr>
            </w:pPr>
            <w:r>
              <w:rPr>
                <w:rFonts w:ascii="Arial" w:cs="Arial" w:eastAsia="Arial" w:hAnsi="Arial"/>
                <w:sz w:val="16"/>
                <w:szCs w:val="16"/>
                <w:color w:val="auto"/>
              </w:rPr>
              <w:t>Decrease (increase) in receivables</w:t>
            </w: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1,910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(581)</w:t>
            </w:r>
          </w:p>
        </w:tc>
        <w:tc>
          <w:tcPr>
            <w:tcW w:w="0" w:type="dxa"/>
            <w:vAlign w:val="bottom"/>
          </w:tcPr>
          <w:p>
            <w:pPr>
              <w:spacing w:after="0"/>
              <w:rPr>
                <w:sz w:val="1"/>
                <w:szCs w:val="1"/>
                <w:color w:val="auto"/>
              </w:rPr>
            </w:pPr>
          </w:p>
        </w:tc>
      </w:tr>
      <w:tr>
        <w:trPr>
          <w:trHeight w:val="219"/>
        </w:trPr>
        <w:tc>
          <w:tcPr>
            <w:tcW w:w="6680" w:type="dxa"/>
            <w:vAlign w:val="bottom"/>
            <w:shd w:val="clear" w:color="auto" w:fill="CFF0FC"/>
          </w:tcPr>
          <w:p>
            <w:pPr>
              <w:ind w:left="620"/>
              <w:spacing w:after="0"/>
              <w:rPr>
                <w:sz w:val="20"/>
                <w:szCs w:val="20"/>
                <w:color w:val="auto"/>
              </w:rPr>
            </w:pPr>
            <w:r>
              <w:rPr>
                <w:rFonts w:ascii="Arial" w:cs="Arial" w:eastAsia="Arial" w:hAnsi="Arial"/>
                <w:sz w:val="16"/>
                <w:szCs w:val="16"/>
                <w:color w:val="auto"/>
              </w:rPr>
              <w:t>Increase in inventories</w:t>
            </w:r>
          </w:p>
        </w:tc>
        <w:tc>
          <w:tcPr>
            <w:tcW w:w="10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(74)</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(332)</w:t>
            </w:r>
          </w:p>
        </w:tc>
        <w:tc>
          <w:tcPr>
            <w:tcW w:w="0" w:type="dxa"/>
            <w:vAlign w:val="bottom"/>
          </w:tcPr>
          <w:p>
            <w:pPr>
              <w:spacing w:after="0"/>
              <w:rPr>
                <w:sz w:val="1"/>
                <w:szCs w:val="1"/>
                <w:color w:val="auto"/>
              </w:rPr>
            </w:pPr>
          </w:p>
        </w:tc>
      </w:tr>
      <w:tr>
        <w:trPr>
          <w:trHeight w:val="213"/>
        </w:trPr>
        <w:tc>
          <w:tcPr>
            <w:tcW w:w="6680" w:type="dxa"/>
            <w:vAlign w:val="bottom"/>
          </w:tcPr>
          <w:p>
            <w:pPr>
              <w:ind w:left="620"/>
              <w:spacing w:after="0"/>
              <w:rPr>
                <w:sz w:val="20"/>
                <w:szCs w:val="20"/>
                <w:color w:val="auto"/>
              </w:rPr>
            </w:pPr>
            <w:r>
              <w:rPr>
                <w:rFonts w:ascii="Arial" w:cs="Arial" w:eastAsia="Arial" w:hAnsi="Arial"/>
                <w:sz w:val="16"/>
                <w:szCs w:val="16"/>
                <w:color w:val="auto"/>
              </w:rPr>
              <w:t>Decrease (increase) in other current assets</w:t>
            </w: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129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9"/>
        </w:trPr>
        <w:tc>
          <w:tcPr>
            <w:tcW w:w="6680" w:type="dxa"/>
            <w:vAlign w:val="bottom"/>
            <w:shd w:val="clear" w:color="auto" w:fill="CFF0FC"/>
          </w:tcPr>
          <w:p>
            <w:pPr>
              <w:ind w:left="620"/>
              <w:spacing w:after="0"/>
              <w:rPr>
                <w:sz w:val="20"/>
                <w:szCs w:val="20"/>
                <w:color w:val="auto"/>
              </w:rPr>
            </w:pPr>
            <w:r>
              <w:rPr>
                <w:rFonts w:ascii="Arial" w:cs="Arial" w:eastAsia="Arial" w:hAnsi="Arial"/>
                <w:sz w:val="16"/>
                <w:szCs w:val="16"/>
                <w:color w:val="auto"/>
              </w:rPr>
              <w:t>Decrease (increase) in other assets</w:t>
            </w:r>
          </w:p>
        </w:tc>
        <w:tc>
          <w:tcPr>
            <w:tcW w:w="10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3"/>
        </w:trPr>
        <w:tc>
          <w:tcPr>
            <w:tcW w:w="6680" w:type="dxa"/>
            <w:vAlign w:val="bottom"/>
          </w:tcPr>
          <w:p>
            <w:pPr>
              <w:ind w:left="620"/>
              <w:spacing w:after="0"/>
              <w:rPr>
                <w:sz w:val="20"/>
                <w:szCs w:val="20"/>
                <w:color w:val="auto"/>
              </w:rPr>
            </w:pPr>
            <w:r>
              <w:rPr>
                <w:rFonts w:ascii="Arial" w:cs="Arial" w:eastAsia="Arial" w:hAnsi="Arial"/>
                <w:sz w:val="16"/>
                <w:szCs w:val="16"/>
                <w:color w:val="auto"/>
              </w:rPr>
              <w:t>Decrease in accounts payable and accrued liabilities</w:t>
            </w: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(2,204)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(422)</w:t>
            </w:r>
          </w:p>
        </w:tc>
        <w:tc>
          <w:tcPr>
            <w:tcW w:w="0" w:type="dxa"/>
            <w:vAlign w:val="bottom"/>
          </w:tcPr>
          <w:p>
            <w:pPr>
              <w:spacing w:after="0"/>
              <w:rPr>
                <w:sz w:val="1"/>
                <w:szCs w:val="1"/>
                <w:color w:val="auto"/>
              </w:rPr>
            </w:pPr>
          </w:p>
        </w:tc>
      </w:tr>
      <w:tr>
        <w:trPr>
          <w:trHeight w:val="219"/>
        </w:trPr>
        <w:tc>
          <w:tcPr>
            <w:tcW w:w="6680" w:type="dxa"/>
            <w:vAlign w:val="bottom"/>
            <w:shd w:val="clear" w:color="auto" w:fill="CFF0FC"/>
          </w:tcPr>
          <w:p>
            <w:pPr>
              <w:ind w:left="620"/>
              <w:spacing w:after="0"/>
              <w:rPr>
                <w:sz w:val="20"/>
                <w:szCs w:val="20"/>
                <w:color w:val="auto"/>
              </w:rPr>
            </w:pPr>
            <w:r>
              <w:rPr>
                <w:rFonts w:ascii="Arial" w:cs="Arial" w:eastAsia="Arial" w:hAnsi="Arial"/>
                <w:sz w:val="16"/>
                <w:szCs w:val="16"/>
                <w:color w:val="auto"/>
              </w:rPr>
              <w:t>Decrease in estimated liability for taxes on income</w:t>
            </w:r>
          </w:p>
        </w:tc>
        <w:tc>
          <w:tcPr>
            <w:tcW w:w="10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(184)</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13"/>
        </w:trPr>
        <w:tc>
          <w:tcPr>
            <w:tcW w:w="6680" w:type="dxa"/>
            <w:vAlign w:val="bottom"/>
          </w:tcPr>
          <w:p>
            <w:pPr>
              <w:ind w:left="620"/>
              <w:spacing w:after="0"/>
              <w:rPr>
                <w:sz w:val="20"/>
                <w:szCs w:val="20"/>
                <w:color w:val="auto"/>
              </w:rPr>
            </w:pPr>
            <w:r>
              <w:rPr>
                <w:rFonts w:ascii="Arial" w:cs="Arial" w:eastAsia="Arial" w:hAnsi="Arial"/>
                <w:sz w:val="16"/>
                <w:szCs w:val="16"/>
                <w:color w:val="auto"/>
              </w:rPr>
              <w:t>Decrease in other liabilities</w:t>
            </w: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(42)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9"/>
        </w:trPr>
        <w:tc>
          <w:tcPr>
            <w:tcW w:w="6680" w:type="dxa"/>
            <w:vAlign w:val="bottom"/>
            <w:shd w:val="clear" w:color="auto" w:fill="CFF0FC"/>
          </w:tcPr>
          <w:p>
            <w:pPr>
              <w:ind w:left="620"/>
              <w:spacing w:after="0"/>
              <w:rPr>
                <w:sz w:val="20"/>
                <w:szCs w:val="20"/>
                <w:color w:val="auto"/>
              </w:rPr>
            </w:pPr>
            <w:r>
              <w:rPr>
                <w:rFonts w:ascii="Arial" w:cs="Arial" w:eastAsia="Arial" w:hAnsi="Arial"/>
                <w:sz w:val="16"/>
                <w:szCs w:val="16"/>
                <w:color w:val="auto"/>
              </w:rPr>
              <w:t>Other</w:t>
            </w:r>
          </w:p>
        </w:tc>
        <w:tc>
          <w:tcPr>
            <w:tcW w:w="100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6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CASH PROVIDED BY OPERATING ACTIVITIES</w:t>
            </w:r>
          </w:p>
        </w:tc>
        <w:tc>
          <w:tcPr>
            <w:tcW w:w="1000" w:type="dxa"/>
            <w:vAlign w:val="bottom"/>
            <w:tcBorders>
              <w:bottom w:val="single" w:sz="8" w:color="CFF0FC"/>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1,587</w:t>
            </w:r>
          </w:p>
        </w:tc>
        <w:tc>
          <w:tcPr>
            <w:tcW w:w="18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1,434</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68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investing activities:</w:t>
            </w:r>
          </w:p>
        </w:tc>
        <w:tc>
          <w:tcPr>
            <w:tcW w:w="10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80" w:type="dxa"/>
            <w:vAlign w:val="bottom"/>
          </w:tcPr>
          <w:p>
            <w:pPr>
              <w:ind w:left="380"/>
              <w:spacing w:after="0"/>
              <w:rPr>
                <w:sz w:val="20"/>
                <w:szCs w:val="20"/>
                <w:color w:val="auto"/>
              </w:rPr>
            </w:pPr>
            <w:r>
              <w:rPr>
                <w:rFonts w:ascii="Arial" w:cs="Arial" w:eastAsia="Arial" w:hAnsi="Arial"/>
                <w:sz w:val="16"/>
                <w:szCs w:val="16"/>
                <w:color w:val="auto"/>
              </w:rPr>
              <w:t>Capital expenditures</w:t>
            </w: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(658)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(817)</w:t>
            </w:r>
          </w:p>
        </w:tc>
        <w:tc>
          <w:tcPr>
            <w:tcW w:w="0" w:type="dxa"/>
            <w:vAlign w:val="bottom"/>
          </w:tcPr>
          <w:p>
            <w:pPr>
              <w:spacing w:after="0"/>
              <w:rPr>
                <w:sz w:val="1"/>
                <w:szCs w:val="1"/>
                <w:color w:val="auto"/>
              </w:rPr>
            </w:pPr>
          </w:p>
        </w:tc>
      </w:tr>
      <w:tr>
        <w:trPr>
          <w:trHeight w:val="219"/>
        </w:trPr>
        <w:tc>
          <w:tcPr>
            <w:tcW w:w="66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APS investments</w:t>
            </w:r>
          </w:p>
        </w:tc>
        <w:tc>
          <w:tcPr>
            <w:tcW w:w="10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(224)</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(332)</w:t>
            </w:r>
          </w:p>
        </w:tc>
        <w:tc>
          <w:tcPr>
            <w:tcW w:w="0" w:type="dxa"/>
            <w:vAlign w:val="bottom"/>
          </w:tcPr>
          <w:p>
            <w:pPr>
              <w:spacing w:after="0"/>
              <w:rPr>
                <w:sz w:val="1"/>
                <w:szCs w:val="1"/>
                <w:color w:val="auto"/>
              </w:rPr>
            </w:pPr>
          </w:p>
        </w:tc>
      </w:tr>
      <w:tr>
        <w:trPr>
          <w:trHeight w:val="213"/>
        </w:trPr>
        <w:tc>
          <w:tcPr>
            <w:tcW w:w="6680" w:type="dxa"/>
            <w:vAlign w:val="bottom"/>
          </w:tcPr>
          <w:p>
            <w:pPr>
              <w:ind w:left="380"/>
              <w:spacing w:after="0"/>
              <w:rPr>
                <w:sz w:val="20"/>
                <w:szCs w:val="20"/>
                <w:color w:val="auto"/>
              </w:rPr>
            </w:pPr>
            <w:r>
              <w:rPr>
                <w:rFonts w:ascii="Arial" w:cs="Arial" w:eastAsia="Arial" w:hAnsi="Arial"/>
                <w:sz w:val="16"/>
                <w:szCs w:val="16"/>
                <w:color w:val="auto"/>
              </w:rPr>
              <w:t>Multiclient seismic data costs capitalized</w:t>
            </w: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(61)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19"/>
        </w:trPr>
        <w:tc>
          <w:tcPr>
            <w:tcW w:w="66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Business acquisitions and investments, net of cash acquired</w:t>
            </w:r>
          </w:p>
        </w:tc>
        <w:tc>
          <w:tcPr>
            <w:tcW w:w="10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(30)</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3"/>
        </w:trPr>
        <w:tc>
          <w:tcPr>
            <w:tcW w:w="6680" w:type="dxa"/>
            <w:vAlign w:val="bottom"/>
          </w:tcPr>
          <w:p>
            <w:pPr>
              <w:ind w:left="380"/>
              <w:spacing w:after="0"/>
              <w:rPr>
                <w:sz w:val="20"/>
                <w:szCs w:val="20"/>
                <w:color w:val="auto"/>
              </w:rPr>
            </w:pPr>
            <w:r>
              <w:rPr>
                <w:rFonts w:ascii="Arial" w:cs="Arial" w:eastAsia="Arial" w:hAnsi="Arial"/>
                <w:sz w:val="16"/>
                <w:szCs w:val="16"/>
                <w:color w:val="auto"/>
              </w:rPr>
              <w:t>(Purchase) sale of investments, net</w:t>
            </w: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(1,099)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Net proceeds from asset divestitures</w:t>
            </w:r>
          </w:p>
        </w:tc>
        <w:tc>
          <w:tcPr>
            <w:tcW w:w="10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298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80" w:type="dxa"/>
            <w:vAlign w:val="bottom"/>
          </w:tcPr>
          <w:p>
            <w:pPr>
              <w:ind w:left="380"/>
              <w:spacing w:after="0"/>
              <w:rPr>
                <w:sz w:val="20"/>
                <w:szCs w:val="20"/>
                <w:color w:val="auto"/>
              </w:rPr>
            </w:pPr>
            <w:r>
              <w:rPr>
                <w:rFonts w:ascii="Arial" w:cs="Arial" w:eastAsia="Arial" w:hAnsi="Arial"/>
                <w:sz w:val="16"/>
                <w:szCs w:val="16"/>
                <w:color w:val="auto"/>
              </w:rPr>
              <w:t>Other</w:t>
            </w: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(85)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0"/>
        </w:trPr>
        <w:tc>
          <w:tcPr>
            <w:tcW w:w="668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CASH USED IN INVESTING ACTIVITIES</w:t>
            </w:r>
          </w:p>
        </w:tc>
        <w:tc>
          <w:tcPr>
            <w:tcW w:w="100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680" w:type="dxa"/>
            <w:vAlign w:val="bottom"/>
            <w:vMerge w:val="continue"/>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(1,859)</w:t>
            </w:r>
          </w:p>
        </w:tc>
        <w:tc>
          <w:tcPr>
            <w:tcW w:w="18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(874)</w:t>
            </w:r>
          </w:p>
        </w:tc>
        <w:tc>
          <w:tcPr>
            <w:tcW w:w="0" w:type="dxa"/>
            <w:vAlign w:val="bottom"/>
          </w:tcPr>
          <w:p>
            <w:pPr>
              <w:spacing w:after="0"/>
              <w:rPr>
                <w:sz w:val="1"/>
                <w:szCs w:val="1"/>
                <w:color w:val="auto"/>
              </w:rPr>
            </w:pPr>
          </w:p>
        </w:tc>
      </w:tr>
      <w:tr>
        <w:trPr>
          <w:trHeight w:val="207"/>
        </w:trPr>
        <w:tc>
          <w:tcPr>
            <w:tcW w:w="668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100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6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Dividends paid</w:t>
            </w:r>
          </w:p>
        </w:tc>
        <w:tc>
          <w:tcPr>
            <w:tcW w:w="10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(1,386)</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(1,385)</w:t>
            </w:r>
          </w:p>
        </w:tc>
        <w:tc>
          <w:tcPr>
            <w:tcW w:w="0" w:type="dxa"/>
            <w:vAlign w:val="bottom"/>
          </w:tcPr>
          <w:p>
            <w:pPr>
              <w:spacing w:after="0"/>
              <w:rPr>
                <w:sz w:val="1"/>
                <w:szCs w:val="1"/>
                <w:color w:val="auto"/>
              </w:rPr>
            </w:pPr>
          </w:p>
        </w:tc>
      </w:tr>
      <w:tr>
        <w:trPr>
          <w:trHeight w:val="213"/>
        </w:trPr>
        <w:tc>
          <w:tcPr>
            <w:tcW w:w="6680" w:type="dxa"/>
            <w:vAlign w:val="bottom"/>
          </w:tcPr>
          <w:p>
            <w:pPr>
              <w:ind w:left="380"/>
              <w:spacing w:after="0"/>
              <w:rPr>
                <w:sz w:val="20"/>
                <w:szCs w:val="20"/>
                <w:color w:val="auto"/>
              </w:rPr>
            </w:pPr>
            <w:r>
              <w:rPr>
                <w:rFonts w:ascii="Arial" w:cs="Arial" w:eastAsia="Arial" w:hAnsi="Arial"/>
                <w:sz w:val="16"/>
                <w:szCs w:val="16"/>
                <w:color w:val="auto"/>
              </w:rPr>
              <w:t>Proceeds from employee stock purchase plan</w:t>
            </w: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85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Proceeds from exercise of stock options</w:t>
            </w:r>
          </w:p>
        </w:tc>
        <w:tc>
          <w:tcPr>
            <w:tcW w:w="10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80" w:type="dxa"/>
            <w:vAlign w:val="bottom"/>
          </w:tcPr>
          <w:p>
            <w:pPr>
              <w:ind w:left="380"/>
              <w:spacing w:after="0"/>
              <w:rPr>
                <w:sz w:val="20"/>
                <w:szCs w:val="20"/>
                <w:color w:val="auto"/>
              </w:rPr>
            </w:pPr>
            <w:r>
              <w:rPr>
                <w:rFonts w:ascii="Arial" w:cs="Arial" w:eastAsia="Arial" w:hAnsi="Arial"/>
                <w:sz w:val="16"/>
                <w:szCs w:val="16"/>
                <w:color w:val="auto"/>
              </w:rPr>
              <w:t>Stock repurchase program</w:t>
            </w: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219"/>
        </w:trPr>
        <w:tc>
          <w:tcPr>
            <w:tcW w:w="66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Proceeds from issuance of long-term debt</w:t>
            </w:r>
          </w:p>
        </w:tc>
        <w:tc>
          <w:tcPr>
            <w:tcW w:w="10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4,985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80" w:type="dxa"/>
            <w:vAlign w:val="bottom"/>
          </w:tcPr>
          <w:p>
            <w:pPr>
              <w:ind w:left="380"/>
              <w:spacing w:after="0"/>
              <w:rPr>
                <w:sz w:val="20"/>
                <w:szCs w:val="20"/>
                <w:color w:val="auto"/>
              </w:rPr>
            </w:pPr>
            <w:r>
              <w:rPr>
                <w:rFonts w:ascii="Arial" w:cs="Arial" w:eastAsia="Arial" w:hAnsi="Arial"/>
                <w:sz w:val="16"/>
                <w:szCs w:val="16"/>
                <w:color w:val="auto"/>
              </w:rPr>
              <w:t>Repayment of long-term debt</w:t>
            </w: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(3,070)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(1,413)</w:t>
            </w:r>
          </w:p>
        </w:tc>
        <w:tc>
          <w:tcPr>
            <w:tcW w:w="0" w:type="dxa"/>
            <w:vAlign w:val="bottom"/>
          </w:tcPr>
          <w:p>
            <w:pPr>
              <w:spacing w:after="0"/>
              <w:rPr>
                <w:sz w:val="1"/>
                <w:szCs w:val="1"/>
                <w:color w:val="auto"/>
              </w:rPr>
            </w:pPr>
          </w:p>
        </w:tc>
      </w:tr>
      <w:tr>
        <w:trPr>
          <w:trHeight w:val="219"/>
        </w:trPr>
        <w:tc>
          <w:tcPr>
            <w:tcW w:w="66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Net increase (decrease) in short-term borrowings</w:t>
            </w:r>
          </w:p>
        </w:tc>
        <w:tc>
          <w:tcPr>
            <w:tcW w:w="10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3"/>
        </w:trPr>
        <w:tc>
          <w:tcPr>
            <w:tcW w:w="6680" w:type="dxa"/>
            <w:vAlign w:val="bottom"/>
          </w:tcPr>
          <w:p>
            <w:pPr>
              <w:ind w:left="380"/>
              <w:spacing w:after="0"/>
              <w:rPr>
                <w:sz w:val="20"/>
                <w:szCs w:val="20"/>
                <w:color w:val="auto"/>
              </w:rPr>
            </w:pPr>
            <w:r>
              <w:rPr>
                <w:rFonts w:ascii="Arial" w:cs="Arial" w:eastAsia="Arial" w:hAnsi="Arial"/>
                <w:sz w:val="16"/>
                <w:szCs w:val="16"/>
                <w:color w:val="auto"/>
              </w:rPr>
              <w:t>Other</w:t>
            </w: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(51)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8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CASH PROVIDED BY (USED) IN FINANCING ACTIVITIES</w:t>
            </w:r>
          </w:p>
        </w:tc>
        <w:tc>
          <w:tcPr>
            <w:tcW w:w="100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680" w:type="dxa"/>
            <w:vAlign w:val="bottom"/>
            <w:vMerge w:val="continue"/>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610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(531)</w:t>
            </w:r>
          </w:p>
        </w:tc>
        <w:tc>
          <w:tcPr>
            <w:tcW w:w="0" w:type="dxa"/>
            <w:vAlign w:val="bottom"/>
          </w:tcPr>
          <w:p>
            <w:pPr>
              <w:spacing w:after="0"/>
              <w:rPr>
                <w:sz w:val="1"/>
                <w:szCs w:val="1"/>
                <w:color w:val="auto"/>
              </w:rPr>
            </w:pPr>
          </w:p>
        </w:tc>
      </w:tr>
      <w:tr>
        <w:trPr>
          <w:trHeight w:val="207"/>
        </w:trPr>
        <w:tc>
          <w:tcPr>
            <w:tcW w:w="6680" w:type="dxa"/>
            <w:vAlign w:val="bottom"/>
          </w:tcPr>
          <w:p>
            <w:pPr>
              <w:spacing w:after="0"/>
              <w:rPr>
                <w:sz w:val="20"/>
                <w:szCs w:val="20"/>
                <w:color w:val="auto"/>
              </w:rPr>
            </w:pPr>
            <w:r>
              <w:rPr>
                <w:rFonts w:ascii="Arial" w:cs="Arial" w:eastAsia="Arial" w:hAnsi="Arial"/>
                <w:sz w:val="16"/>
                <w:szCs w:val="16"/>
                <w:color w:val="auto"/>
              </w:rPr>
              <w:t>Net increase in cash before translation effect</w:t>
            </w:r>
          </w:p>
        </w:tc>
        <w:tc>
          <w:tcPr>
            <w:tcW w:w="100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338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680" w:type="dxa"/>
            <w:vAlign w:val="bottom"/>
            <w:shd w:val="clear" w:color="auto" w:fill="CFF0FC"/>
          </w:tcPr>
          <w:p>
            <w:pPr>
              <w:spacing w:after="0"/>
              <w:rPr>
                <w:sz w:val="20"/>
                <w:szCs w:val="20"/>
                <w:color w:val="auto"/>
              </w:rPr>
            </w:pPr>
            <w:r>
              <w:rPr>
                <w:rFonts w:ascii="Arial" w:cs="Arial" w:eastAsia="Arial" w:hAnsi="Arial"/>
                <w:sz w:val="16"/>
                <w:szCs w:val="16"/>
                <w:color w:val="auto"/>
              </w:rPr>
              <w:t>Translation effect on cash</w:t>
            </w:r>
          </w:p>
        </w:tc>
        <w:tc>
          <w:tcPr>
            <w:tcW w:w="10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(13)</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Cash, beginning of period</w:t>
            </w:r>
          </w:p>
        </w:tc>
        <w:tc>
          <w:tcPr>
            <w:tcW w:w="100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1,137</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1,433</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80" w:type="dxa"/>
            <w:vAlign w:val="bottom"/>
            <w:shd w:val="clear" w:color="auto" w:fill="CFF0FC"/>
          </w:tcPr>
          <w:p>
            <w:pPr>
              <w:spacing w:after="0"/>
              <w:rPr>
                <w:sz w:val="20"/>
                <w:szCs w:val="20"/>
                <w:color w:val="auto"/>
              </w:rPr>
            </w:pPr>
            <w:r>
              <w:rPr>
                <w:rFonts w:ascii="Arial" w:cs="Arial" w:eastAsia="Arial" w:hAnsi="Arial"/>
                <w:sz w:val="16"/>
                <w:szCs w:val="16"/>
                <w:color w:val="auto"/>
              </w:rPr>
              <w:t>Cash, end of period</w:t>
            </w:r>
          </w:p>
        </w:tc>
        <w:tc>
          <w:tcPr>
            <w:tcW w:w="10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759"/>
              <w:spacing w:after="0"/>
              <w:rPr>
                <w:sz w:val="20"/>
                <w:szCs w:val="20"/>
                <w:color w:val="auto"/>
              </w:rPr>
            </w:pPr>
            <w:r>
              <w:rPr>
                <w:rFonts w:ascii="Arial" w:cs="Arial" w:eastAsia="Arial" w:hAnsi="Arial"/>
                <w:sz w:val="16"/>
                <w:szCs w:val="16"/>
                <w:b w:val="1"/>
                <w:bCs w:val="1"/>
                <w:color w:val="auto"/>
                <w:w w:val="8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1,462</w:t>
            </w:r>
          </w:p>
        </w:tc>
        <w:tc>
          <w:tcPr>
            <w:tcW w:w="18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8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8" w:lineRule="exact"/>
        <w:rPr>
          <w:sz w:val="20"/>
          <w:szCs w:val="20"/>
          <w:color w:val="auto"/>
        </w:rPr>
      </w:pPr>
    </w:p>
    <w:p>
      <w:pPr>
        <w:ind w:left="500" w:hanging="492"/>
        <w:spacing w:after="0"/>
        <w:tabs>
          <w:tab w:leader="none" w:pos="500" w:val="left"/>
        </w:tabs>
        <w:numPr>
          <w:ilvl w:val="0"/>
          <w:numId w:val="1"/>
        </w:numPr>
        <w:rPr>
          <w:rFonts w:ascii="Arial" w:cs="Arial" w:eastAsia="Arial" w:hAnsi="Arial"/>
          <w:sz w:val="28"/>
          <w:szCs w:val="28"/>
          <w:color w:val="auto"/>
          <w:vertAlign w:val="superscript"/>
        </w:rPr>
      </w:pPr>
      <w:r>
        <w:rPr>
          <w:rFonts w:ascii="Arial" w:cs="Arial" w:eastAsia="Arial" w:hAnsi="Arial"/>
          <w:sz w:val="16"/>
          <w:szCs w:val="16"/>
          <w:color w:val="auto"/>
        </w:rPr>
        <w:t>Includes depreciation of property, plant and equipment and amortization of intangible assets, multiclient seismic data costs, and APS investments.</w:t>
      </w:r>
    </w:p>
    <w:p>
      <w:pPr>
        <w:spacing w:after="0" w:line="118" w:lineRule="exact"/>
        <w:rPr>
          <w:rFonts w:ascii="Arial" w:cs="Arial" w:eastAsia="Arial" w:hAnsi="Arial"/>
          <w:sz w:val="28"/>
          <w:szCs w:val="28"/>
          <w:color w:val="auto"/>
          <w:vertAlign w:val="superscript"/>
        </w:rPr>
      </w:pPr>
    </w:p>
    <w:p>
      <w:pPr>
        <w:ind w:left="500" w:hanging="492"/>
        <w:spacing w:after="0" w:line="182" w:lineRule="auto"/>
        <w:tabs>
          <w:tab w:leader="none" w:pos="500" w:val="left"/>
        </w:tabs>
        <w:numPr>
          <w:ilvl w:val="0"/>
          <w:numId w:val="1"/>
        </w:numPr>
        <w:rPr>
          <w:rFonts w:ascii="Arial" w:cs="Arial" w:eastAsia="Arial" w:hAnsi="Arial"/>
          <w:sz w:val="22"/>
          <w:szCs w:val="22"/>
          <w:color w:val="auto"/>
          <w:vertAlign w:val="superscript"/>
        </w:rPr>
      </w:pPr>
      <w:r>
        <w:rPr>
          <w:rFonts w:ascii="Arial" w:cs="Arial" w:eastAsia="Arial" w:hAnsi="Arial"/>
          <w:sz w:val="14"/>
          <w:szCs w:val="14"/>
          <w:color w:val="auto"/>
        </w:rPr>
        <w:t>Net of the effect of business acquisitions and divestitures.</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80" w:type="dxa"/>
            <w:vAlign w:val="bottom"/>
            <w:gridSpan w:val="8"/>
          </w:tcPr>
          <w:p>
            <w:pPr>
              <w:jc w:val="right"/>
              <w:ind w:right="120"/>
              <w:spacing w:after="0"/>
              <w:rPr>
                <w:sz w:val="20"/>
                <w:szCs w:val="20"/>
                <w:color w:val="auto"/>
              </w:rPr>
            </w:pPr>
            <w:r>
              <w:rPr>
                <w:rFonts w:ascii="Arial" w:cs="Arial" w:eastAsia="Arial" w:hAnsi="Arial"/>
                <w:sz w:val="14"/>
                <w:szCs w:val="14"/>
                <w:i w:val="1"/>
                <w:iCs w:val="1"/>
                <w:color w:val="auto"/>
              </w:rPr>
              <w:t>(Stated in millions, except per share amounts)</w:t>
            </w:r>
          </w:p>
        </w:tc>
      </w:tr>
      <w:tr>
        <w:trPr>
          <w:trHeight w:val="300"/>
        </w:trPr>
        <w:tc>
          <w:tcPr>
            <w:tcW w:w="3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2"/>
        </w:trPr>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Retained</w:t>
            </w:r>
          </w:p>
        </w:tc>
        <w:tc>
          <w:tcPr>
            <w:tcW w:w="12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Comprehensive</w:t>
            </w:r>
          </w:p>
        </w:tc>
        <w:tc>
          <w:tcPr>
            <w:tcW w:w="12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2"/>
              </w:rPr>
              <w:t>Noncontrolling</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37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January 1, 2020 – June 30, 2020</w:t>
            </w: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Issued</w:t>
            </w: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w w:val="97"/>
              </w:rPr>
              <w:t>In Treasury</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3"/>
                <w:szCs w:val="13"/>
                <w:color w:val="auto"/>
              </w:rPr>
            </w:pPr>
          </w:p>
        </w:tc>
        <w:tc>
          <w:tcPr>
            <w:tcW w:w="1180" w:type="dxa"/>
            <w:vAlign w:val="bottom"/>
            <w:gridSpan w:val="2"/>
          </w:tcPr>
          <w:p>
            <w:pPr>
              <w:jc w:val="center"/>
              <w:ind w:right="380"/>
              <w:spacing w:after="0" w:line="155" w:lineRule="exact"/>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3"/>
                <w:szCs w:val="13"/>
                <w:color w:val="auto"/>
              </w:rPr>
            </w:pPr>
          </w:p>
        </w:tc>
        <w:tc>
          <w:tcPr>
            <w:tcW w:w="1120" w:type="dxa"/>
            <w:vAlign w:val="bottom"/>
            <w:gridSpan w:val="2"/>
          </w:tcPr>
          <w:p>
            <w:pPr>
              <w:jc w:val="center"/>
              <w:ind w:right="400"/>
              <w:spacing w:after="0" w:line="155" w:lineRule="exact"/>
              <w:rPr>
                <w:sz w:val="20"/>
                <w:szCs w:val="20"/>
                <w:color w:val="auto"/>
              </w:rPr>
            </w:pPr>
            <w:r>
              <w:rPr>
                <w:rFonts w:ascii="Arial" w:cs="Arial" w:eastAsia="Arial" w:hAnsi="Arial"/>
                <w:sz w:val="14"/>
                <w:szCs w:val="14"/>
                <w:b w:val="1"/>
                <w:bCs w:val="1"/>
                <w:color w:val="auto"/>
                <w:w w:val="89"/>
              </w:rPr>
              <w:t>Interests</w:t>
            </w:r>
          </w:p>
        </w:tc>
        <w:tc>
          <w:tcPr>
            <w:tcW w:w="220" w:type="dxa"/>
            <w:vAlign w:val="bottom"/>
          </w:tcPr>
          <w:p>
            <w:pPr>
              <w:spacing w:after="0"/>
              <w:rPr>
                <w:sz w:val="13"/>
                <w:szCs w:val="13"/>
                <w:color w:val="auto"/>
              </w:rPr>
            </w:pPr>
          </w:p>
        </w:tc>
        <w:tc>
          <w:tcPr>
            <w:tcW w:w="920" w:type="dxa"/>
            <w:vAlign w:val="bottom"/>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rPr>
              <w:t>Total</w:t>
            </w:r>
          </w:p>
        </w:tc>
      </w:tr>
      <w:tr>
        <w:trPr>
          <w:trHeight w:val="155"/>
        </w:trPr>
        <w:tc>
          <w:tcPr>
            <w:tcW w:w="364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Balance, January 1, 2020</w:t>
            </w:r>
          </w:p>
        </w:tc>
        <w:tc>
          <w:tcPr>
            <w:tcW w:w="14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13,078</w:t>
            </w: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(3,631)</w:t>
            </w:r>
          </w:p>
        </w:tc>
        <w:tc>
          <w:tcPr>
            <w:tcW w:w="2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18,751</w:t>
            </w: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(4,438)</w:t>
            </w:r>
          </w:p>
        </w:tc>
        <w:tc>
          <w:tcPr>
            <w:tcW w:w="2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2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416</w:t>
            </w:r>
          </w:p>
        </w:tc>
        <w:tc>
          <w:tcPr>
            <w:tcW w:w="26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24,176</w:t>
            </w: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3780" w:type="dxa"/>
            <w:vAlign w:val="bottom"/>
            <w:gridSpan w:val="2"/>
          </w:tcPr>
          <w:p>
            <w:pPr>
              <w:spacing w:after="0"/>
              <w:rPr>
                <w:sz w:val="20"/>
                <w:szCs w:val="20"/>
                <w:color w:val="auto"/>
              </w:rPr>
            </w:pPr>
            <w:r>
              <w:rPr>
                <w:rFonts w:ascii="Arial" w:cs="Arial" w:eastAsia="Arial" w:hAnsi="Arial"/>
                <w:sz w:val="14"/>
                <w:szCs w:val="14"/>
                <w:color w:val="auto"/>
              </w:rPr>
              <w:t>Net loss</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(10,810)</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(10,796)</w:t>
            </w:r>
          </w:p>
        </w:tc>
      </w:tr>
      <w:tr>
        <w:trPr>
          <w:trHeight w:val="162"/>
        </w:trPr>
        <w:tc>
          <w:tcPr>
            <w:tcW w:w="37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Currency translation adjustments</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(106)</w:t>
            </w: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w:t>
            </w:r>
          </w:p>
        </w:tc>
        <w:tc>
          <w:tcPr>
            <w:tcW w:w="2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(108)</w:t>
            </w:r>
          </w:p>
        </w:tc>
      </w:tr>
      <w:tr>
        <w:trPr>
          <w:trHeight w:val="162"/>
        </w:trPr>
        <w:tc>
          <w:tcPr>
            <w:tcW w:w="3780" w:type="dxa"/>
            <w:vAlign w:val="bottom"/>
            <w:gridSpan w:val="2"/>
          </w:tcPr>
          <w:p>
            <w:pPr>
              <w:spacing w:after="0"/>
              <w:rPr>
                <w:sz w:val="20"/>
                <w:szCs w:val="20"/>
                <w:color w:val="auto"/>
              </w:rPr>
            </w:pPr>
            <w:r>
              <w:rPr>
                <w:rFonts w:ascii="Arial" w:cs="Arial" w:eastAsia="Arial" w:hAnsi="Arial"/>
                <w:sz w:val="14"/>
                <w:szCs w:val="14"/>
                <w:color w:val="auto"/>
              </w:rPr>
              <w:t>Changes in fair value of cash flow hedges</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(226)</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(226)</w:t>
            </w:r>
          </w:p>
        </w:tc>
      </w:tr>
      <w:tr>
        <w:trPr>
          <w:trHeight w:val="162"/>
        </w:trPr>
        <w:tc>
          <w:tcPr>
            <w:tcW w:w="37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Pension and other postretirement benefit plans</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FF0FC"/>
          </w:tcPr>
          <w:p>
            <w:pPr>
              <w:spacing w:after="0"/>
              <w:rPr>
                <w:sz w:val="14"/>
                <w:szCs w:val="14"/>
                <w:color w:val="auto"/>
              </w:rPr>
            </w:pPr>
          </w:p>
        </w:tc>
      </w:tr>
      <w:tr>
        <w:trPr>
          <w:trHeight w:val="162"/>
        </w:trPr>
        <w:tc>
          <w:tcPr>
            <w:tcW w:w="3780" w:type="dxa"/>
            <w:vAlign w:val="bottom"/>
            <w:gridSpan w:val="2"/>
          </w:tcPr>
          <w:p>
            <w:pPr>
              <w:spacing w:after="0"/>
              <w:rPr>
                <w:sz w:val="20"/>
                <w:szCs w:val="20"/>
                <w:color w:val="auto"/>
              </w:rPr>
            </w:pPr>
            <w:r>
              <w:rPr>
                <w:rFonts w:ascii="Arial" w:cs="Arial" w:eastAsia="Arial" w:hAnsi="Arial"/>
                <w:sz w:val="14"/>
                <w:szCs w:val="14"/>
                <w:color w:val="auto"/>
              </w:rPr>
              <w:t>Vesting of restricted stock</w:t>
            </w:r>
          </w:p>
        </w:tc>
        <w:tc>
          <w:tcPr>
            <w:tcW w:w="20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131</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r>
      <w:tr>
        <w:trPr>
          <w:trHeight w:val="162"/>
        </w:trPr>
        <w:tc>
          <w:tcPr>
            <w:tcW w:w="37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Shares issued under employee stock purchase plan</w:t>
            </w:r>
          </w:p>
        </w:tc>
        <w:tc>
          <w:tcPr>
            <w:tcW w:w="2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180</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FF0FC"/>
          </w:tcPr>
          <w:p>
            <w:pPr>
              <w:spacing w:after="0"/>
              <w:rPr>
                <w:sz w:val="14"/>
                <w:szCs w:val="14"/>
                <w:color w:val="auto"/>
              </w:rPr>
            </w:pPr>
          </w:p>
        </w:tc>
      </w:tr>
      <w:tr>
        <w:trPr>
          <w:trHeight w:val="162"/>
        </w:trPr>
        <w:tc>
          <w:tcPr>
            <w:tcW w:w="3780" w:type="dxa"/>
            <w:vAlign w:val="bottom"/>
            <w:gridSpan w:val="2"/>
          </w:tcPr>
          <w:p>
            <w:pPr>
              <w:spacing w:after="0"/>
              <w:rPr>
                <w:sz w:val="20"/>
                <w:szCs w:val="20"/>
                <w:color w:val="auto"/>
              </w:rPr>
            </w:pPr>
            <w:r>
              <w:rPr>
                <w:rFonts w:ascii="Arial" w:cs="Arial" w:eastAsia="Arial" w:hAnsi="Arial"/>
                <w:sz w:val="14"/>
                <w:szCs w:val="14"/>
                <w:color w:val="auto"/>
              </w:rPr>
              <w:t>Stock repurchase program</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(26)</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(26)</w:t>
            </w:r>
          </w:p>
        </w:tc>
      </w:tr>
      <w:tr>
        <w:trPr>
          <w:trHeight w:val="162"/>
        </w:trPr>
        <w:tc>
          <w:tcPr>
            <w:tcW w:w="37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Stock-based compensation expense</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213</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213</w:t>
            </w:r>
          </w:p>
        </w:tc>
        <w:tc>
          <w:tcPr>
            <w:tcW w:w="100" w:type="dxa"/>
            <w:vAlign w:val="bottom"/>
            <w:shd w:val="clear" w:color="auto" w:fill="CFF0FC"/>
          </w:tcPr>
          <w:p>
            <w:pPr>
              <w:spacing w:after="0"/>
              <w:rPr>
                <w:sz w:val="14"/>
                <w:szCs w:val="14"/>
                <w:color w:val="auto"/>
              </w:rPr>
            </w:pPr>
          </w:p>
        </w:tc>
      </w:tr>
      <w:tr>
        <w:trPr>
          <w:trHeight w:val="162"/>
        </w:trPr>
        <w:tc>
          <w:tcPr>
            <w:tcW w:w="3780" w:type="dxa"/>
            <w:vAlign w:val="bottom"/>
            <w:gridSpan w:val="2"/>
          </w:tcPr>
          <w:p>
            <w:pPr>
              <w:spacing w:after="0"/>
              <w:rPr>
                <w:sz w:val="20"/>
                <w:szCs w:val="20"/>
                <w:color w:val="auto"/>
              </w:rPr>
            </w:pPr>
            <w:r>
              <w:rPr>
                <w:rFonts w:ascii="Arial" w:cs="Arial" w:eastAsia="Arial" w:hAnsi="Arial"/>
                <w:sz w:val="14"/>
                <w:szCs w:val="14"/>
                <w:color w:val="auto"/>
              </w:rPr>
              <w:t>Dividends declared ($0.625 per share)</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(868)</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(868)</w:t>
            </w:r>
          </w:p>
        </w:tc>
      </w:tr>
      <w:tr>
        <w:trPr>
          <w:trHeight w:val="162"/>
        </w:trPr>
        <w:tc>
          <w:tcPr>
            <w:tcW w:w="37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Other</w:t>
            </w:r>
          </w:p>
        </w:tc>
        <w:tc>
          <w:tcPr>
            <w:tcW w:w="2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(12)</w:t>
            </w:r>
          </w:p>
        </w:tc>
        <w:tc>
          <w:tcPr>
            <w:tcW w:w="2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(26)</w:t>
            </w:r>
          </w:p>
        </w:tc>
      </w:tr>
      <w:tr>
        <w:trPr>
          <w:trHeight w:val="20"/>
        </w:trPr>
        <w:tc>
          <w:tcPr>
            <w:tcW w:w="3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3780" w:type="dxa"/>
            <w:vAlign w:val="bottom"/>
            <w:gridSpan w:val="2"/>
          </w:tcPr>
          <w:p>
            <w:pPr>
              <w:spacing w:after="0"/>
              <w:rPr>
                <w:sz w:val="20"/>
                <w:szCs w:val="20"/>
                <w:color w:val="auto"/>
              </w:rPr>
            </w:pPr>
            <w:r>
              <w:rPr>
                <w:rFonts w:ascii="Arial" w:cs="Arial" w:eastAsia="Arial" w:hAnsi="Arial"/>
                <w:sz w:val="14"/>
                <w:szCs w:val="14"/>
                <w:color w:val="auto"/>
              </w:rPr>
              <w:t>Balance, June 30, 2020</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13,044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(3,339)</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7,073</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(4,738)</w:t>
            </w:r>
          </w:p>
        </w:tc>
        <w:tc>
          <w:tcPr>
            <w:tcW w:w="140" w:type="dxa"/>
            <w:vAlign w:val="bottom"/>
          </w:tcPr>
          <w:p>
            <w:pPr>
              <w:jc w:val="right"/>
              <w:ind w:right="22"/>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416</w:t>
            </w:r>
          </w:p>
        </w:tc>
        <w:tc>
          <w:tcPr>
            <w:tcW w:w="260" w:type="dxa"/>
            <w:vAlign w:val="bottom"/>
          </w:tcPr>
          <w:p>
            <w:pPr>
              <w:spacing w:after="0"/>
              <w:rPr>
                <w:sz w:val="19"/>
                <w:szCs w:val="19"/>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12,456</w:t>
            </w:r>
          </w:p>
        </w:tc>
        <w:tc>
          <w:tcPr>
            <w:tcW w:w="100" w:type="dxa"/>
            <w:vAlign w:val="bottom"/>
          </w:tcPr>
          <w:p>
            <w:pPr>
              <w:spacing w:after="0"/>
              <w:rPr>
                <w:sz w:val="19"/>
                <w:szCs w:val="19"/>
                <w:color w:val="auto"/>
              </w:rPr>
            </w:pPr>
          </w:p>
        </w:tc>
      </w:tr>
      <w:tr>
        <w:trPr>
          <w:trHeight w:val="20"/>
        </w:trPr>
        <w:tc>
          <w:tcPr>
            <w:tcW w:w="3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7"/>
        </w:trPr>
        <w:tc>
          <w:tcPr>
            <w:tcW w:w="3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80" w:type="dxa"/>
            <w:vAlign w:val="bottom"/>
            <w:gridSpan w:val="8"/>
          </w:tcPr>
          <w:p>
            <w:pPr>
              <w:jc w:val="right"/>
              <w:ind w:right="120"/>
              <w:spacing w:after="0"/>
              <w:rPr>
                <w:sz w:val="20"/>
                <w:szCs w:val="20"/>
                <w:color w:val="auto"/>
              </w:rPr>
            </w:pPr>
            <w:r>
              <w:rPr>
                <w:rFonts w:ascii="Arial" w:cs="Arial" w:eastAsia="Arial" w:hAnsi="Arial"/>
                <w:sz w:val="14"/>
                <w:szCs w:val="14"/>
                <w:i w:val="1"/>
                <w:iCs w:val="1"/>
                <w:color w:val="auto"/>
              </w:rPr>
              <w:t>(Stated in millions, except per share amounts)</w:t>
            </w:r>
          </w:p>
        </w:tc>
      </w:tr>
      <w:tr>
        <w:trPr>
          <w:trHeight w:val="300"/>
        </w:trPr>
        <w:tc>
          <w:tcPr>
            <w:tcW w:w="3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2"/>
        </w:trPr>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Retained</w:t>
            </w:r>
          </w:p>
        </w:tc>
        <w:tc>
          <w:tcPr>
            <w:tcW w:w="12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Comprehensive</w:t>
            </w:r>
          </w:p>
        </w:tc>
        <w:tc>
          <w:tcPr>
            <w:tcW w:w="12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2"/>
              </w:rPr>
              <w:t>Noncontrolling</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37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January 1, 2019 – June 30, 2019</w:t>
            </w: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Issued</w:t>
            </w: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w w:val="97"/>
              </w:rPr>
              <w:t>In Treasury</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3"/>
                <w:szCs w:val="13"/>
                <w:color w:val="auto"/>
              </w:rPr>
            </w:pPr>
          </w:p>
        </w:tc>
        <w:tc>
          <w:tcPr>
            <w:tcW w:w="1180" w:type="dxa"/>
            <w:vAlign w:val="bottom"/>
            <w:gridSpan w:val="2"/>
          </w:tcPr>
          <w:p>
            <w:pPr>
              <w:jc w:val="center"/>
              <w:ind w:right="380"/>
              <w:spacing w:after="0" w:line="155" w:lineRule="exact"/>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3"/>
                <w:szCs w:val="13"/>
                <w:color w:val="auto"/>
              </w:rPr>
            </w:pPr>
          </w:p>
        </w:tc>
        <w:tc>
          <w:tcPr>
            <w:tcW w:w="1120" w:type="dxa"/>
            <w:vAlign w:val="bottom"/>
            <w:gridSpan w:val="2"/>
          </w:tcPr>
          <w:p>
            <w:pPr>
              <w:jc w:val="center"/>
              <w:ind w:right="400"/>
              <w:spacing w:after="0" w:line="155" w:lineRule="exact"/>
              <w:rPr>
                <w:sz w:val="20"/>
                <w:szCs w:val="20"/>
                <w:color w:val="auto"/>
              </w:rPr>
            </w:pPr>
            <w:r>
              <w:rPr>
                <w:rFonts w:ascii="Arial" w:cs="Arial" w:eastAsia="Arial" w:hAnsi="Arial"/>
                <w:sz w:val="14"/>
                <w:szCs w:val="14"/>
                <w:b w:val="1"/>
                <w:bCs w:val="1"/>
                <w:color w:val="auto"/>
                <w:w w:val="89"/>
              </w:rPr>
              <w:t>Interests</w:t>
            </w:r>
          </w:p>
        </w:tc>
        <w:tc>
          <w:tcPr>
            <w:tcW w:w="220" w:type="dxa"/>
            <w:vAlign w:val="bottom"/>
          </w:tcPr>
          <w:p>
            <w:pPr>
              <w:spacing w:after="0"/>
              <w:rPr>
                <w:sz w:val="13"/>
                <w:szCs w:val="13"/>
                <w:color w:val="auto"/>
              </w:rPr>
            </w:pPr>
          </w:p>
        </w:tc>
        <w:tc>
          <w:tcPr>
            <w:tcW w:w="920" w:type="dxa"/>
            <w:vAlign w:val="bottom"/>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rPr>
              <w:t>Total</w:t>
            </w:r>
          </w:p>
        </w:tc>
      </w:tr>
      <w:tr>
        <w:trPr>
          <w:trHeight w:val="156"/>
        </w:trPr>
        <w:tc>
          <w:tcPr>
            <w:tcW w:w="364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Balance, January 1, 2019</w:t>
            </w:r>
          </w:p>
        </w:tc>
        <w:tc>
          <w:tcPr>
            <w:tcW w:w="14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13,132</w:t>
            </w: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(4,006)</w:t>
            </w:r>
          </w:p>
        </w:tc>
        <w:tc>
          <w:tcPr>
            <w:tcW w:w="2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31,658</w:t>
            </w: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(4,622)</w:t>
            </w:r>
          </w:p>
        </w:tc>
        <w:tc>
          <w:tcPr>
            <w:tcW w:w="2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2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424</w:t>
            </w:r>
          </w:p>
        </w:tc>
        <w:tc>
          <w:tcPr>
            <w:tcW w:w="26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36,586</w:t>
            </w: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378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913</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923</w:t>
            </w:r>
          </w:p>
        </w:tc>
        <w:tc>
          <w:tcPr>
            <w:tcW w:w="100" w:type="dxa"/>
            <w:vAlign w:val="bottom"/>
          </w:tcPr>
          <w:p>
            <w:pPr>
              <w:spacing w:after="0"/>
              <w:rPr>
                <w:sz w:val="14"/>
                <w:szCs w:val="14"/>
                <w:color w:val="auto"/>
              </w:rPr>
            </w:pPr>
          </w:p>
        </w:tc>
      </w:tr>
      <w:tr>
        <w:trPr>
          <w:trHeight w:val="162"/>
        </w:trPr>
        <w:tc>
          <w:tcPr>
            <w:tcW w:w="37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Currency translation adjustments</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FF0FC"/>
          </w:tcPr>
          <w:p>
            <w:pPr>
              <w:spacing w:after="0"/>
              <w:rPr>
                <w:sz w:val="14"/>
                <w:szCs w:val="14"/>
                <w:color w:val="auto"/>
              </w:rPr>
            </w:pPr>
          </w:p>
        </w:tc>
      </w:tr>
      <w:tr>
        <w:trPr>
          <w:trHeight w:val="162"/>
        </w:trPr>
        <w:tc>
          <w:tcPr>
            <w:tcW w:w="3780" w:type="dxa"/>
            <w:vAlign w:val="bottom"/>
            <w:gridSpan w:val="2"/>
          </w:tcPr>
          <w:p>
            <w:pPr>
              <w:spacing w:after="0"/>
              <w:rPr>
                <w:sz w:val="20"/>
                <w:szCs w:val="20"/>
                <w:color w:val="auto"/>
              </w:rPr>
            </w:pPr>
            <w:r>
              <w:rPr>
                <w:rFonts w:ascii="Arial" w:cs="Arial" w:eastAsia="Arial" w:hAnsi="Arial"/>
                <w:sz w:val="14"/>
                <w:szCs w:val="14"/>
                <w:color w:val="auto"/>
              </w:rPr>
              <w:t>Pension and other postretirement benefit plans</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39</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4"/>
                <w:szCs w:val="14"/>
                <w:color w:val="auto"/>
              </w:rPr>
            </w:pPr>
          </w:p>
        </w:tc>
      </w:tr>
      <w:tr>
        <w:trPr>
          <w:trHeight w:val="162"/>
        </w:trPr>
        <w:tc>
          <w:tcPr>
            <w:tcW w:w="37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Shares sold to optionees, less shares exchanged</w:t>
            </w:r>
          </w:p>
        </w:tc>
        <w:tc>
          <w:tcPr>
            <w:tcW w:w="2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FF0FC"/>
          </w:tcPr>
          <w:p>
            <w:pPr>
              <w:spacing w:after="0"/>
              <w:rPr>
                <w:sz w:val="14"/>
                <w:szCs w:val="14"/>
                <w:color w:val="auto"/>
              </w:rPr>
            </w:pPr>
          </w:p>
        </w:tc>
      </w:tr>
      <w:tr>
        <w:trPr>
          <w:trHeight w:val="162"/>
        </w:trPr>
        <w:tc>
          <w:tcPr>
            <w:tcW w:w="3780" w:type="dxa"/>
            <w:vAlign w:val="bottom"/>
            <w:gridSpan w:val="2"/>
          </w:tcPr>
          <w:p>
            <w:pPr>
              <w:spacing w:after="0"/>
              <w:rPr>
                <w:sz w:val="20"/>
                <w:szCs w:val="20"/>
                <w:color w:val="auto"/>
              </w:rPr>
            </w:pPr>
            <w:r>
              <w:rPr>
                <w:rFonts w:ascii="Arial" w:cs="Arial" w:eastAsia="Arial" w:hAnsi="Arial"/>
                <w:sz w:val="14"/>
                <w:szCs w:val="14"/>
                <w:color w:val="auto"/>
              </w:rPr>
              <w:t>Vesting of restricted stock</w:t>
            </w:r>
          </w:p>
        </w:tc>
        <w:tc>
          <w:tcPr>
            <w:tcW w:w="20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126</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r>
      <w:tr>
        <w:trPr>
          <w:trHeight w:val="162"/>
        </w:trPr>
        <w:tc>
          <w:tcPr>
            <w:tcW w:w="37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Shares issued under employee stock purchase plan</w:t>
            </w:r>
          </w:p>
        </w:tc>
        <w:tc>
          <w:tcPr>
            <w:tcW w:w="2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(115)</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200</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FF0FC"/>
          </w:tcPr>
          <w:p>
            <w:pPr>
              <w:spacing w:after="0"/>
              <w:rPr>
                <w:sz w:val="14"/>
                <w:szCs w:val="14"/>
                <w:color w:val="auto"/>
              </w:rPr>
            </w:pPr>
          </w:p>
        </w:tc>
      </w:tr>
      <w:tr>
        <w:trPr>
          <w:trHeight w:val="162"/>
        </w:trPr>
        <w:tc>
          <w:tcPr>
            <w:tcW w:w="3780" w:type="dxa"/>
            <w:vAlign w:val="bottom"/>
            <w:gridSpan w:val="2"/>
          </w:tcPr>
          <w:p>
            <w:pPr>
              <w:spacing w:after="0"/>
              <w:rPr>
                <w:sz w:val="20"/>
                <w:szCs w:val="20"/>
                <w:color w:val="auto"/>
              </w:rPr>
            </w:pPr>
            <w:r>
              <w:rPr>
                <w:rFonts w:ascii="Arial" w:cs="Arial" w:eastAsia="Arial" w:hAnsi="Arial"/>
                <w:sz w:val="14"/>
                <w:szCs w:val="14"/>
                <w:color w:val="auto"/>
              </w:rPr>
              <w:t>Stock repurchase program</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(199)</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(199)</w:t>
            </w:r>
          </w:p>
        </w:tc>
      </w:tr>
      <w:tr>
        <w:trPr>
          <w:trHeight w:val="162"/>
        </w:trPr>
        <w:tc>
          <w:tcPr>
            <w:tcW w:w="37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Stock-based compensation expense</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194</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194</w:t>
            </w:r>
          </w:p>
        </w:tc>
        <w:tc>
          <w:tcPr>
            <w:tcW w:w="100" w:type="dxa"/>
            <w:vAlign w:val="bottom"/>
            <w:shd w:val="clear" w:color="auto" w:fill="CFF0FC"/>
          </w:tcPr>
          <w:p>
            <w:pPr>
              <w:spacing w:after="0"/>
              <w:rPr>
                <w:sz w:val="14"/>
                <w:szCs w:val="14"/>
                <w:color w:val="auto"/>
              </w:rPr>
            </w:pPr>
          </w:p>
        </w:tc>
      </w:tr>
      <w:tr>
        <w:trPr>
          <w:trHeight w:val="162"/>
        </w:trPr>
        <w:tc>
          <w:tcPr>
            <w:tcW w:w="3780" w:type="dxa"/>
            <w:vAlign w:val="bottom"/>
            <w:gridSpan w:val="2"/>
          </w:tcPr>
          <w:p>
            <w:pPr>
              <w:spacing w:after="0"/>
              <w:rPr>
                <w:sz w:val="20"/>
                <w:szCs w:val="20"/>
                <w:color w:val="auto"/>
              </w:rPr>
            </w:pPr>
            <w:r>
              <w:rPr>
                <w:rFonts w:ascii="Arial" w:cs="Arial" w:eastAsia="Arial" w:hAnsi="Arial"/>
                <w:sz w:val="14"/>
                <w:szCs w:val="14"/>
                <w:color w:val="auto"/>
              </w:rPr>
              <w:t>Dividends declared ($1.00 per share)</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(1,385)</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(1,385)</w:t>
            </w:r>
          </w:p>
        </w:tc>
      </w:tr>
      <w:tr>
        <w:trPr>
          <w:trHeight w:val="162"/>
        </w:trPr>
        <w:tc>
          <w:tcPr>
            <w:tcW w:w="37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Other</w:t>
            </w:r>
          </w:p>
        </w:tc>
        <w:tc>
          <w:tcPr>
            <w:tcW w:w="2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(13)</w:t>
            </w:r>
          </w:p>
        </w:tc>
        <w:tc>
          <w:tcPr>
            <w:tcW w:w="2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(30)</w:t>
            </w:r>
          </w:p>
        </w:tc>
      </w:tr>
      <w:tr>
        <w:trPr>
          <w:trHeight w:val="155"/>
        </w:trPr>
        <w:tc>
          <w:tcPr>
            <w:tcW w:w="3780" w:type="dxa"/>
            <w:vAlign w:val="bottom"/>
            <w:gridSpan w:val="2"/>
          </w:tcPr>
          <w:p>
            <w:pPr>
              <w:spacing w:after="0" w:line="155" w:lineRule="exact"/>
              <w:rPr>
                <w:sz w:val="20"/>
                <w:szCs w:val="20"/>
                <w:color w:val="auto"/>
              </w:rPr>
            </w:pPr>
            <w:r>
              <w:rPr>
                <w:rFonts w:ascii="Arial" w:cs="Arial" w:eastAsia="Arial" w:hAnsi="Arial"/>
                <w:sz w:val="14"/>
                <w:szCs w:val="14"/>
                <w:color w:val="auto"/>
              </w:rPr>
              <w:t>Balance, June 30, 2019</w:t>
            </w:r>
          </w:p>
        </w:tc>
        <w:tc>
          <w:tcPr>
            <w:tcW w:w="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13,037</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(3,827)</w:t>
            </w:r>
          </w:p>
        </w:tc>
        <w:tc>
          <w:tcPr>
            <w:tcW w:w="2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31,186</w:t>
            </w: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(4,544)</w:t>
            </w:r>
          </w:p>
        </w:tc>
        <w:tc>
          <w:tcPr>
            <w:tcW w:w="2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421</w:t>
            </w:r>
          </w:p>
        </w:tc>
        <w:tc>
          <w:tcPr>
            <w:tcW w:w="26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36,273</w:t>
            </w:r>
          </w:p>
        </w:tc>
        <w:tc>
          <w:tcPr>
            <w:tcW w:w="100" w:type="dxa"/>
            <w:vAlign w:val="bottom"/>
          </w:tcPr>
          <w:p>
            <w:pPr>
              <w:spacing w:after="0"/>
              <w:rPr>
                <w:sz w:val="13"/>
                <w:szCs w:val="13"/>
                <w:color w:val="auto"/>
              </w:rPr>
            </w:pPr>
          </w:p>
        </w:tc>
      </w:tr>
      <w:tr>
        <w:trPr>
          <w:trHeight w:val="20"/>
        </w:trPr>
        <w:tc>
          <w:tcPr>
            <w:tcW w:w="3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82"/>
        </w:trPr>
        <w:tc>
          <w:tcPr>
            <w:tcW w:w="3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80" w:type="dxa"/>
            <w:vAlign w:val="bottom"/>
            <w:gridSpan w:val="12"/>
          </w:tcPr>
          <w:p>
            <w:pPr>
              <w:jc w:val="right"/>
              <w:ind w:right="120"/>
              <w:spacing w:after="0"/>
              <w:rPr>
                <w:sz w:val="20"/>
                <w:szCs w:val="20"/>
                <w:color w:val="auto"/>
              </w:rPr>
            </w:pPr>
            <w:r>
              <w:rPr>
                <w:rFonts w:ascii="Arial" w:cs="Arial" w:eastAsia="Arial" w:hAnsi="Arial"/>
                <w:sz w:val="14"/>
                <w:szCs w:val="14"/>
                <w:i w:val="1"/>
                <w:iCs w:val="1"/>
                <w:color w:val="auto"/>
              </w:rPr>
              <w:t>(Stated in millions, except per share amounts)</w:t>
            </w:r>
          </w:p>
        </w:tc>
      </w:tr>
      <w:tr>
        <w:trPr>
          <w:trHeight w:val="300"/>
        </w:trPr>
        <w:tc>
          <w:tcPr>
            <w:tcW w:w="3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2"/>
        </w:trPr>
        <w:tc>
          <w:tcPr>
            <w:tcW w:w="3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6"/>
          </w:tcPr>
          <w:p>
            <w:pPr>
              <w:jc w:val="right"/>
              <w:ind w:right="48"/>
              <w:spacing w:after="0"/>
              <w:rPr>
                <w:sz w:val="20"/>
                <w:szCs w:val="20"/>
                <w:color w:val="auto"/>
              </w:rPr>
            </w:pPr>
            <w:r>
              <w:rPr>
                <w:rFonts w:ascii="Arial" w:cs="Arial" w:eastAsia="Arial" w:hAnsi="Arial"/>
                <w:sz w:val="14"/>
                <w:szCs w:val="14"/>
                <w:b w:val="1"/>
                <w:bCs w:val="1"/>
                <w:color w:val="auto"/>
              </w:rPr>
              <w:t>Common Stock</w:t>
            </w:r>
          </w:p>
        </w:tc>
        <w:tc>
          <w:tcPr>
            <w:tcW w:w="4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1"/>
              </w:rPr>
              <w:t>Comprehensive</w:t>
            </w:r>
          </w:p>
        </w:tc>
        <w:tc>
          <w:tcPr>
            <w:tcW w:w="40" w:type="dxa"/>
            <w:vAlign w:val="bottom"/>
          </w:tcPr>
          <w:p>
            <w:pPr>
              <w:spacing w:after="0"/>
              <w:rPr>
                <w:sz w:val="14"/>
                <w:szCs w:val="14"/>
                <w:color w:val="auto"/>
              </w:rPr>
            </w:pPr>
          </w:p>
        </w:tc>
        <w:tc>
          <w:tcPr>
            <w:tcW w:w="1260" w:type="dxa"/>
            <w:vAlign w:val="bottom"/>
            <w:gridSpan w:val="3"/>
          </w:tcPr>
          <w:p>
            <w:pPr>
              <w:ind w:left="40"/>
              <w:spacing w:after="0"/>
              <w:rPr>
                <w:sz w:val="20"/>
                <w:szCs w:val="20"/>
                <w:color w:val="auto"/>
              </w:rPr>
            </w:pPr>
            <w:r>
              <w:rPr>
                <w:rFonts w:ascii="Arial" w:cs="Arial" w:eastAsia="Arial" w:hAnsi="Arial"/>
                <w:sz w:val="14"/>
                <w:szCs w:val="14"/>
                <w:b w:val="1"/>
                <w:bCs w:val="1"/>
                <w:color w:val="auto"/>
              </w:rPr>
              <w:t>Noncontrolling</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3640" w:type="dxa"/>
            <w:vAlign w:val="bottom"/>
          </w:tcPr>
          <w:p>
            <w:pPr>
              <w:spacing w:after="0" w:line="155" w:lineRule="exact"/>
              <w:rPr>
                <w:sz w:val="20"/>
                <w:szCs w:val="20"/>
                <w:color w:val="auto"/>
              </w:rPr>
            </w:pPr>
            <w:r>
              <w:rPr>
                <w:rFonts w:ascii="Arial" w:cs="Arial" w:eastAsia="Arial" w:hAnsi="Arial"/>
                <w:sz w:val="14"/>
                <w:szCs w:val="14"/>
                <w:b w:val="1"/>
                <w:bCs w:val="1"/>
                <w:color w:val="auto"/>
              </w:rPr>
              <w:t>April 1, 2020 – June 30, 2020</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3"/>
          </w:tcPr>
          <w:p>
            <w:pPr>
              <w:jc w:val="right"/>
              <w:ind w:right="420"/>
              <w:spacing w:after="0" w:line="155" w:lineRule="exact"/>
              <w:rPr>
                <w:sz w:val="20"/>
                <w:szCs w:val="20"/>
                <w:color w:val="auto"/>
              </w:rPr>
            </w:pPr>
            <w:r>
              <w:rPr>
                <w:rFonts w:ascii="Arial" w:cs="Arial" w:eastAsia="Arial" w:hAnsi="Arial"/>
                <w:sz w:val="14"/>
                <w:szCs w:val="14"/>
                <w:b w:val="1"/>
                <w:bCs w:val="1"/>
                <w:color w:val="auto"/>
              </w:rPr>
              <w:t>Issued</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3"/>
          </w:tcPr>
          <w:p>
            <w:pPr>
              <w:jc w:val="right"/>
              <w:ind w:right="140"/>
              <w:spacing w:after="0" w:line="155" w:lineRule="exact"/>
              <w:rPr>
                <w:sz w:val="20"/>
                <w:szCs w:val="20"/>
                <w:color w:val="auto"/>
              </w:rPr>
            </w:pPr>
            <w:r>
              <w:rPr>
                <w:rFonts w:ascii="Arial" w:cs="Arial" w:eastAsia="Arial" w:hAnsi="Arial"/>
                <w:sz w:val="14"/>
                <w:szCs w:val="14"/>
                <w:b w:val="1"/>
                <w:bCs w:val="1"/>
                <w:color w:val="auto"/>
              </w:rPr>
              <w:t>In Treasury</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3"/>
          </w:tcPr>
          <w:p>
            <w:pPr>
              <w:jc w:val="right"/>
              <w:ind w:right="360"/>
              <w:spacing w:after="0" w:line="155" w:lineRule="exact"/>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3"/>
          </w:tcPr>
          <w:p>
            <w:pPr>
              <w:jc w:val="center"/>
              <w:ind w:right="340"/>
              <w:spacing w:after="0" w:line="155" w:lineRule="exact"/>
              <w:rPr>
                <w:sz w:val="20"/>
                <w:szCs w:val="20"/>
                <w:color w:val="auto"/>
              </w:rPr>
            </w:pPr>
            <w:r>
              <w:rPr>
                <w:rFonts w:ascii="Arial" w:cs="Arial" w:eastAsia="Arial" w:hAnsi="Arial"/>
                <w:sz w:val="14"/>
                <w:szCs w:val="14"/>
                <w:b w:val="1"/>
                <w:bCs w:val="1"/>
                <w:color w:val="auto"/>
                <w:w w:val="85"/>
              </w:rPr>
              <w:t>Loss</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500"/>
              <w:spacing w:after="0" w:line="155" w:lineRule="exact"/>
              <w:rPr>
                <w:sz w:val="20"/>
                <w:szCs w:val="20"/>
                <w:color w:val="auto"/>
              </w:rPr>
            </w:pPr>
            <w:r>
              <w:rPr>
                <w:rFonts w:ascii="Arial" w:cs="Arial" w:eastAsia="Arial" w:hAnsi="Arial"/>
                <w:sz w:val="14"/>
                <w:szCs w:val="14"/>
                <w:b w:val="1"/>
                <w:bCs w:val="1"/>
                <w:color w:val="auto"/>
              </w:rPr>
              <w:t>Interests</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rPr>
              <w:t>Total</w:t>
            </w:r>
          </w:p>
        </w:tc>
      </w:tr>
      <w:tr>
        <w:trPr>
          <w:trHeight w:val="156"/>
        </w:trPr>
        <w:tc>
          <w:tcPr>
            <w:tcW w:w="364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April 1, 2020</w:t>
            </w:r>
          </w:p>
        </w:tc>
        <w:tc>
          <w:tcPr>
            <w:tcW w:w="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12,963</w:t>
            </w:r>
          </w:p>
        </w:tc>
        <w:tc>
          <w:tcPr>
            <w:tcW w:w="12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460" w:type="dxa"/>
            <w:vAlign w:val="bottom"/>
            <w:tcBorders>
              <w:top w:val="single" w:sz="8" w:color="auto"/>
            </w:tcBorders>
            <w:shd w:val="clear" w:color="auto" w:fill="CFF0FC"/>
          </w:tcPr>
          <w:p>
            <w:pPr>
              <w:jc w:val="right"/>
              <w:ind w:right="308"/>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(3,360)</w:t>
            </w:r>
          </w:p>
        </w:tc>
        <w:tc>
          <w:tcPr>
            <w:tcW w:w="20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10,681</w:t>
            </w: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(4,723)</w:t>
            </w:r>
          </w:p>
        </w:tc>
        <w:tc>
          <w:tcPr>
            <w:tcW w:w="22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422</w:t>
            </w:r>
          </w:p>
        </w:tc>
        <w:tc>
          <w:tcPr>
            <w:tcW w:w="26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15,983</w:t>
            </w: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3640" w:type="dxa"/>
            <w:vAlign w:val="bottom"/>
          </w:tcPr>
          <w:p>
            <w:pPr>
              <w:spacing w:after="0"/>
              <w:rPr>
                <w:sz w:val="20"/>
                <w:szCs w:val="20"/>
                <w:color w:val="auto"/>
              </w:rPr>
            </w:pPr>
            <w:r>
              <w:rPr>
                <w:rFonts w:ascii="Arial" w:cs="Arial" w:eastAsia="Arial" w:hAnsi="Arial"/>
                <w:sz w:val="14"/>
                <w:szCs w:val="14"/>
                <w:color w:val="auto"/>
              </w:rPr>
              <w:t>Net loss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4"/>
                <w:szCs w:val="14"/>
                <w:color w:val="auto"/>
              </w:rPr>
              <w:t>(3,434)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(3,428)</w:t>
            </w:r>
          </w:p>
        </w:tc>
      </w:tr>
      <w:tr>
        <w:trPr>
          <w:trHeight w:val="162"/>
        </w:trPr>
        <w:tc>
          <w:tcPr>
            <w:tcW w:w="3640" w:type="dxa"/>
            <w:vAlign w:val="bottom"/>
            <w:shd w:val="clear" w:color="auto" w:fill="CFF0FC"/>
          </w:tcPr>
          <w:p>
            <w:pPr>
              <w:spacing w:after="0"/>
              <w:rPr>
                <w:sz w:val="20"/>
                <w:szCs w:val="20"/>
                <w:color w:val="auto"/>
              </w:rPr>
            </w:pPr>
            <w:r>
              <w:rPr>
                <w:rFonts w:ascii="Arial" w:cs="Arial" w:eastAsia="Arial" w:hAnsi="Arial"/>
                <w:sz w:val="14"/>
                <w:szCs w:val="14"/>
                <w:color w:val="auto"/>
              </w:rPr>
              <w:t>Currency translation adjustments</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19</w:t>
            </w:r>
          </w:p>
        </w:tc>
        <w:tc>
          <w:tcPr>
            <w:tcW w:w="2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FF0FC"/>
          </w:tcPr>
          <w:p>
            <w:pPr>
              <w:spacing w:after="0"/>
              <w:rPr>
                <w:sz w:val="14"/>
                <w:szCs w:val="14"/>
                <w:color w:val="auto"/>
              </w:rPr>
            </w:pPr>
          </w:p>
        </w:tc>
      </w:tr>
      <w:tr>
        <w:trPr>
          <w:trHeight w:val="162"/>
        </w:trPr>
        <w:tc>
          <w:tcPr>
            <w:tcW w:w="3640" w:type="dxa"/>
            <w:vAlign w:val="bottom"/>
          </w:tcPr>
          <w:p>
            <w:pPr>
              <w:spacing w:after="0"/>
              <w:rPr>
                <w:sz w:val="20"/>
                <w:szCs w:val="20"/>
                <w:color w:val="auto"/>
              </w:rPr>
            </w:pPr>
            <w:r>
              <w:rPr>
                <w:rFonts w:ascii="Arial" w:cs="Arial" w:eastAsia="Arial" w:hAnsi="Arial"/>
                <w:sz w:val="14"/>
                <w:szCs w:val="14"/>
                <w:color w:val="auto"/>
              </w:rPr>
              <w:t>Changes in fair value of cash flow hedges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4"/>
                <w:szCs w:val="14"/>
                <w:color w:val="auto"/>
              </w:rPr>
              <w:t>(24)</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(24)</w:t>
            </w:r>
          </w:p>
        </w:tc>
      </w:tr>
      <w:tr>
        <w:trPr>
          <w:trHeight w:val="162"/>
        </w:trPr>
        <w:tc>
          <w:tcPr>
            <w:tcW w:w="3640" w:type="dxa"/>
            <w:vAlign w:val="bottom"/>
            <w:shd w:val="clear" w:color="auto" w:fill="CFF0FC"/>
          </w:tcPr>
          <w:p>
            <w:pPr>
              <w:spacing w:after="0"/>
              <w:rPr>
                <w:sz w:val="20"/>
                <w:szCs w:val="20"/>
                <w:color w:val="auto"/>
              </w:rPr>
            </w:pPr>
            <w:r>
              <w:rPr>
                <w:rFonts w:ascii="Arial" w:cs="Arial" w:eastAsia="Arial" w:hAnsi="Arial"/>
                <w:sz w:val="14"/>
                <w:szCs w:val="14"/>
                <w:color w:val="auto"/>
              </w:rPr>
              <w:t>Pension and other postretirement benefit plans</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4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(10)</w:t>
            </w: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(10)</w:t>
            </w:r>
          </w:p>
        </w:tc>
      </w:tr>
      <w:tr>
        <w:trPr>
          <w:trHeight w:val="162"/>
        </w:trPr>
        <w:tc>
          <w:tcPr>
            <w:tcW w:w="3640" w:type="dxa"/>
            <w:vAlign w:val="bottom"/>
          </w:tcPr>
          <w:p>
            <w:pPr>
              <w:spacing w:after="0"/>
              <w:rPr>
                <w:sz w:val="20"/>
                <w:szCs w:val="20"/>
                <w:color w:val="auto"/>
              </w:rPr>
            </w:pPr>
            <w:r>
              <w:rPr>
                <w:rFonts w:ascii="Arial" w:cs="Arial" w:eastAsia="Arial" w:hAnsi="Arial"/>
                <w:sz w:val="14"/>
                <w:szCs w:val="14"/>
                <w:color w:val="auto"/>
              </w:rPr>
              <w:t>Vesting of restricted stock</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4"/>
                <w:szCs w:val="14"/>
                <w:color w:val="auto"/>
              </w:rPr>
              <w:t>(14)</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14</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r>
      <w:tr>
        <w:trPr>
          <w:trHeight w:val="162"/>
        </w:trPr>
        <w:tc>
          <w:tcPr>
            <w:tcW w:w="364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 expense</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105</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w:t>
            </w:r>
          </w:p>
        </w:tc>
        <w:tc>
          <w:tcPr>
            <w:tcW w:w="100" w:type="dxa"/>
            <w:vAlign w:val="bottom"/>
            <w:shd w:val="clear" w:color="auto" w:fill="CFF0FC"/>
          </w:tcPr>
          <w:p>
            <w:pPr>
              <w:spacing w:after="0"/>
              <w:rPr>
                <w:sz w:val="14"/>
                <w:szCs w:val="14"/>
                <w:color w:val="auto"/>
              </w:rPr>
            </w:pPr>
          </w:p>
        </w:tc>
      </w:tr>
      <w:tr>
        <w:trPr>
          <w:trHeight w:val="162"/>
        </w:trPr>
        <w:tc>
          <w:tcPr>
            <w:tcW w:w="3640" w:type="dxa"/>
            <w:vAlign w:val="bottom"/>
          </w:tcPr>
          <w:p>
            <w:pPr>
              <w:spacing w:after="0"/>
              <w:rPr>
                <w:sz w:val="20"/>
                <w:szCs w:val="20"/>
                <w:color w:val="auto"/>
              </w:rPr>
            </w:pPr>
            <w:r>
              <w:rPr>
                <w:rFonts w:ascii="Arial" w:cs="Arial" w:eastAsia="Arial" w:hAnsi="Arial"/>
                <w:sz w:val="14"/>
                <w:szCs w:val="14"/>
                <w:color w:val="auto"/>
              </w:rPr>
              <w:t>Dividends declared ($0.125 per share)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4"/>
                <w:szCs w:val="14"/>
                <w:color w:val="auto"/>
              </w:rPr>
              <w:t>(174)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(174)</w:t>
            </w:r>
          </w:p>
        </w:tc>
      </w:tr>
      <w:tr>
        <w:trPr>
          <w:trHeight w:val="162"/>
        </w:trPr>
        <w:tc>
          <w:tcPr>
            <w:tcW w:w="3640" w:type="dxa"/>
            <w:vAlign w:val="bottom"/>
            <w:shd w:val="clear" w:color="auto" w:fill="CFF0FC"/>
          </w:tcPr>
          <w:p>
            <w:pPr>
              <w:spacing w:after="0"/>
              <w:rPr>
                <w:sz w:val="20"/>
                <w:szCs w:val="20"/>
                <w:color w:val="auto"/>
              </w:rPr>
            </w:pPr>
            <w:r>
              <w:rPr>
                <w:rFonts w:ascii="Arial" w:cs="Arial" w:eastAsia="Arial" w:hAnsi="Arial"/>
                <w:sz w:val="14"/>
                <w:szCs w:val="14"/>
                <w:color w:val="auto"/>
              </w:rPr>
              <w:t>Other</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gridSpan w:val="3"/>
            <w:shd w:val="clear" w:color="auto" w:fill="CFF0FC"/>
          </w:tcPr>
          <w:p>
            <w:pPr>
              <w:jc w:val="right"/>
              <w:ind w:right="60"/>
              <w:spacing w:after="0"/>
              <w:rPr>
                <w:sz w:val="20"/>
                <w:szCs w:val="20"/>
                <w:color w:val="auto"/>
              </w:rPr>
            </w:pPr>
            <w:r>
              <w:rPr>
                <w:rFonts w:ascii="Arial" w:cs="Arial" w:eastAsia="Arial" w:hAnsi="Arial"/>
                <w:sz w:val="14"/>
                <w:szCs w:val="14"/>
                <w:color w:val="auto"/>
              </w:rPr>
              <w:t>(10)</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5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7</w:t>
            </w: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(13)</w:t>
            </w:r>
          </w:p>
        </w:tc>
        <w:tc>
          <w:tcPr>
            <w:tcW w:w="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(16)</w:t>
            </w:r>
          </w:p>
        </w:tc>
      </w:tr>
      <w:tr>
        <w:trPr>
          <w:trHeight w:val="155"/>
        </w:trPr>
        <w:tc>
          <w:tcPr>
            <w:tcW w:w="3640" w:type="dxa"/>
            <w:vAlign w:val="bottom"/>
          </w:tcPr>
          <w:p>
            <w:pPr>
              <w:spacing w:after="0" w:line="155" w:lineRule="exact"/>
              <w:rPr>
                <w:sz w:val="20"/>
                <w:szCs w:val="20"/>
                <w:color w:val="auto"/>
              </w:rPr>
            </w:pPr>
            <w:r>
              <w:rPr>
                <w:rFonts w:ascii="Arial" w:cs="Arial" w:eastAsia="Arial" w:hAnsi="Arial"/>
                <w:sz w:val="14"/>
                <w:szCs w:val="14"/>
                <w:color w:val="auto"/>
              </w:rPr>
              <w:t>Balance, June 30, 2020</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13,044</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Borders>
              <w:top w:val="single" w:sz="8" w:color="auto"/>
              <w:bottom w:val="single" w:sz="8" w:color="auto"/>
            </w:tcBorders>
          </w:tcPr>
          <w:p>
            <w:pPr>
              <w:jc w:val="right"/>
              <w:ind w:right="308"/>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(3,339)</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color w:val="auto"/>
              </w:rPr>
              <w:t>7,073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(4,738)</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416</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12,456</w:t>
            </w:r>
          </w:p>
        </w:tc>
        <w:tc>
          <w:tcPr>
            <w:tcW w:w="100" w:type="dxa"/>
            <w:vAlign w:val="bottom"/>
          </w:tcPr>
          <w:p>
            <w:pPr>
              <w:spacing w:after="0"/>
              <w:rPr>
                <w:sz w:val="13"/>
                <w:szCs w:val="13"/>
                <w:color w:val="auto"/>
              </w:rPr>
            </w:pPr>
          </w:p>
        </w:tc>
      </w:tr>
      <w:tr>
        <w:trPr>
          <w:trHeight w:val="20"/>
        </w:trPr>
        <w:tc>
          <w:tcPr>
            <w:tcW w:w="3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1"/>
        </w:trPr>
        <w:tc>
          <w:tcPr>
            <w:tcW w:w="3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80" w:type="dxa"/>
            <w:vAlign w:val="bottom"/>
            <w:gridSpan w:val="12"/>
          </w:tcPr>
          <w:p>
            <w:pPr>
              <w:jc w:val="right"/>
              <w:ind w:right="120"/>
              <w:spacing w:after="0"/>
              <w:rPr>
                <w:sz w:val="20"/>
                <w:szCs w:val="20"/>
                <w:color w:val="auto"/>
              </w:rPr>
            </w:pPr>
            <w:r>
              <w:rPr>
                <w:rFonts w:ascii="Arial" w:cs="Arial" w:eastAsia="Arial" w:hAnsi="Arial"/>
                <w:sz w:val="14"/>
                <w:szCs w:val="14"/>
                <w:i w:val="1"/>
                <w:iCs w:val="1"/>
                <w:color w:val="auto"/>
              </w:rPr>
              <w:t>(Stated in millions, except per share amounts)</w:t>
            </w:r>
          </w:p>
        </w:tc>
      </w:tr>
      <w:tr>
        <w:trPr>
          <w:trHeight w:val="300"/>
        </w:trPr>
        <w:tc>
          <w:tcPr>
            <w:tcW w:w="3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2"/>
        </w:trPr>
        <w:tc>
          <w:tcPr>
            <w:tcW w:w="3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6"/>
              </w:rPr>
              <w:t>Other</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6"/>
          </w:tcPr>
          <w:p>
            <w:pPr>
              <w:jc w:val="right"/>
              <w:ind w:right="128"/>
              <w:spacing w:after="0"/>
              <w:rPr>
                <w:sz w:val="20"/>
                <w:szCs w:val="20"/>
                <w:color w:val="auto"/>
              </w:rPr>
            </w:pPr>
            <w:r>
              <w:rPr>
                <w:rFonts w:ascii="Arial" w:cs="Arial" w:eastAsia="Arial" w:hAnsi="Arial"/>
                <w:sz w:val="14"/>
                <w:szCs w:val="14"/>
                <w:b w:val="1"/>
                <w:bCs w:val="1"/>
                <w:color w:val="auto"/>
              </w:rPr>
              <w:t>Common Stock</w:t>
            </w: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8"/>
              </w:rPr>
              <w:t>Retained</w:t>
            </w:r>
          </w:p>
        </w:tc>
        <w:tc>
          <w:tcPr>
            <w:tcW w:w="80" w:type="dxa"/>
            <w:vAlign w:val="bottom"/>
          </w:tcPr>
          <w:p>
            <w:pPr>
              <w:spacing w:after="0"/>
              <w:rPr>
                <w:sz w:val="14"/>
                <w:szCs w:val="14"/>
                <w:color w:val="auto"/>
              </w:rPr>
            </w:pPr>
          </w:p>
        </w:tc>
        <w:tc>
          <w:tcPr>
            <w:tcW w:w="12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1"/>
              </w:rPr>
              <w:t>Comprehensive</w:t>
            </w:r>
          </w:p>
        </w:tc>
        <w:tc>
          <w:tcPr>
            <w:tcW w:w="4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Noncontrolling</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3640" w:type="dxa"/>
            <w:vAlign w:val="bottom"/>
          </w:tcPr>
          <w:p>
            <w:pPr>
              <w:spacing w:after="0" w:line="155" w:lineRule="exact"/>
              <w:rPr>
                <w:sz w:val="20"/>
                <w:szCs w:val="20"/>
                <w:color w:val="auto"/>
              </w:rPr>
            </w:pPr>
            <w:r>
              <w:rPr>
                <w:rFonts w:ascii="Arial" w:cs="Arial" w:eastAsia="Arial" w:hAnsi="Arial"/>
                <w:sz w:val="14"/>
                <w:szCs w:val="14"/>
                <w:b w:val="1"/>
                <w:bCs w:val="1"/>
                <w:color w:val="auto"/>
              </w:rPr>
              <w:t>April 1, 2019 – June 30, 2019</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3"/>
          </w:tcPr>
          <w:p>
            <w:pPr>
              <w:jc w:val="right"/>
              <w:ind w:right="520"/>
              <w:spacing w:after="0" w:line="155" w:lineRule="exact"/>
              <w:rPr>
                <w:sz w:val="20"/>
                <w:szCs w:val="20"/>
                <w:color w:val="auto"/>
              </w:rPr>
            </w:pPr>
            <w:r>
              <w:rPr>
                <w:rFonts w:ascii="Arial" w:cs="Arial" w:eastAsia="Arial" w:hAnsi="Arial"/>
                <w:sz w:val="14"/>
                <w:szCs w:val="14"/>
                <w:b w:val="1"/>
                <w:bCs w:val="1"/>
                <w:color w:val="auto"/>
                <w:w w:val="99"/>
              </w:rPr>
              <w:t>Issued</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68"/>
              <w:spacing w:after="0" w:line="155" w:lineRule="exact"/>
              <w:rPr>
                <w:sz w:val="20"/>
                <w:szCs w:val="20"/>
                <w:color w:val="auto"/>
              </w:rPr>
            </w:pPr>
            <w:r>
              <w:rPr>
                <w:rFonts w:ascii="Arial" w:cs="Arial" w:eastAsia="Arial" w:hAnsi="Arial"/>
                <w:sz w:val="14"/>
                <w:szCs w:val="14"/>
                <w:b w:val="1"/>
                <w:bCs w:val="1"/>
                <w:color w:val="auto"/>
              </w:rPr>
              <w:t>In Treasury</w:t>
            </w:r>
          </w:p>
        </w:tc>
        <w:tc>
          <w:tcPr>
            <w:tcW w:w="26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3"/>
          </w:tcPr>
          <w:p>
            <w:pPr>
              <w:jc w:val="right"/>
              <w:ind w:right="400"/>
              <w:spacing w:after="0" w:line="155" w:lineRule="exact"/>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3"/>
          </w:tcPr>
          <w:p>
            <w:pPr>
              <w:jc w:val="center"/>
              <w:ind w:right="380"/>
              <w:spacing w:after="0" w:line="155" w:lineRule="exact"/>
              <w:rPr>
                <w:sz w:val="20"/>
                <w:szCs w:val="20"/>
                <w:color w:val="auto"/>
              </w:rPr>
            </w:pPr>
            <w:r>
              <w:rPr>
                <w:rFonts w:ascii="Arial" w:cs="Arial" w:eastAsia="Arial" w:hAnsi="Arial"/>
                <w:sz w:val="14"/>
                <w:szCs w:val="14"/>
                <w:b w:val="1"/>
                <w:bCs w:val="1"/>
                <w:color w:val="auto"/>
                <w:w w:val="85"/>
              </w:rPr>
              <w:t>Loss</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520"/>
              <w:spacing w:after="0" w:line="155" w:lineRule="exact"/>
              <w:rPr>
                <w:sz w:val="20"/>
                <w:szCs w:val="20"/>
                <w:color w:val="auto"/>
              </w:rPr>
            </w:pPr>
            <w:r>
              <w:rPr>
                <w:rFonts w:ascii="Arial" w:cs="Arial" w:eastAsia="Arial" w:hAnsi="Arial"/>
                <w:sz w:val="14"/>
                <w:szCs w:val="14"/>
                <w:b w:val="1"/>
                <w:bCs w:val="1"/>
                <w:color w:val="auto"/>
                <w:w w:val="99"/>
              </w:rPr>
              <w:t>Interests</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rPr>
              <w:t>Total</w:t>
            </w:r>
          </w:p>
        </w:tc>
      </w:tr>
      <w:tr>
        <w:trPr>
          <w:trHeight w:val="155"/>
        </w:trPr>
        <w:tc>
          <w:tcPr>
            <w:tcW w:w="364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April 1, 2019</w:t>
            </w:r>
          </w:p>
        </w:tc>
        <w:tc>
          <w:tcPr>
            <w:tcW w:w="140" w:type="dxa"/>
            <w:vAlign w:val="bottom"/>
            <w:tcBorders>
              <w:top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13,000</w:t>
            </w: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tcBorders>
            <w:shd w:val="clear" w:color="auto" w:fill="CFF0FC"/>
          </w:tcPr>
          <w:p>
            <w:pPr>
              <w:spacing w:after="0"/>
              <w:rPr>
                <w:sz w:val="13"/>
                <w:szCs w:val="13"/>
                <w:color w:val="auto"/>
              </w:rPr>
            </w:pPr>
          </w:p>
        </w:tc>
        <w:tc>
          <w:tcPr>
            <w:tcW w:w="4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(3,756)</w:t>
            </w:r>
          </w:p>
        </w:tc>
        <w:tc>
          <w:tcPr>
            <w:tcW w:w="6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gridSpan w:val="2"/>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31,386</w:t>
            </w:r>
          </w:p>
        </w:tc>
        <w:tc>
          <w:tcPr>
            <w:tcW w:w="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(4,527)</w:t>
            </w:r>
          </w:p>
        </w:tc>
        <w:tc>
          <w:tcPr>
            <w:tcW w:w="240" w:type="dxa"/>
            <w:vAlign w:val="bottom"/>
            <w:tcBorders>
              <w:top w:val="single" w:sz="8" w:color="CFF0FC"/>
            </w:tcBorders>
            <w:gridSpan w:val="2"/>
            <w:shd w:val="clear" w:color="auto" w:fill="CFF0FC"/>
          </w:tcPr>
          <w:p>
            <w:pPr>
              <w:spacing w:after="0"/>
              <w:rPr>
                <w:sz w:val="13"/>
                <w:szCs w:val="13"/>
                <w:color w:val="auto"/>
              </w:rPr>
            </w:pPr>
          </w:p>
        </w:tc>
        <w:tc>
          <w:tcPr>
            <w:tcW w:w="180" w:type="dxa"/>
            <w:vAlign w:val="bottom"/>
            <w:tcBorders>
              <w:top w:val="single" w:sz="8" w:color="auto"/>
            </w:tcBorders>
            <w:gridSpan w:val="2"/>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421</w:t>
            </w:r>
          </w:p>
        </w:tc>
        <w:tc>
          <w:tcPr>
            <w:tcW w:w="26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gridSpan w:val="2"/>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36,524</w:t>
            </w: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3640" w:type="dxa"/>
            <w:vAlign w:val="bottom"/>
          </w:tcPr>
          <w:p>
            <w:pPr>
              <w:spacing w:after="0"/>
              <w:rPr>
                <w:sz w:val="20"/>
                <w:szCs w:val="20"/>
                <w:color w:val="auto"/>
              </w:rPr>
            </w:pPr>
            <w:r>
              <w:rPr>
                <w:rFonts w:ascii="Arial" w:cs="Arial" w:eastAsia="Arial" w:hAnsi="Arial"/>
                <w:sz w:val="14"/>
                <w:szCs w:val="14"/>
                <w:color w:val="auto"/>
              </w:rPr>
              <w:t>Net income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492</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494</w:t>
            </w:r>
          </w:p>
        </w:tc>
        <w:tc>
          <w:tcPr>
            <w:tcW w:w="100" w:type="dxa"/>
            <w:vAlign w:val="bottom"/>
          </w:tcPr>
          <w:p>
            <w:pPr>
              <w:spacing w:after="0"/>
              <w:rPr>
                <w:sz w:val="14"/>
                <w:szCs w:val="14"/>
                <w:color w:val="auto"/>
              </w:rPr>
            </w:pPr>
          </w:p>
        </w:tc>
      </w:tr>
      <w:tr>
        <w:trPr>
          <w:trHeight w:val="162"/>
        </w:trPr>
        <w:tc>
          <w:tcPr>
            <w:tcW w:w="3640" w:type="dxa"/>
            <w:vAlign w:val="bottom"/>
            <w:shd w:val="clear" w:color="auto" w:fill="CFF0FC"/>
          </w:tcPr>
          <w:p>
            <w:pPr>
              <w:spacing w:after="0"/>
              <w:rPr>
                <w:sz w:val="20"/>
                <w:szCs w:val="20"/>
                <w:color w:val="auto"/>
              </w:rPr>
            </w:pPr>
            <w:r>
              <w:rPr>
                <w:rFonts w:ascii="Arial" w:cs="Arial" w:eastAsia="Arial" w:hAnsi="Arial"/>
                <w:sz w:val="14"/>
                <w:szCs w:val="14"/>
                <w:color w:val="auto"/>
              </w:rPr>
              <w:t>Currency translation adjustments</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40" w:type="dxa"/>
            <w:vAlign w:val="bottom"/>
            <w:gridSpan w:val="3"/>
            <w:shd w:val="clear" w:color="auto" w:fill="CFF0FC"/>
          </w:tcPr>
          <w:p>
            <w:pPr>
              <w:jc w:val="right"/>
              <w:ind w:right="200"/>
              <w:spacing w:after="0"/>
              <w:rPr>
                <w:sz w:val="20"/>
                <w:szCs w:val="20"/>
                <w:color w:val="auto"/>
              </w:rPr>
            </w:pPr>
            <w:r>
              <w:rPr>
                <w:rFonts w:ascii="Arial" w:cs="Arial" w:eastAsia="Arial" w:hAnsi="Arial"/>
                <w:sz w:val="14"/>
                <w:szCs w:val="14"/>
                <w:color w:val="auto"/>
              </w:rPr>
              <w:t>(37)</w:t>
            </w: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(37)</w:t>
            </w:r>
          </w:p>
        </w:tc>
      </w:tr>
      <w:tr>
        <w:trPr>
          <w:trHeight w:val="162"/>
        </w:trPr>
        <w:tc>
          <w:tcPr>
            <w:tcW w:w="3640" w:type="dxa"/>
            <w:vAlign w:val="bottom"/>
          </w:tcPr>
          <w:p>
            <w:pPr>
              <w:spacing w:after="0"/>
              <w:rPr>
                <w:sz w:val="20"/>
                <w:szCs w:val="20"/>
                <w:color w:val="auto"/>
              </w:rPr>
            </w:pPr>
            <w:r>
              <w:rPr>
                <w:rFonts w:ascii="Arial" w:cs="Arial" w:eastAsia="Arial" w:hAnsi="Arial"/>
                <w:sz w:val="14"/>
                <w:szCs w:val="14"/>
                <w:color w:val="auto"/>
              </w:rPr>
              <w:t>Changes in fair value of cash flow hedges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4"/>
                <w:szCs w:val="14"/>
                <w:color w:val="auto"/>
              </w:rPr>
            </w:pPr>
          </w:p>
        </w:tc>
      </w:tr>
      <w:tr>
        <w:trPr>
          <w:trHeight w:val="162"/>
        </w:trPr>
        <w:tc>
          <w:tcPr>
            <w:tcW w:w="3640" w:type="dxa"/>
            <w:vAlign w:val="bottom"/>
            <w:shd w:val="clear" w:color="auto" w:fill="CFF0FC"/>
          </w:tcPr>
          <w:p>
            <w:pPr>
              <w:spacing w:after="0"/>
              <w:rPr>
                <w:sz w:val="20"/>
                <w:szCs w:val="20"/>
                <w:color w:val="auto"/>
              </w:rPr>
            </w:pPr>
            <w:r>
              <w:rPr>
                <w:rFonts w:ascii="Arial" w:cs="Arial" w:eastAsia="Arial" w:hAnsi="Arial"/>
                <w:sz w:val="14"/>
                <w:szCs w:val="14"/>
                <w:color w:val="auto"/>
              </w:rPr>
              <w:t>Pension and other postretirement benefit plans</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w:t>
            </w:r>
          </w:p>
        </w:tc>
        <w:tc>
          <w:tcPr>
            <w:tcW w:w="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FF0FC"/>
          </w:tcPr>
          <w:p>
            <w:pPr>
              <w:spacing w:after="0"/>
              <w:rPr>
                <w:sz w:val="14"/>
                <w:szCs w:val="14"/>
                <w:color w:val="auto"/>
              </w:rPr>
            </w:pPr>
          </w:p>
        </w:tc>
      </w:tr>
      <w:tr>
        <w:trPr>
          <w:trHeight w:val="162"/>
        </w:trPr>
        <w:tc>
          <w:tcPr>
            <w:tcW w:w="3640" w:type="dxa"/>
            <w:vAlign w:val="bottom"/>
          </w:tcPr>
          <w:p>
            <w:pPr>
              <w:spacing w:after="0"/>
              <w:rPr>
                <w:sz w:val="20"/>
                <w:szCs w:val="20"/>
                <w:color w:val="auto"/>
              </w:rPr>
            </w:pPr>
            <w:r>
              <w:rPr>
                <w:rFonts w:ascii="Arial" w:cs="Arial" w:eastAsia="Arial" w:hAnsi="Arial"/>
                <w:sz w:val="14"/>
                <w:szCs w:val="14"/>
                <w:color w:val="auto"/>
              </w:rPr>
              <w:t>Shares sold to optionees, less shares exchanged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r>
      <w:tr>
        <w:trPr>
          <w:trHeight w:val="162"/>
        </w:trPr>
        <w:tc>
          <w:tcPr>
            <w:tcW w:w="3640" w:type="dxa"/>
            <w:vAlign w:val="bottom"/>
            <w:shd w:val="clear" w:color="auto" w:fill="CFF0FC"/>
          </w:tcPr>
          <w:p>
            <w:pPr>
              <w:spacing w:after="0"/>
              <w:rPr>
                <w:sz w:val="20"/>
                <w:szCs w:val="20"/>
                <w:color w:val="auto"/>
              </w:rPr>
            </w:pPr>
            <w:r>
              <w:rPr>
                <w:rFonts w:ascii="Arial" w:cs="Arial" w:eastAsia="Arial" w:hAnsi="Arial"/>
                <w:sz w:val="14"/>
                <w:szCs w:val="14"/>
                <w:color w:val="auto"/>
              </w:rPr>
              <w:t>Vesting of restricted stock</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w:t>
            </w: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r>
      <w:tr>
        <w:trPr>
          <w:trHeight w:val="162"/>
        </w:trPr>
        <w:tc>
          <w:tcPr>
            <w:tcW w:w="3640" w:type="dxa"/>
            <w:vAlign w:val="bottom"/>
          </w:tcPr>
          <w:p>
            <w:pPr>
              <w:spacing w:after="0"/>
              <w:rPr>
                <w:sz w:val="20"/>
                <w:szCs w:val="20"/>
                <w:color w:val="auto"/>
              </w:rPr>
            </w:pPr>
            <w:r>
              <w:rPr>
                <w:rFonts w:ascii="Arial" w:cs="Arial" w:eastAsia="Arial" w:hAnsi="Arial"/>
                <w:sz w:val="14"/>
                <w:szCs w:val="14"/>
                <w:color w:val="auto"/>
              </w:rPr>
              <w:t>Stock repurchase program</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(101)</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(101)</w:t>
            </w:r>
          </w:p>
        </w:tc>
      </w:tr>
      <w:tr>
        <w:trPr>
          <w:trHeight w:val="162"/>
        </w:trPr>
        <w:tc>
          <w:tcPr>
            <w:tcW w:w="364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 expense</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w:t>
            </w:r>
          </w:p>
        </w:tc>
        <w:tc>
          <w:tcPr>
            <w:tcW w:w="100" w:type="dxa"/>
            <w:vAlign w:val="bottom"/>
            <w:shd w:val="clear" w:color="auto" w:fill="CFF0FC"/>
          </w:tcPr>
          <w:p>
            <w:pPr>
              <w:spacing w:after="0"/>
              <w:rPr>
                <w:sz w:val="14"/>
                <w:szCs w:val="14"/>
                <w:color w:val="auto"/>
              </w:rPr>
            </w:pPr>
          </w:p>
        </w:tc>
      </w:tr>
      <w:tr>
        <w:trPr>
          <w:trHeight w:val="162"/>
        </w:trPr>
        <w:tc>
          <w:tcPr>
            <w:tcW w:w="3640" w:type="dxa"/>
            <w:vAlign w:val="bottom"/>
          </w:tcPr>
          <w:p>
            <w:pPr>
              <w:spacing w:after="0"/>
              <w:rPr>
                <w:sz w:val="20"/>
                <w:szCs w:val="20"/>
                <w:color w:val="auto"/>
              </w:rPr>
            </w:pPr>
            <w:r>
              <w:rPr>
                <w:rFonts w:ascii="Arial" w:cs="Arial" w:eastAsia="Arial" w:hAnsi="Arial"/>
                <w:sz w:val="14"/>
                <w:szCs w:val="14"/>
                <w:color w:val="auto"/>
              </w:rPr>
              <w:t>Dividends declared ($0.50 per share)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4"/>
                <w:szCs w:val="14"/>
                <w:color w:val="auto"/>
              </w:rPr>
              <w:t>(692)</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(692)</w:t>
            </w:r>
          </w:p>
        </w:tc>
      </w:tr>
      <w:tr>
        <w:trPr>
          <w:trHeight w:val="162"/>
        </w:trPr>
        <w:tc>
          <w:tcPr>
            <w:tcW w:w="3640" w:type="dxa"/>
            <w:vAlign w:val="bottom"/>
            <w:shd w:val="clear" w:color="auto" w:fill="CFF0FC"/>
          </w:tcPr>
          <w:p>
            <w:pPr>
              <w:spacing w:after="0"/>
              <w:rPr>
                <w:sz w:val="20"/>
                <w:szCs w:val="20"/>
                <w:color w:val="auto"/>
              </w:rPr>
            </w:pPr>
            <w:r>
              <w:rPr>
                <w:rFonts w:ascii="Arial" w:cs="Arial" w:eastAsia="Arial" w:hAnsi="Arial"/>
                <w:sz w:val="14"/>
                <w:szCs w:val="14"/>
                <w:color w:val="auto"/>
              </w:rPr>
              <w:t>Other</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(2)</w:t>
            </w:r>
          </w:p>
        </w:tc>
        <w:tc>
          <w:tcPr>
            <w:tcW w:w="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(21)</w:t>
            </w:r>
          </w:p>
        </w:tc>
      </w:tr>
      <w:tr>
        <w:trPr>
          <w:trHeight w:val="156"/>
        </w:trPr>
        <w:tc>
          <w:tcPr>
            <w:tcW w:w="3640" w:type="dxa"/>
            <w:vAlign w:val="bottom"/>
          </w:tcPr>
          <w:p>
            <w:pPr>
              <w:spacing w:after="0" w:line="155" w:lineRule="exact"/>
              <w:rPr>
                <w:sz w:val="20"/>
                <w:szCs w:val="20"/>
                <w:color w:val="auto"/>
              </w:rPr>
            </w:pPr>
            <w:r>
              <w:rPr>
                <w:rFonts w:ascii="Arial" w:cs="Arial" w:eastAsia="Arial" w:hAnsi="Arial"/>
                <w:sz w:val="14"/>
                <w:szCs w:val="14"/>
                <w:color w:val="auto"/>
              </w:rPr>
              <w:t>Balance, June 30, 2019</w:t>
            </w: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4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13,037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(3,827)</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Borders>
              <w:top w:val="single" w:sz="8" w:color="auto"/>
              <w:bottom w:val="single" w:sz="8" w:color="auto"/>
            </w:tcBorders>
            <w:gridSpan w:val="2"/>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31,186</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(4,544)</w:t>
            </w:r>
          </w:p>
        </w:tc>
        <w:tc>
          <w:tcPr>
            <w:tcW w:w="240" w:type="dxa"/>
            <w:vAlign w:val="bottom"/>
            <w:gridSpan w:val="2"/>
          </w:tcPr>
          <w:p>
            <w:pPr>
              <w:spacing w:after="0"/>
              <w:rPr>
                <w:sz w:val="13"/>
                <w:szCs w:val="13"/>
                <w:color w:val="auto"/>
              </w:rPr>
            </w:pPr>
          </w:p>
        </w:tc>
        <w:tc>
          <w:tcPr>
            <w:tcW w:w="180" w:type="dxa"/>
            <w:vAlign w:val="bottom"/>
            <w:tcBorders>
              <w:top w:val="single" w:sz="8" w:color="auto"/>
              <w:bottom w:val="single" w:sz="8" w:color="auto"/>
            </w:tcBorders>
            <w:gridSpan w:val="2"/>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421</w:t>
            </w:r>
          </w:p>
        </w:tc>
        <w:tc>
          <w:tcPr>
            <w:tcW w:w="2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36,273</w:t>
            </w:r>
          </w:p>
        </w:tc>
        <w:tc>
          <w:tcPr>
            <w:tcW w:w="100" w:type="dxa"/>
            <w:vAlign w:val="bottom"/>
          </w:tcPr>
          <w:p>
            <w:pPr>
              <w:spacing w:after="0"/>
              <w:rPr>
                <w:sz w:val="13"/>
                <w:szCs w:val="13"/>
                <w:color w:val="auto"/>
              </w:rPr>
            </w:pPr>
          </w:p>
        </w:tc>
      </w:tr>
      <w:tr>
        <w:trPr>
          <w:trHeight w:val="20"/>
        </w:trPr>
        <w:tc>
          <w:tcPr>
            <w:tcW w:w="3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SHARES OF COMMON STOCK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372"/>
        </w:trPr>
        <w:tc>
          <w:tcPr>
            <w:tcW w:w="6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Shares</w:t>
            </w:r>
          </w:p>
        </w:tc>
      </w:tr>
      <w:tr>
        <w:trPr>
          <w:trHeight w:val="234"/>
        </w:trPr>
        <w:tc>
          <w:tcPr>
            <w:tcW w:w="6600" w:type="dxa"/>
            <w:vAlign w:val="bottom"/>
          </w:tcPr>
          <w:p>
            <w:pPr>
              <w:spacing w:after="0"/>
              <w:rPr>
                <w:sz w:val="20"/>
                <w:szCs w:val="20"/>
                <w:color w:val="auto"/>
              </w:rPr>
            </w:pPr>
          </w:p>
        </w:tc>
        <w:tc>
          <w:tcPr>
            <w:tcW w:w="900" w:type="dxa"/>
            <w:vAlign w:val="bottom"/>
          </w:tcPr>
          <w:p>
            <w:pPr>
              <w:ind w:left="420"/>
              <w:spacing w:after="0"/>
              <w:rPr>
                <w:sz w:val="20"/>
                <w:szCs w:val="20"/>
                <w:color w:val="auto"/>
              </w:rPr>
            </w:pPr>
            <w:r>
              <w:rPr>
                <w:rFonts w:ascii="Arial" w:cs="Arial" w:eastAsia="Arial" w:hAnsi="Arial"/>
                <w:sz w:val="18"/>
                <w:szCs w:val="18"/>
                <w:b w:val="1"/>
                <w:bCs w:val="1"/>
                <w:color w:val="auto"/>
                <w:w w:val="80"/>
              </w:rPr>
              <w:t>Issued</w:t>
            </w: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In Treasury</w:t>
            </w:r>
          </w:p>
        </w:tc>
        <w:tc>
          <w:tcPr>
            <w:tcW w:w="14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Outstanding</w:t>
            </w:r>
          </w:p>
        </w:tc>
      </w:tr>
      <w:tr>
        <w:trPr>
          <w:trHeight w:val="223"/>
        </w:trPr>
        <w:tc>
          <w:tcPr>
            <w:tcW w:w="6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2020</w:t>
            </w:r>
          </w:p>
        </w:tc>
        <w:tc>
          <w:tcPr>
            <w:tcW w:w="90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1,434</w:t>
            </w:r>
          </w:p>
        </w:tc>
        <w:tc>
          <w:tcPr>
            <w:tcW w:w="24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6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1,385</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500" w:type="dxa"/>
            <w:vAlign w:val="bottom"/>
            <w:gridSpan w:val="2"/>
          </w:tcPr>
          <w:p>
            <w:pPr>
              <w:spacing w:after="0"/>
              <w:rPr>
                <w:sz w:val="20"/>
                <w:szCs w:val="20"/>
                <w:color w:val="auto"/>
              </w:rPr>
            </w:pPr>
            <w:r>
              <w:rPr>
                <w:rFonts w:ascii="Arial" w:cs="Arial" w:eastAsia="Arial" w:hAnsi="Arial"/>
                <w:sz w:val="18"/>
                <w:szCs w:val="18"/>
                <w:color w:val="auto"/>
              </w:rPr>
              <w:t>Vesting of restricted stock</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r>
      <w:tr>
        <w:trPr>
          <w:trHeight w:val="230"/>
        </w:trPr>
        <w:tc>
          <w:tcPr>
            <w:tcW w:w="7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Shares issued under employee stock purchase plan</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r>
      <w:tr>
        <w:trPr>
          <w:trHeight w:val="230"/>
        </w:trPr>
        <w:tc>
          <w:tcPr>
            <w:tcW w:w="7500" w:type="dxa"/>
            <w:vAlign w:val="bottom"/>
            <w:gridSpan w:val="2"/>
          </w:tcPr>
          <w:p>
            <w:pPr>
              <w:spacing w:after="0"/>
              <w:rPr>
                <w:sz w:val="20"/>
                <w:szCs w:val="20"/>
                <w:color w:val="auto"/>
              </w:rPr>
            </w:pPr>
            <w:r>
              <w:rPr>
                <w:rFonts w:ascii="Arial" w:cs="Arial" w:eastAsia="Arial" w:hAnsi="Arial"/>
                <w:sz w:val="18"/>
                <w:szCs w:val="18"/>
                <w:color w:val="auto"/>
              </w:rPr>
              <w:t>Stock repurchase program</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23"/>
        </w:trPr>
        <w:tc>
          <w:tcPr>
            <w:tcW w:w="66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June 30, 2020</w:t>
            </w:r>
          </w:p>
        </w:tc>
        <w:tc>
          <w:tcPr>
            <w:tcW w:w="900" w:type="dxa"/>
            <w:vAlign w:val="bottom"/>
            <w:tcBorders>
              <w:top w:val="single" w:sz="8" w:color="auto"/>
              <w:bottom w:val="single" w:sz="8" w:color="auto"/>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1,434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8" w:name="page9"/>
    <w:bookmarkEnd w:id="8"/>
    <w:p>
      <w:pPr>
        <w:ind w:left="356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7" w:lineRule="exact"/>
        <w:rPr>
          <w:sz w:val="20"/>
          <w:szCs w:val="20"/>
          <w:color w:val="auto"/>
        </w:rPr>
      </w:pP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Basis of Presentation</w:t>
      </w:r>
    </w:p>
    <w:p>
      <w:pPr>
        <w:spacing w:after="0" w:line="12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The accompanying unaudited consolidated financial statements of Schlumberger Limited and its subsidiaries (“Schlumberger”) have been prepared in accordance with generally accepted accounting principles in the United States of America for interim financial information and with the instructions to Form 10-Q and Article 10 of Regulation S-X. Accordingly, they do not include all of the information and footnotes required by generally accepted accounting principles for complete financial statements. In the opinion of Schlumberger management, all adjustments considered necessary for a fair statement have been included in the accompanying unaudited financial statements. All intercompany transactions and balances have been eliminated in consolidation. Operating results for the six-month period ended June 30, 2020 are not necessarily indicative of the results that may be expected for the full year ending December 31, 2020. The December 31, 2019 balance sheet information has been derived from the Schlumberger 2019 audited financial statements. For further information, refer to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xml:space="preserve"> and notes thereto included in the Schlumberger Annual Report on Form 10-K for the year ended December 31, 2019, filed with the Securities and Exchange Commission on January 22, 2020.</w:t>
      </w:r>
    </w:p>
    <w:p>
      <w:pPr>
        <w:spacing w:after="0" w:line="270" w:lineRule="exact"/>
        <w:rPr>
          <w:sz w:val="20"/>
          <w:szCs w:val="20"/>
          <w:color w:val="auto"/>
        </w:rPr>
      </w:pPr>
    </w:p>
    <w:p>
      <w:pPr>
        <w:ind w:left="280" w:hanging="272"/>
        <w:spacing w:after="0"/>
        <w:tabs>
          <w:tab w:leader="none" w:pos="2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Charges and Credits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Schlumberger recorded the following charges and credits during 2020, all of which are classified in </w:t>
      </w:r>
      <w:r>
        <w:rPr>
          <w:rFonts w:ascii="Arial" w:cs="Arial" w:eastAsia="Arial" w:hAnsi="Arial"/>
          <w:sz w:val="16"/>
          <w:szCs w:val="16"/>
          <w:i w:val="1"/>
          <w:iCs w:val="1"/>
          <w:color w:val="auto"/>
        </w:rPr>
        <w:t>Impairments &amp; other</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(Loss)</w:t>
      </w:r>
      <w:r>
        <w:rPr>
          <w:rFonts w:ascii="Arial" w:cs="Arial" w:eastAsia="Arial" w:hAnsi="Arial"/>
          <w:sz w:val="18"/>
          <w:szCs w:val="18"/>
          <w:color w:val="auto"/>
        </w:rPr>
        <w:t>:</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444"/>
        </w:trPr>
        <w:tc>
          <w:tcPr>
            <w:tcW w:w="6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right"/>
              <w:ind w:right="700"/>
              <w:spacing w:after="0"/>
              <w:rPr>
                <w:sz w:val="20"/>
                <w:szCs w:val="20"/>
                <w:color w:val="auto"/>
              </w:rPr>
            </w:pPr>
            <w:r>
              <w:rPr>
                <w:rFonts w:ascii="Arial" w:cs="Arial" w:eastAsia="Arial" w:hAnsi="Arial"/>
                <w:sz w:val="18"/>
                <w:szCs w:val="18"/>
                <w:color w:val="auto"/>
              </w:rPr>
              <w:t>Pretax</w:t>
            </w:r>
          </w:p>
        </w:tc>
        <w:tc>
          <w:tcPr>
            <w:tcW w:w="320" w:type="dxa"/>
            <w:vAlign w:val="bottom"/>
          </w:tcPr>
          <w:p>
            <w:pPr>
              <w:spacing w:after="0"/>
              <w:rPr>
                <w:sz w:val="24"/>
                <w:szCs w:val="24"/>
                <w:color w:val="auto"/>
              </w:rPr>
            </w:pPr>
          </w:p>
        </w:tc>
        <w:tc>
          <w:tcPr>
            <w:tcW w:w="1280" w:type="dxa"/>
            <w:vAlign w:val="bottom"/>
            <w:gridSpan w:val="2"/>
          </w:tcPr>
          <w:p>
            <w:pPr>
              <w:jc w:val="right"/>
              <w:ind w:right="800"/>
              <w:spacing w:after="0"/>
              <w:rPr>
                <w:sz w:val="20"/>
                <w:szCs w:val="20"/>
                <w:color w:val="auto"/>
              </w:rPr>
            </w:pPr>
            <w:r>
              <w:rPr>
                <w:rFonts w:ascii="Arial" w:cs="Arial" w:eastAsia="Arial" w:hAnsi="Arial"/>
                <w:sz w:val="18"/>
                <w:szCs w:val="18"/>
                <w:color w:val="auto"/>
              </w:rPr>
              <w:t>Tax</w:t>
            </w:r>
          </w:p>
        </w:tc>
        <w:tc>
          <w:tcPr>
            <w:tcW w:w="160" w:type="dxa"/>
            <w:vAlign w:val="bottom"/>
          </w:tcPr>
          <w:p>
            <w:pPr>
              <w:spacing w:after="0"/>
              <w:rPr>
                <w:sz w:val="24"/>
                <w:szCs w:val="24"/>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Net</w:t>
            </w:r>
          </w:p>
        </w:tc>
      </w:tr>
      <w:tr>
        <w:trPr>
          <w:trHeight w:val="223"/>
        </w:trPr>
        <w:tc>
          <w:tcPr>
            <w:tcW w:w="6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First quarter:</w:t>
            </w:r>
          </w:p>
        </w:tc>
        <w:tc>
          <w:tcPr>
            <w:tcW w:w="2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6600" w:type="dxa"/>
            <w:vAlign w:val="bottom"/>
          </w:tcPr>
          <w:p>
            <w:pPr>
              <w:ind w:left="260"/>
              <w:spacing w:after="0"/>
              <w:rPr>
                <w:sz w:val="20"/>
                <w:szCs w:val="20"/>
                <w:color w:val="auto"/>
              </w:rPr>
            </w:pPr>
            <w:r>
              <w:rPr>
                <w:rFonts w:ascii="Arial" w:cs="Arial" w:eastAsia="Arial" w:hAnsi="Arial"/>
                <w:sz w:val="18"/>
                <w:szCs w:val="18"/>
                <w:color w:val="auto"/>
              </w:rPr>
              <w:t>Goodwill</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3,070</w:t>
            </w:r>
          </w:p>
        </w:tc>
        <w:tc>
          <w:tcPr>
            <w:tcW w:w="2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3,070</w:t>
            </w:r>
          </w:p>
        </w:tc>
        <w:tc>
          <w:tcPr>
            <w:tcW w:w="100" w:type="dxa"/>
            <w:vAlign w:val="bottom"/>
          </w:tcPr>
          <w:p>
            <w:pPr>
              <w:spacing w:after="0"/>
              <w:rPr>
                <w:sz w:val="19"/>
                <w:szCs w:val="19"/>
                <w:color w:val="auto"/>
              </w:rPr>
            </w:pPr>
          </w:p>
        </w:tc>
      </w:tr>
      <w:tr>
        <w:trPr>
          <w:trHeight w:val="229"/>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Intangible asset impairments</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3,321</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(815)</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2,506</w:t>
            </w:r>
          </w:p>
        </w:tc>
        <w:tc>
          <w:tcPr>
            <w:tcW w:w="100" w:type="dxa"/>
            <w:vAlign w:val="bottom"/>
            <w:shd w:val="clear" w:color="auto" w:fill="CFF0FC"/>
          </w:tcPr>
          <w:p>
            <w:pPr>
              <w:spacing w:after="0"/>
              <w:rPr>
                <w:sz w:val="19"/>
                <w:szCs w:val="19"/>
                <w:color w:val="auto"/>
              </w:rPr>
            </w:pP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Asset Performance Solutions investments</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1,264</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1,268</w:t>
            </w:r>
          </w:p>
        </w:tc>
        <w:tc>
          <w:tcPr>
            <w:tcW w:w="100" w:type="dxa"/>
            <w:vAlign w:val="bottom"/>
          </w:tcPr>
          <w:p>
            <w:pPr>
              <w:spacing w:after="0"/>
              <w:rPr>
                <w:sz w:val="19"/>
                <w:szCs w:val="19"/>
                <w:color w:val="auto"/>
              </w:rPr>
            </w:pPr>
          </w:p>
        </w:tc>
      </w:tr>
      <w:tr>
        <w:trPr>
          <w:trHeight w:val="229"/>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North America pressure pumping impairment</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(133)</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w:t>
            </w:r>
          </w:p>
        </w:tc>
        <w:tc>
          <w:tcPr>
            <w:tcW w:w="100" w:type="dxa"/>
            <w:vAlign w:val="bottom"/>
            <w:shd w:val="clear" w:color="auto" w:fill="CFF0FC"/>
          </w:tcPr>
          <w:p>
            <w:pPr>
              <w:spacing w:after="0"/>
              <w:rPr>
                <w:sz w:val="19"/>
                <w:szCs w:val="19"/>
                <w:color w:val="auto"/>
              </w:rPr>
            </w:pP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Workforce reductions</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FF0FC"/>
          </w:tcPr>
          <w:p>
            <w:pPr>
              <w:spacing w:after="0"/>
              <w:rPr>
                <w:sz w:val="19"/>
                <w:szCs w:val="19"/>
                <w:color w:val="auto"/>
              </w:rPr>
            </w:pP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Valuation allowance</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164</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r>
      <w:tr>
        <w:trPr>
          <w:trHeight w:val="229"/>
        </w:trPr>
        <w:tc>
          <w:tcPr>
            <w:tcW w:w="660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Second quarter:</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Workforce reductions</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19"/>
                <w:szCs w:val="19"/>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Asset Performance Solutions investments</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730</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w:t>
            </w:r>
          </w:p>
        </w:tc>
        <w:tc>
          <w:tcPr>
            <w:tcW w:w="100" w:type="dxa"/>
            <w:vAlign w:val="bottom"/>
            <w:shd w:val="clear" w:color="auto" w:fill="CFF0FC"/>
          </w:tcPr>
          <w:p>
            <w:pPr>
              <w:spacing w:after="0"/>
              <w:rPr>
                <w:sz w:val="19"/>
                <w:szCs w:val="19"/>
                <w:color w:val="auto"/>
              </w:rPr>
            </w:pP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Fixed asset impairments</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19"/>
                <w:szCs w:val="19"/>
                <w:color w:val="auto"/>
              </w:rPr>
            </w:pPr>
          </w:p>
        </w:tc>
      </w:tr>
      <w:tr>
        <w:trPr>
          <w:trHeight w:val="229"/>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Inventory write-downs</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w:t>
            </w:r>
          </w:p>
        </w:tc>
        <w:tc>
          <w:tcPr>
            <w:tcW w:w="100" w:type="dxa"/>
            <w:vAlign w:val="bottom"/>
            <w:shd w:val="clear" w:color="auto" w:fill="CFF0FC"/>
          </w:tcPr>
          <w:p>
            <w:pPr>
              <w:spacing w:after="0"/>
              <w:rPr>
                <w:sz w:val="19"/>
                <w:szCs w:val="19"/>
                <w:color w:val="auto"/>
              </w:rPr>
            </w:pP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Right-of-use asset impairments</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(67)</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9"/>
                <w:szCs w:val="19"/>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Costs associated with exiting certain activities</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FF0FC"/>
          </w:tcPr>
          <w:p>
            <w:pPr>
              <w:spacing w:after="0"/>
              <w:rPr>
                <w:sz w:val="19"/>
                <w:szCs w:val="19"/>
                <w:color w:val="auto"/>
              </w:rPr>
            </w:pP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Multiclient seismic data impairment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r>
      <w:tr>
        <w:trPr>
          <w:trHeight w:val="229"/>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Repurchase of bonds</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FF0FC"/>
          </w:tcPr>
          <w:p>
            <w:pPr>
              <w:spacing w:after="0"/>
              <w:rPr>
                <w:sz w:val="19"/>
                <w:szCs w:val="19"/>
                <w:color w:val="auto"/>
              </w:rPr>
            </w:pP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Postretirement benefits curtailment gain</w:t>
            </w:r>
          </w:p>
        </w:tc>
        <w:tc>
          <w:tcPr>
            <w:tcW w:w="2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(69)</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FF0FC"/>
          </w:tcPr>
          <w:p>
            <w:pPr>
              <w:spacing w:after="0"/>
              <w:rPr>
                <w:sz w:val="19"/>
                <w:szCs w:val="19"/>
                <w:color w:val="auto"/>
              </w:rPr>
            </w:pPr>
          </w:p>
        </w:tc>
      </w:tr>
      <w:tr>
        <w:trPr>
          <w:trHeight w:val="223"/>
        </w:trPr>
        <w:tc>
          <w:tcPr>
            <w:tcW w:w="66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12,247</w:t>
            </w:r>
          </w:p>
        </w:tc>
        <w:tc>
          <w:tcPr>
            <w:tcW w:w="2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(1,017)</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11,230</w:t>
            </w:r>
          </w:p>
        </w:tc>
        <w:tc>
          <w:tcPr>
            <w:tcW w:w="10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quarter 2020:</w:t>
      </w:r>
    </w:p>
    <w:p>
      <w:pPr>
        <w:spacing w:after="0" w:line="225" w:lineRule="exact"/>
        <w:rPr>
          <w:sz w:val="20"/>
          <w:szCs w:val="20"/>
          <w:color w:val="auto"/>
        </w:rPr>
      </w:pPr>
    </w:p>
    <w:p>
      <w:pPr>
        <w:jc w:val="both"/>
        <w:ind w:left="740" w:hanging="368"/>
        <w:spacing w:after="0" w:line="293" w:lineRule="auto"/>
        <w:tabs>
          <w:tab w:leader="none" w:pos="740" w:val="left"/>
        </w:tabs>
        <w:numPr>
          <w:ilvl w:val="0"/>
          <w:numId w:val="4"/>
        </w:numPr>
        <w:rPr>
          <w:rFonts w:ascii="Arial" w:cs="Arial" w:eastAsia="Arial" w:hAnsi="Arial"/>
          <w:sz w:val="16"/>
          <w:szCs w:val="16"/>
          <w:color w:val="auto"/>
        </w:rPr>
      </w:pPr>
      <w:r>
        <w:rPr>
          <w:rFonts w:ascii="Arial" w:cs="Arial" w:eastAsia="Arial" w:hAnsi="Arial"/>
          <w:sz w:val="16"/>
          <w:szCs w:val="16"/>
          <w:color w:val="auto"/>
        </w:rPr>
        <w:t>Geopolitical events that increased the supply of low-priced oil to the global market occurred at the same time that demand weakened due to the worldwide effects of the COVID-19 pandemic, leading to a collapse in oil prices during March 2020. As a result, Schlumberger’s market capitalization deteriorated significantly compared to the end of 2019. Schlumberger’s stock price reached a low during the first quarter of 2020 not seen since 1995. Additionally, the Philadelphia Oil Services Sector index, which is comprised of companies involved in the oil services sector, reached an all-time low. As a result of these facts, Schlumberger determined that it was more likely than not that the fair value of certain of its reporting units were less than their carrying value. Therefore, Schlumberger performed an interim goodwill impairment test.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both"/>
        <w:ind w:left="760"/>
        <w:spacing w:after="0" w:line="275" w:lineRule="auto"/>
        <w:rPr>
          <w:sz w:val="20"/>
          <w:szCs w:val="20"/>
          <w:color w:val="auto"/>
        </w:rPr>
      </w:pPr>
      <w:r>
        <w:rPr>
          <w:rFonts w:ascii="Arial" w:cs="Arial" w:eastAsia="Arial" w:hAnsi="Arial"/>
          <w:sz w:val="17"/>
          <w:szCs w:val="17"/>
          <w:color w:val="auto"/>
        </w:rPr>
        <w:t>Schlumberger had 11 reporting units with goodwill balances aggregating $16.0 billion. Schlumberger determined that the fair value of four of its reporting units, representing $4.5 billion of the goodwill, was substantially in excess of their carrying value. Schlumberger performed a detailed quantitative impairment assessment of the remaining seven reporting units, which represented $11.5 billion of goodwill. As a result of this assessment, Schlumberger concluded that the goodwill associated with each of these seven reporting units was impaired, resulting in a $3.1 billion goodwill impairment charge. This charge primarily relates to goodwill associated with the Drilling and Production segments.</w:t>
      </w:r>
    </w:p>
    <w:p>
      <w:pPr>
        <w:spacing w:after="0" w:line="176"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Following the $3.1 billion goodwill impairment charge relating to these seven reporting units, six of these reporting units had a remaining goodwill balance. These six reporting units had goodwill balances which ranged between $0.2 billion and $5.0 billion and aggregated to $8.4 billion as of March 31, 2020.</w:t>
      </w:r>
    </w:p>
    <w:p>
      <w:pPr>
        <w:spacing w:after="0" w:line="184" w:lineRule="exact"/>
        <w:rPr>
          <w:sz w:val="20"/>
          <w:szCs w:val="20"/>
          <w:color w:val="auto"/>
        </w:rPr>
      </w:pPr>
    </w:p>
    <w:p>
      <w:pPr>
        <w:jc w:val="both"/>
        <w:ind w:left="760"/>
        <w:spacing w:after="0" w:line="275" w:lineRule="auto"/>
        <w:rPr>
          <w:sz w:val="20"/>
          <w:szCs w:val="20"/>
          <w:color w:val="auto"/>
        </w:rPr>
      </w:pPr>
      <w:r>
        <w:rPr>
          <w:rFonts w:ascii="Arial" w:cs="Arial" w:eastAsia="Arial" w:hAnsi="Arial"/>
          <w:sz w:val="17"/>
          <w:szCs w:val="17"/>
          <w:color w:val="auto"/>
        </w:rPr>
        <w:t>Schlumberger used the income approach to estimate the fair value of its reporting units, but also considered the market approach to validate the results. The income approach estimates the fair value by discounting each reporting unit’s estimated future cash flows using Schlumberger’s estimate of the discount rate, or expected return, that a marketplace participant would have required as of the valuation date. The market approach includes the use of comparative multiples to corroborate the discounted cash flow results. The market approach involves significant judgement involved in the selection of the appropriate peer group companies and valuation multiples.</w:t>
      </w:r>
    </w:p>
    <w:p>
      <w:pPr>
        <w:spacing w:after="0" w:line="176" w:lineRule="exact"/>
        <w:rPr>
          <w:sz w:val="20"/>
          <w:szCs w:val="20"/>
          <w:color w:val="auto"/>
        </w:rPr>
      </w:pPr>
    </w:p>
    <w:p>
      <w:pPr>
        <w:jc w:val="both"/>
        <w:ind w:left="760"/>
        <w:spacing w:after="0" w:line="255" w:lineRule="auto"/>
        <w:rPr>
          <w:sz w:val="20"/>
          <w:szCs w:val="20"/>
          <w:color w:val="auto"/>
        </w:rPr>
      </w:pPr>
      <w:r>
        <w:rPr>
          <w:rFonts w:ascii="Arial" w:cs="Arial" w:eastAsia="Arial" w:hAnsi="Arial"/>
          <w:sz w:val="18"/>
          <w:szCs w:val="18"/>
          <w:color w:val="auto"/>
        </w:rPr>
        <w:t>Some of the more significant assumptions inherent in the income approach include the estimated future net annual cash flows for each reporting unit and the discount rate. Schlumberger selected the assumptions used in the discounted cash flow projections using historical data supplemented by current and anticipated market conditions and estimated growth rates. Schlumberger’s estimates are based upon assumptions believed to be reasonable. However, given the inherent uncertainty in determining the assumptions underlying a discounted cash flow analysis, particularly in the current volatile market, actual results may differ from those used in Schlumberger’s valuations which could result in additional impairment charges in the future.</w:t>
      </w:r>
    </w:p>
    <w:p>
      <w:pPr>
        <w:spacing w:after="0" w:line="192"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The discount rates utilized to value Schlumberger’s reporting units were between 12.0% and 13.5%, depending on the risks and uncertainty inherent in the respective reporting unit as well as the size of the reporting unit. Assuming all other assumptions and inputs used in each of the respective discounted cash flow analysis were held constant, a 50-basis point increase or decrease in the discount rate assumptions would have changed the fair value of the seven reporting units, on average, by less than 5%.</w:t>
      </w:r>
    </w:p>
    <w:p>
      <w:pPr>
        <w:spacing w:after="0" w:line="187" w:lineRule="exact"/>
        <w:rPr>
          <w:sz w:val="20"/>
          <w:szCs w:val="20"/>
          <w:color w:val="auto"/>
        </w:rPr>
      </w:pPr>
    </w:p>
    <w:p>
      <w:pPr>
        <w:jc w:val="both"/>
        <w:ind w:left="740" w:hanging="368"/>
        <w:spacing w:after="0" w:line="271" w:lineRule="auto"/>
        <w:tabs>
          <w:tab w:leader="none" w:pos="7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negative market indicators described above were triggering events that indicated that certain of Schlumberger’s long-lived intangible and tangible assets may be impaired. Recoverability testing indicated that certain long-lived assets were impaired. The estimated fair value of these assets was determined to be below their carrying value. As a result, Schlumberger recorded the following impairment charges:</w:t>
      </w:r>
    </w:p>
    <w:p>
      <w:pPr>
        <w:jc w:val="both"/>
        <w:ind w:left="1120" w:hanging="370"/>
        <w:spacing w:after="0" w:line="250" w:lineRule="auto"/>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$3.3 billion of intangible assets, of which $2.2 billion relates to Schlumberger’s 2016 acquisition of Cameron International Corporation and $1.1 billion relates to Schlumberger’s 2010 acquisition of Smith International, Inc. Following this impairment charge, the carrying value of the impaired intangible assets was approximately $0.9 billion.</w:t>
      </w:r>
    </w:p>
    <w:p>
      <w:pPr>
        <w:spacing w:after="0" w:line="1" w:lineRule="exact"/>
        <w:rPr>
          <w:rFonts w:ascii="Arial" w:cs="Arial" w:eastAsia="Arial" w:hAnsi="Arial"/>
          <w:sz w:val="18"/>
          <w:szCs w:val="18"/>
          <w:color w:val="auto"/>
        </w:rPr>
      </w:pPr>
    </w:p>
    <w:p>
      <w:pPr>
        <w:ind w:left="1120" w:hanging="370"/>
        <w:spacing w:after="0"/>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$1.3 billion relating to the carrying value of certain Asset Performance Solutions (“APS”) projects in North America.</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$0.6 billion of fixed assets associated with the pressure pumping business in North America.</w:t>
      </w:r>
    </w:p>
    <w:p>
      <w:pPr>
        <w:spacing w:after="0" w:line="210" w:lineRule="exact"/>
        <w:rPr>
          <w:rFonts w:ascii="Arial" w:cs="Arial" w:eastAsia="Arial" w:hAnsi="Arial"/>
          <w:sz w:val="18"/>
          <w:szCs w:val="18"/>
          <w:color w:val="auto"/>
        </w:rPr>
      </w:pPr>
    </w:p>
    <w:p>
      <w:pPr>
        <w:ind w:left="740" w:hanging="36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$202 million of severance.</w:t>
      </w:r>
    </w:p>
    <w:p>
      <w:pPr>
        <w:spacing w:after="0" w:line="225" w:lineRule="exact"/>
        <w:rPr>
          <w:rFonts w:ascii="Arial" w:cs="Arial" w:eastAsia="Arial" w:hAnsi="Arial"/>
          <w:sz w:val="18"/>
          <w:szCs w:val="18"/>
          <w:color w:val="auto"/>
        </w:rPr>
      </w:pPr>
    </w:p>
    <w:p>
      <w:pPr>
        <w:ind w:left="740" w:right="20" w:hanging="368"/>
        <w:spacing w:after="0" w:line="277"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$79 million of other restructuring charges, primarily consisting of the impairment of an equity method investment that was determined to be other-than-temporarily impaired.</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$164 million relating to a valuation allowance against certain deferred tax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quarter 2020:</w:t>
      </w:r>
    </w:p>
    <w:p>
      <w:pPr>
        <w:spacing w:after="0" w:line="225" w:lineRule="exact"/>
        <w:rPr>
          <w:sz w:val="20"/>
          <w:szCs w:val="20"/>
          <w:color w:val="auto"/>
        </w:rPr>
      </w:pPr>
    </w:p>
    <w:p>
      <w:pPr>
        <w:jc w:val="both"/>
        <w:ind w:left="740" w:hanging="368"/>
        <w:spacing w:after="0" w:line="254"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previously noted, late in the first quarter of 2020 geopolitical events that increased the supply of low-priced oil to the global market occurred at the same time as demand weakened due to the worldwide effects of the COVID-19 pandemic, which led to a collapse in oil prices. As a result, the second quarter of 2020 was the most challenging quarter in past decades. Schlumberger responded to these market conditions by taking actions to restructure its business and rationalize its asset base during the second quarter of 2020. These actions included reducing headcount, closing facilities and exiting business lines in certain countries. Additionally, due to the resulting activity decline, Schlumberger had assets that will no longer be utilized. As a consequence of these circumstances and decisions, Schlumberger recorded the following restructuring and asset impairment charges: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0" w:name="page11"/>
    <w:bookmarkEnd w:id="10"/>
    <w:p>
      <w:pPr>
        <w:ind w:left="1120" w:hanging="370"/>
        <w:spacing w:after="0" w:line="258" w:lineRule="auto"/>
        <w:tabs>
          <w:tab w:leader="none" w:pos="1120" w:val="left"/>
        </w:tabs>
        <w:numPr>
          <w:ilvl w:val="1"/>
          <w:numId w:val="7"/>
        </w:numPr>
        <w:rPr>
          <w:rFonts w:ascii="Arial" w:cs="Arial" w:eastAsia="Arial" w:hAnsi="Arial"/>
          <w:sz w:val="18"/>
          <w:szCs w:val="18"/>
          <w:color w:val="auto"/>
        </w:rPr>
      </w:pPr>
      <w:r>
        <w:rPr>
          <w:rFonts w:ascii="Arial" w:cs="Arial" w:eastAsia="Arial" w:hAnsi="Arial"/>
          <w:sz w:val="18"/>
          <w:szCs w:val="18"/>
          <w:color w:val="auto"/>
        </w:rPr>
        <w:t>$1.021 billion of severance associated with reducing its workforce by more than 21,000 employees. The vast majority of this charge is expected to be paid during the second half of 2020.</w:t>
      </w:r>
    </w:p>
    <w:p>
      <w:pPr>
        <w:spacing w:after="0" w:line="1" w:lineRule="exact"/>
        <w:rPr>
          <w:rFonts w:ascii="Arial" w:cs="Arial" w:eastAsia="Arial" w:hAnsi="Arial"/>
          <w:sz w:val="18"/>
          <w:szCs w:val="18"/>
          <w:color w:val="auto"/>
        </w:rPr>
      </w:pPr>
    </w:p>
    <w:p>
      <w:pPr>
        <w:ind w:left="1120" w:hanging="370"/>
        <w:spacing w:after="0"/>
        <w:tabs>
          <w:tab w:leader="none" w:pos="1120" w:val="left"/>
        </w:tabs>
        <w:numPr>
          <w:ilvl w:val="1"/>
          <w:numId w:val="7"/>
        </w:numPr>
        <w:rPr>
          <w:rFonts w:ascii="Arial" w:cs="Arial" w:eastAsia="Arial" w:hAnsi="Arial"/>
          <w:sz w:val="18"/>
          <w:szCs w:val="18"/>
          <w:color w:val="auto"/>
        </w:rPr>
      </w:pPr>
      <w:r>
        <w:rPr>
          <w:rFonts w:ascii="Arial" w:cs="Arial" w:eastAsia="Arial" w:hAnsi="Arial"/>
          <w:sz w:val="18"/>
          <w:szCs w:val="18"/>
          <w:color w:val="auto"/>
        </w:rPr>
        <w:t>$730 million relating to the carrying value of certain APS projects in Latin America.</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1"/>
          <w:numId w:val="7"/>
        </w:numPr>
        <w:rPr>
          <w:rFonts w:ascii="Arial" w:cs="Arial" w:eastAsia="Arial" w:hAnsi="Arial"/>
          <w:sz w:val="18"/>
          <w:szCs w:val="18"/>
          <w:color w:val="auto"/>
        </w:rPr>
      </w:pPr>
      <w:r>
        <w:rPr>
          <w:rFonts w:ascii="Arial" w:cs="Arial" w:eastAsia="Arial" w:hAnsi="Arial"/>
          <w:sz w:val="18"/>
          <w:szCs w:val="18"/>
          <w:color w:val="auto"/>
        </w:rPr>
        <w:t>$666 million of fixed asset impairments primarily relating to equipment that will no longer be utilized and facilities it is exiting.</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1"/>
          <w:numId w:val="7"/>
        </w:numPr>
        <w:rPr>
          <w:rFonts w:ascii="Arial" w:cs="Arial" w:eastAsia="Arial" w:hAnsi="Arial"/>
          <w:sz w:val="18"/>
          <w:szCs w:val="18"/>
          <w:color w:val="auto"/>
        </w:rPr>
      </w:pPr>
      <w:r>
        <w:rPr>
          <w:rFonts w:ascii="Arial" w:cs="Arial" w:eastAsia="Arial" w:hAnsi="Arial"/>
          <w:sz w:val="18"/>
          <w:szCs w:val="18"/>
          <w:color w:val="auto"/>
        </w:rPr>
        <w:t>$603 million write-down of the carrying value of inventory to its net realizable value.</w:t>
      </w:r>
    </w:p>
    <w:p>
      <w:pPr>
        <w:spacing w:after="0" w:line="9" w:lineRule="exact"/>
        <w:rPr>
          <w:rFonts w:ascii="Arial" w:cs="Arial" w:eastAsia="Arial" w:hAnsi="Arial"/>
          <w:sz w:val="18"/>
          <w:szCs w:val="18"/>
          <w:color w:val="auto"/>
        </w:rPr>
      </w:pPr>
    </w:p>
    <w:p>
      <w:pPr>
        <w:ind w:left="1120" w:hanging="370"/>
        <w:spacing w:after="0" w:line="250" w:lineRule="auto"/>
        <w:tabs>
          <w:tab w:leader="none" w:pos="1120" w:val="left"/>
        </w:tabs>
        <w:numPr>
          <w:ilvl w:val="1"/>
          <w:numId w:val="7"/>
        </w:numPr>
        <w:rPr>
          <w:rFonts w:ascii="Arial" w:cs="Arial" w:eastAsia="Arial" w:hAnsi="Arial"/>
          <w:sz w:val="18"/>
          <w:szCs w:val="18"/>
          <w:color w:val="auto"/>
        </w:rPr>
      </w:pPr>
      <w:r>
        <w:rPr>
          <w:rFonts w:ascii="Arial" w:cs="Arial" w:eastAsia="Arial" w:hAnsi="Arial"/>
          <w:sz w:val="18"/>
          <w:szCs w:val="18"/>
          <w:color w:val="auto"/>
        </w:rPr>
        <w:t>$311 million write-down of right-of-use assets under operating leases associated with leased facilities Schlumberger is exiting and excess equipment.</w:t>
      </w:r>
    </w:p>
    <w:p>
      <w:pPr>
        <w:ind w:left="1120" w:hanging="370"/>
        <w:spacing w:after="0"/>
        <w:tabs>
          <w:tab w:leader="none" w:pos="1120" w:val="left"/>
        </w:tabs>
        <w:numPr>
          <w:ilvl w:val="1"/>
          <w:numId w:val="7"/>
        </w:numPr>
        <w:rPr>
          <w:rFonts w:ascii="Arial" w:cs="Arial" w:eastAsia="Arial" w:hAnsi="Arial"/>
          <w:sz w:val="18"/>
          <w:szCs w:val="18"/>
          <w:color w:val="auto"/>
        </w:rPr>
      </w:pPr>
      <w:r>
        <w:rPr>
          <w:rFonts w:ascii="Arial" w:cs="Arial" w:eastAsia="Arial" w:hAnsi="Arial"/>
          <w:sz w:val="18"/>
          <w:szCs w:val="18"/>
          <w:color w:val="auto"/>
        </w:rPr>
        <w:t>$205 million of costs associated with exiting certain activities.</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1"/>
          <w:numId w:val="7"/>
        </w:numPr>
        <w:rPr>
          <w:rFonts w:ascii="Arial" w:cs="Arial" w:eastAsia="Arial" w:hAnsi="Arial"/>
          <w:sz w:val="18"/>
          <w:szCs w:val="18"/>
          <w:color w:val="auto"/>
        </w:rPr>
      </w:pPr>
      <w:r>
        <w:rPr>
          <w:rFonts w:ascii="Arial" w:cs="Arial" w:eastAsia="Arial" w:hAnsi="Arial"/>
          <w:sz w:val="18"/>
          <w:szCs w:val="18"/>
          <w:color w:val="auto"/>
        </w:rPr>
        <w:t>$156 million impairment of certain multiclient seismic data.</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1"/>
          <w:numId w:val="7"/>
        </w:numPr>
        <w:rPr>
          <w:rFonts w:ascii="Arial" w:cs="Arial" w:eastAsia="Arial" w:hAnsi="Arial"/>
          <w:sz w:val="18"/>
          <w:szCs w:val="18"/>
          <w:color w:val="auto"/>
        </w:rPr>
      </w:pPr>
      <w:r>
        <w:rPr>
          <w:rFonts w:ascii="Arial" w:cs="Arial" w:eastAsia="Arial" w:hAnsi="Arial"/>
          <w:sz w:val="18"/>
          <w:szCs w:val="18"/>
          <w:color w:val="auto"/>
        </w:rPr>
        <w:t>$61 million of other costs, including a $42 million increase in the allowance for the doubtful accounts.</w:t>
      </w:r>
    </w:p>
    <w:p>
      <w:pPr>
        <w:spacing w:after="0" w:line="210" w:lineRule="exact"/>
        <w:rPr>
          <w:rFonts w:ascii="Arial" w:cs="Arial" w:eastAsia="Arial" w:hAnsi="Arial"/>
          <w:sz w:val="18"/>
          <w:szCs w:val="18"/>
          <w:color w:val="auto"/>
        </w:rPr>
      </w:pPr>
    </w:p>
    <w:p>
      <w:pPr>
        <w:ind w:left="740" w:hanging="368"/>
        <w:spacing w:after="0" w:line="277"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During the second quarter of 2020, Schlumberger repurchased certain Senior Notes (see Note 9 – Long-term debt), which resulted in a $40 million charge.</w:t>
      </w:r>
    </w:p>
    <w:p>
      <w:pPr>
        <w:spacing w:after="0" w:line="170" w:lineRule="exact"/>
        <w:rPr>
          <w:rFonts w:ascii="Arial" w:cs="Arial" w:eastAsia="Arial" w:hAnsi="Arial"/>
          <w:sz w:val="18"/>
          <w:szCs w:val="18"/>
          <w:color w:val="auto"/>
        </w:rPr>
      </w:pPr>
    </w:p>
    <w:p>
      <w:pPr>
        <w:ind w:left="740" w:hanging="368"/>
        <w:spacing w:after="0" w:line="277"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a consequence of the workforce reductions described above, Schlumberger recorded a curtailment gain of $69 million relating to its US postretirement medical plan. See Note 13 – Pension and Other Postretirement Benefit Plans for further details.</w:t>
      </w:r>
    </w:p>
    <w:p>
      <w:pPr>
        <w:spacing w:after="0" w:line="1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fair value of the impaired intangible assets, fixed assets, APS investments, right-of-use assets and multiclient seismic data was estimated based on the present value of projected future cash flows that the underlying assets are expected to generate. Such estimates included unobservable inputs that required significant judgement.</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market conditions evolve and Schlumberger continues to develop its strategy to deal with such conditions, it may result in further restructuring and/or impairment charges in future periods relating to, among other things, fixed assets, facilities, workforce reductions and other assets.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charges or credits recorded during the first six months of 2019.</w:t>
      </w:r>
    </w:p>
    <w:p>
      <w:pPr>
        <w:spacing w:after="0" w:line="329" w:lineRule="exact"/>
        <w:rPr>
          <w:sz w:val="20"/>
          <w:szCs w:val="20"/>
          <w:color w:val="auto"/>
        </w:rPr>
      </w:pPr>
    </w:p>
    <w:p>
      <w:pPr>
        <w:ind w:left="280" w:hanging="272"/>
        <w:spacing w:after="0"/>
        <w:tabs>
          <w:tab w:leader="none" w:pos="2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(Loss)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from basic earnings (loss) per share of Schlumberger to diluted earnings (loss) per share of Schlumberger:</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40" w:type="dxa"/>
            <w:vAlign w:val="bottom"/>
            <w:gridSpan w:val="7"/>
          </w:tcPr>
          <w:p>
            <w:pPr>
              <w:jc w:val="right"/>
              <w:ind w:right="120"/>
              <w:spacing w:after="0"/>
              <w:rPr>
                <w:sz w:val="20"/>
                <w:szCs w:val="20"/>
                <w:color w:val="auto"/>
              </w:rPr>
            </w:pPr>
            <w:r>
              <w:rPr>
                <w:rFonts w:ascii="Arial" w:cs="Arial" w:eastAsia="Arial" w:hAnsi="Arial"/>
                <w:sz w:val="14"/>
                <w:szCs w:val="14"/>
                <w:i w:val="1"/>
                <w:iCs w:val="1"/>
                <w:color w:val="auto"/>
                <w:w w:val="94"/>
              </w:rPr>
              <w:t>(Stated in millions, except per share amounts)</w:t>
            </w:r>
          </w:p>
        </w:tc>
      </w:tr>
      <w:tr>
        <w:trPr>
          <w:trHeight w:val="428"/>
        </w:trPr>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35"/>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35"/>
              <w:spacing w:after="0"/>
              <w:rPr>
                <w:sz w:val="20"/>
                <w:szCs w:val="20"/>
                <w:color w:val="auto"/>
              </w:rPr>
            </w:pPr>
            <w:r>
              <w:rPr>
                <w:rFonts w:ascii="Arial" w:cs="Arial" w:eastAsia="Arial" w:hAnsi="Arial"/>
                <w:sz w:val="16"/>
                <w:szCs w:val="16"/>
                <w:color w:val="auto"/>
                <w:w w:val="89"/>
              </w:rPr>
              <w:t>2019</w:t>
            </w: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9"/>
        </w:trPr>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Average</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6"/>
                <w:szCs w:val="16"/>
                <w:color w:val="auto"/>
                <w:w w:val="90"/>
              </w:rPr>
              <w:t>Average</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6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1"/>
              </w:rPr>
              <w:t>Schlumberger</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Shares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6"/>
              </w:rPr>
              <w:t>Loss per</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14"/>
              <w:spacing w:after="0"/>
              <w:rPr>
                <w:sz w:val="20"/>
                <w:szCs w:val="20"/>
                <w:color w:val="auto"/>
              </w:rPr>
            </w:pPr>
            <w:r>
              <w:rPr>
                <w:rFonts w:ascii="Arial" w:cs="Arial" w:eastAsia="Arial" w:hAnsi="Arial"/>
                <w:sz w:val="16"/>
                <w:szCs w:val="16"/>
                <w:color w:val="auto"/>
                <w:w w:val="92"/>
              </w:rPr>
              <w:t>Schlumberger</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6"/>
                <w:szCs w:val="16"/>
                <w:color w:val="auto"/>
                <w:w w:val="86"/>
              </w:rPr>
              <w:t>Shares</w:t>
            </w: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color w:val="auto"/>
                <w:w w:val="92"/>
              </w:rPr>
              <w:t>Earnings per</w:t>
            </w:r>
          </w:p>
        </w:tc>
      </w:tr>
      <w:tr>
        <w:trPr>
          <w:trHeight w:val="213"/>
        </w:trPr>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Net Loss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Outstanding</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Share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4"/>
              <w:spacing w:after="0"/>
              <w:rPr>
                <w:sz w:val="20"/>
                <w:szCs w:val="20"/>
                <w:color w:val="auto"/>
              </w:rPr>
            </w:pPr>
            <w:r>
              <w:rPr>
                <w:rFonts w:ascii="Arial" w:cs="Arial" w:eastAsia="Arial" w:hAnsi="Arial"/>
                <w:sz w:val="16"/>
                <w:szCs w:val="16"/>
                <w:color w:val="auto"/>
                <w:w w:val="92"/>
              </w:rPr>
              <w:t>Net Income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6"/>
                <w:szCs w:val="16"/>
                <w:color w:val="auto"/>
                <w:w w:val="92"/>
              </w:rPr>
              <w:t>Outstanding</w:t>
            </w: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color w:val="auto"/>
                <w:w w:val="84"/>
              </w:rPr>
              <w:t>Share</w:t>
            </w:r>
          </w:p>
        </w:tc>
      </w:tr>
      <w:tr>
        <w:trPr>
          <w:trHeight w:val="206"/>
        </w:trPr>
        <w:tc>
          <w:tcPr>
            <w:tcW w:w="1240" w:type="dxa"/>
            <w:vAlign w:val="bottom"/>
            <w:tcBorders>
              <w:top w:val="single" w:sz="8" w:color="CFF0FC"/>
              <w:bottom w:val="single" w:sz="8" w:color="auto"/>
            </w:tcBorders>
            <w:gridSpan w:val="2"/>
            <w:shd w:val="clear" w:color="auto" w:fill="CFF0FC"/>
          </w:tcPr>
          <w:p>
            <w:pPr>
              <w:spacing w:after="0" w:line="186" w:lineRule="exact"/>
              <w:rPr>
                <w:sz w:val="20"/>
                <w:szCs w:val="20"/>
                <w:color w:val="auto"/>
              </w:rPr>
            </w:pPr>
            <w:r>
              <w:rPr>
                <w:rFonts w:ascii="Arial" w:cs="Arial" w:eastAsia="Arial" w:hAnsi="Arial"/>
                <w:sz w:val="18"/>
                <w:szCs w:val="18"/>
                <w:b w:val="1"/>
                <w:bCs w:val="1"/>
                <w:color w:val="auto"/>
                <w:w w:val="90"/>
              </w:rPr>
              <w:t>Second Quarter</w:t>
            </w:r>
          </w:p>
        </w:tc>
        <w:tc>
          <w:tcPr>
            <w:tcW w:w="1300" w:type="dxa"/>
            <w:vAlign w:val="bottom"/>
            <w:tcBorders>
              <w:top w:val="single" w:sz="8" w:color="CFF0FC"/>
              <w:bottom w:val="single" w:sz="8" w:color="CFF0FC"/>
            </w:tcBorders>
            <w:shd w:val="clear" w:color="auto" w:fill="CFF0FC"/>
          </w:tcPr>
          <w:p>
            <w:pPr>
              <w:spacing w:after="0"/>
              <w:rPr>
                <w:sz w:val="17"/>
                <w:szCs w:val="17"/>
                <w:color w:val="auto"/>
              </w:rPr>
            </w:pPr>
          </w:p>
        </w:tc>
        <w:tc>
          <w:tcPr>
            <w:tcW w:w="70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CFF0FC"/>
            </w:tcBorders>
            <w:shd w:val="clear" w:color="auto" w:fill="CFF0FC"/>
          </w:tcPr>
          <w:p>
            <w:pPr>
              <w:spacing w:after="0"/>
              <w:rPr>
                <w:sz w:val="17"/>
                <w:szCs w:val="17"/>
                <w:color w:val="auto"/>
              </w:rPr>
            </w:pPr>
          </w:p>
        </w:tc>
        <w:tc>
          <w:tcPr>
            <w:tcW w:w="960" w:type="dxa"/>
            <w:vAlign w:val="bottom"/>
            <w:tcBorders>
              <w:top w:val="single" w:sz="8" w:color="auto"/>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CFF0FC"/>
            </w:tcBorders>
            <w:shd w:val="clear" w:color="auto" w:fill="CFF0FC"/>
          </w:tcPr>
          <w:p>
            <w:pPr>
              <w:spacing w:after="0"/>
              <w:rPr>
                <w:sz w:val="17"/>
                <w:szCs w:val="17"/>
                <w:color w:val="auto"/>
              </w:rPr>
            </w:pPr>
          </w:p>
        </w:tc>
        <w:tc>
          <w:tcPr>
            <w:tcW w:w="100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CFF0FC"/>
            </w:tcBorders>
            <w:shd w:val="clear" w:color="auto" w:fill="CFF0FC"/>
          </w:tcPr>
          <w:p>
            <w:pPr>
              <w:spacing w:after="0"/>
              <w:rPr>
                <w:sz w:val="17"/>
                <w:szCs w:val="17"/>
                <w:color w:val="auto"/>
              </w:rPr>
            </w:pPr>
          </w:p>
        </w:tc>
        <w:tc>
          <w:tcPr>
            <w:tcW w:w="960" w:type="dxa"/>
            <w:vAlign w:val="bottom"/>
            <w:tcBorders>
              <w:top w:val="single" w:sz="8" w:color="auto"/>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1020" w:type="dxa"/>
            <w:vAlign w:val="bottom"/>
            <w:tcBorders>
              <w:top w:val="single" w:sz="8" w:color="auto"/>
              <w:bottom w:val="single" w:sz="8" w:color="CFF0FC"/>
            </w:tcBorders>
            <w:shd w:val="clear" w:color="auto" w:fill="CFF0FC"/>
          </w:tcPr>
          <w:p>
            <w:pPr>
              <w:spacing w:after="0"/>
              <w:rPr>
                <w:sz w:val="17"/>
                <w:szCs w:val="17"/>
                <w:color w:val="auto"/>
              </w:rPr>
            </w:pP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CFF0FC"/>
            </w:tcBorders>
            <w:shd w:val="clear" w:color="auto" w:fill="CFF0FC"/>
          </w:tcPr>
          <w:p>
            <w:pPr>
              <w:spacing w:after="0"/>
              <w:rPr>
                <w:sz w:val="17"/>
                <w:szCs w:val="17"/>
                <w:color w:val="auto"/>
              </w:rPr>
            </w:pPr>
          </w:p>
        </w:tc>
        <w:tc>
          <w:tcPr>
            <w:tcW w:w="1000" w:type="dxa"/>
            <w:vAlign w:val="bottom"/>
            <w:tcBorders>
              <w:top w:val="single" w:sz="8" w:color="auto"/>
              <w:bottom w:val="single" w:sz="8" w:color="CFF0FC"/>
            </w:tcBorders>
            <w:shd w:val="clear" w:color="auto" w:fill="CFF0FC"/>
          </w:tcPr>
          <w:p>
            <w:pPr>
              <w:spacing w:after="0"/>
              <w:rPr>
                <w:sz w:val="17"/>
                <w:szCs w:val="17"/>
                <w:color w:val="auto"/>
              </w:rPr>
            </w:pP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CFF0FC"/>
            </w:tcBorders>
            <w:shd w:val="clear" w:color="auto" w:fill="CFF0FC"/>
          </w:tcPr>
          <w:p>
            <w:pPr>
              <w:spacing w:after="0"/>
              <w:rPr>
                <w:sz w:val="17"/>
                <w:szCs w:val="17"/>
                <w:color w:val="auto"/>
              </w:rPr>
            </w:pPr>
          </w:p>
        </w:tc>
        <w:tc>
          <w:tcPr>
            <w:tcW w:w="102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70"/>
        </w:trPr>
        <w:tc>
          <w:tcPr>
            <w:tcW w:w="2540" w:type="dxa"/>
            <w:vAlign w:val="bottom"/>
            <w:gridSpan w:val="3"/>
          </w:tcPr>
          <w:p>
            <w:pPr>
              <w:spacing w:after="0"/>
              <w:rPr>
                <w:sz w:val="20"/>
                <w:szCs w:val="20"/>
                <w:color w:val="auto"/>
              </w:rPr>
            </w:pPr>
            <w:r>
              <w:rPr>
                <w:rFonts w:ascii="Arial" w:cs="Arial" w:eastAsia="Arial" w:hAnsi="Arial"/>
                <w:sz w:val="18"/>
                <w:szCs w:val="18"/>
                <w:color w:val="auto"/>
              </w:rPr>
              <w:t>Basic</w:t>
            </w:r>
          </w:p>
        </w:tc>
        <w:tc>
          <w:tcPr>
            <w:tcW w:w="860" w:type="dxa"/>
            <w:vAlign w:val="bottom"/>
            <w:gridSpan w:val="2"/>
          </w:tcPr>
          <w:p>
            <w:pPr>
              <w:jc w:val="right"/>
              <w:ind w:right="3"/>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(3,434)</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1,388</w:t>
            </w:r>
          </w:p>
        </w:tc>
        <w:tc>
          <w:tcPr>
            <w:tcW w:w="120" w:type="dxa"/>
            <w:vAlign w:val="bottom"/>
          </w:tcPr>
          <w:p>
            <w:pPr>
              <w:spacing w:after="0"/>
              <w:rPr>
                <w:sz w:val="23"/>
                <w:szCs w:val="23"/>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(2.47)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492</w:t>
            </w: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1,384</w:t>
            </w:r>
          </w:p>
        </w:tc>
        <w:tc>
          <w:tcPr>
            <w:tcW w:w="2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23"/>
                <w:szCs w:val="23"/>
                <w:color w:val="auto"/>
              </w:rPr>
            </w:pPr>
          </w:p>
        </w:tc>
      </w:tr>
      <w:tr>
        <w:trPr>
          <w:trHeight w:val="210"/>
        </w:trPr>
        <w:tc>
          <w:tcPr>
            <w:tcW w:w="254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Unvested restricted stock</w:t>
            </w:r>
          </w:p>
        </w:tc>
        <w:tc>
          <w:tcPr>
            <w:tcW w:w="7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bottom w:val="single" w:sz="8" w:color="auto"/>
            </w:tcBorders>
            <w:shd w:val="clear" w:color="auto" w:fill="CFF0FC"/>
          </w:tcPr>
          <w:p>
            <w:pPr>
              <w:spacing w:after="0"/>
              <w:rPr>
                <w:sz w:val="18"/>
                <w:szCs w:val="18"/>
                <w:color w:val="auto"/>
              </w:rPr>
            </w:pPr>
          </w:p>
        </w:tc>
        <w:tc>
          <w:tcPr>
            <w:tcW w:w="96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auto"/>
            </w:tcBorders>
            <w:shd w:val="clear" w:color="auto" w:fill="CFF0FC"/>
          </w:tcPr>
          <w:p>
            <w:pPr>
              <w:spacing w:after="0"/>
              <w:rPr>
                <w:sz w:val="18"/>
                <w:szCs w:val="18"/>
                <w:color w:val="auto"/>
              </w:rPr>
            </w:pPr>
          </w:p>
        </w:tc>
        <w:tc>
          <w:tcPr>
            <w:tcW w:w="100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auto"/>
            </w:tcBorders>
            <w:shd w:val="clear" w:color="auto" w:fill="CFF0FC"/>
          </w:tcPr>
          <w:p>
            <w:pPr>
              <w:spacing w:after="0"/>
              <w:rPr>
                <w:sz w:val="18"/>
                <w:szCs w:val="18"/>
                <w:color w:val="auto"/>
              </w:rPr>
            </w:pPr>
          </w:p>
        </w:tc>
        <w:tc>
          <w:tcPr>
            <w:tcW w:w="102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auto"/>
            </w:tcBorders>
            <w:shd w:val="clear" w:color="auto" w:fill="CFF0FC"/>
          </w:tcPr>
          <w:p>
            <w:pPr>
              <w:spacing w:after="0"/>
              <w:rPr>
                <w:sz w:val="18"/>
                <w:szCs w:val="18"/>
                <w:color w:val="auto"/>
              </w:rPr>
            </w:pPr>
          </w:p>
        </w:tc>
        <w:tc>
          <w:tcPr>
            <w:tcW w:w="100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23"/>
        </w:trPr>
        <w:tc>
          <w:tcPr>
            <w:tcW w:w="2540" w:type="dxa"/>
            <w:vAlign w:val="bottom"/>
            <w:gridSpan w:val="3"/>
          </w:tcPr>
          <w:p>
            <w:pPr>
              <w:spacing w:after="0"/>
              <w:rPr>
                <w:sz w:val="20"/>
                <w:szCs w:val="20"/>
                <w:color w:val="auto"/>
              </w:rPr>
            </w:pPr>
            <w:r>
              <w:rPr>
                <w:rFonts w:ascii="Arial" w:cs="Arial" w:eastAsia="Arial" w:hAnsi="Arial"/>
                <w:sz w:val="18"/>
                <w:szCs w:val="18"/>
                <w:color w:val="auto"/>
              </w:rPr>
              <w:t>Diluted</w:t>
            </w:r>
          </w:p>
        </w:tc>
        <w:tc>
          <w:tcPr>
            <w:tcW w:w="700" w:type="dxa"/>
            <w:vAlign w:val="bottom"/>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(3,434)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1,388</w:t>
            </w:r>
          </w:p>
        </w:tc>
        <w:tc>
          <w:tcPr>
            <w:tcW w:w="120" w:type="dxa"/>
            <w:vAlign w:val="bottom"/>
          </w:tcPr>
          <w:p>
            <w:pPr>
              <w:spacing w:after="0"/>
              <w:rPr>
                <w:sz w:val="19"/>
                <w:szCs w:val="19"/>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(2.47)</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492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1,395</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19"/>
                <w:szCs w:val="19"/>
                <w:color w:val="auto"/>
              </w:rPr>
            </w:pPr>
          </w:p>
        </w:tc>
      </w:tr>
      <w:tr>
        <w:trPr>
          <w:trHeight w:val="20"/>
        </w:trPr>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3"/>
        </w:trPr>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35"/>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35"/>
              <w:spacing w:after="0"/>
              <w:rPr>
                <w:sz w:val="20"/>
                <w:szCs w:val="20"/>
                <w:color w:val="auto"/>
              </w:rPr>
            </w:pPr>
            <w:r>
              <w:rPr>
                <w:rFonts w:ascii="Arial" w:cs="Arial" w:eastAsia="Arial" w:hAnsi="Arial"/>
                <w:sz w:val="16"/>
                <w:szCs w:val="16"/>
                <w:color w:val="auto"/>
                <w:w w:val="89"/>
              </w:rPr>
              <w:t>2019</w:t>
            </w: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9"/>
        </w:trPr>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Average</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6"/>
                <w:szCs w:val="16"/>
                <w:color w:val="auto"/>
                <w:w w:val="90"/>
              </w:rPr>
              <w:t>Average</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6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1"/>
              </w:rPr>
              <w:t>Schlumberger</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Shares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6"/>
              </w:rPr>
              <w:t>Loss per</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14"/>
              <w:spacing w:after="0"/>
              <w:rPr>
                <w:sz w:val="20"/>
                <w:szCs w:val="20"/>
                <w:color w:val="auto"/>
              </w:rPr>
            </w:pPr>
            <w:r>
              <w:rPr>
                <w:rFonts w:ascii="Arial" w:cs="Arial" w:eastAsia="Arial" w:hAnsi="Arial"/>
                <w:sz w:val="16"/>
                <w:szCs w:val="16"/>
                <w:color w:val="auto"/>
                <w:w w:val="92"/>
              </w:rPr>
              <w:t>Schlumberger</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6"/>
                <w:szCs w:val="16"/>
                <w:color w:val="auto"/>
                <w:w w:val="86"/>
              </w:rPr>
              <w:t>Shares</w:t>
            </w: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color w:val="auto"/>
                <w:w w:val="92"/>
              </w:rPr>
              <w:t>Earnings per</w:t>
            </w:r>
          </w:p>
        </w:tc>
      </w:tr>
      <w:tr>
        <w:trPr>
          <w:trHeight w:val="213"/>
        </w:trPr>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Net Loss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Outstanding</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Share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4"/>
              <w:spacing w:after="0"/>
              <w:rPr>
                <w:sz w:val="20"/>
                <w:szCs w:val="20"/>
                <w:color w:val="auto"/>
              </w:rPr>
            </w:pPr>
            <w:r>
              <w:rPr>
                <w:rFonts w:ascii="Arial" w:cs="Arial" w:eastAsia="Arial" w:hAnsi="Arial"/>
                <w:sz w:val="16"/>
                <w:szCs w:val="16"/>
                <w:color w:val="auto"/>
                <w:w w:val="92"/>
              </w:rPr>
              <w:t>Net Income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6"/>
                <w:szCs w:val="16"/>
                <w:color w:val="auto"/>
                <w:w w:val="92"/>
              </w:rPr>
              <w:t>Outstanding</w:t>
            </w: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color w:val="auto"/>
                <w:w w:val="84"/>
              </w:rPr>
              <w:t>Share</w:t>
            </w:r>
          </w:p>
        </w:tc>
      </w:tr>
      <w:tr>
        <w:trPr>
          <w:trHeight w:val="206"/>
        </w:trPr>
        <w:tc>
          <w:tcPr>
            <w:tcW w:w="2540" w:type="dxa"/>
            <w:vAlign w:val="bottom"/>
            <w:tcBorders>
              <w:top w:val="single" w:sz="8" w:color="CFF0FC"/>
            </w:tcBorders>
            <w:gridSpan w:val="3"/>
            <w:shd w:val="clear" w:color="auto" w:fill="CFF0FC"/>
          </w:tcPr>
          <w:p>
            <w:pPr>
              <w:spacing w:after="0" w:line="186" w:lineRule="exact"/>
              <w:rPr>
                <w:sz w:val="20"/>
                <w:szCs w:val="20"/>
                <w:color w:val="auto"/>
              </w:rPr>
            </w:pPr>
            <w:r>
              <w:rPr>
                <w:rFonts w:ascii="Arial" w:cs="Arial" w:eastAsia="Arial" w:hAnsi="Arial"/>
                <w:sz w:val="18"/>
                <w:szCs w:val="18"/>
                <w:b w:val="1"/>
                <w:bCs w:val="1"/>
                <w:color w:val="auto"/>
              </w:rPr>
              <w:t>Six Months</w:t>
            </w:r>
          </w:p>
        </w:tc>
        <w:tc>
          <w:tcPr>
            <w:tcW w:w="7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70"/>
        </w:trPr>
        <w:tc>
          <w:tcPr>
            <w:tcW w:w="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Basic</w:t>
            </w:r>
          </w:p>
        </w:tc>
        <w:tc>
          <w:tcPr>
            <w:tcW w:w="1660" w:type="dxa"/>
            <w:vAlign w:val="bottom"/>
            <w:tcBorders>
              <w:top w:val="single" w:sz="8" w:color="CFF0FC"/>
            </w:tcBorders>
            <w:gridSpan w:val="2"/>
          </w:tcPr>
          <w:p>
            <w:pPr>
              <w:spacing w:after="0"/>
              <w:rPr>
                <w:sz w:val="23"/>
                <w:szCs w:val="23"/>
                <w:color w:val="auto"/>
              </w:rPr>
            </w:pPr>
          </w:p>
        </w:tc>
        <w:tc>
          <w:tcPr>
            <w:tcW w:w="860" w:type="dxa"/>
            <w:vAlign w:val="bottom"/>
            <w:tcBorders>
              <w:top w:val="single" w:sz="8" w:color="CFF0FC"/>
            </w:tcBorders>
            <w:gridSpan w:val="2"/>
          </w:tcPr>
          <w:p>
            <w:pPr>
              <w:jc w:val="right"/>
              <w:ind w:right="3"/>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CFF0FC"/>
            </w:tcBorders>
            <w:gridSpan w:val="2"/>
          </w:tcPr>
          <w:p>
            <w:pPr>
              <w:jc w:val="right"/>
              <w:ind w:right="80"/>
              <w:spacing w:after="0"/>
              <w:rPr>
                <w:sz w:val="20"/>
                <w:szCs w:val="20"/>
                <w:color w:val="auto"/>
              </w:rPr>
            </w:pPr>
            <w:r>
              <w:rPr>
                <w:rFonts w:ascii="Arial" w:cs="Arial" w:eastAsia="Arial" w:hAnsi="Arial"/>
                <w:sz w:val="18"/>
                <w:szCs w:val="18"/>
                <w:b w:val="1"/>
                <w:bCs w:val="1"/>
                <w:color w:val="auto"/>
              </w:rPr>
              <w:t>(10,810)</w:t>
            </w:r>
          </w:p>
        </w:tc>
        <w:tc>
          <w:tcPr>
            <w:tcW w:w="200" w:type="dxa"/>
            <w:vAlign w:val="bottom"/>
            <w:tcBorders>
              <w:top w:val="single" w:sz="8" w:color="CFF0FC"/>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CFF0FC"/>
            </w:tcBorders>
          </w:tcPr>
          <w:p>
            <w:pPr>
              <w:jc w:val="right"/>
              <w:spacing w:after="0"/>
              <w:rPr>
                <w:sz w:val="20"/>
                <w:szCs w:val="20"/>
                <w:color w:val="auto"/>
              </w:rPr>
            </w:pPr>
            <w:r>
              <w:rPr>
                <w:rFonts w:ascii="Arial" w:cs="Arial" w:eastAsia="Arial" w:hAnsi="Arial"/>
                <w:sz w:val="18"/>
                <w:szCs w:val="18"/>
                <w:b w:val="1"/>
                <w:bCs w:val="1"/>
                <w:color w:val="auto"/>
              </w:rPr>
              <w:t>1,388</w:t>
            </w:r>
          </w:p>
        </w:tc>
        <w:tc>
          <w:tcPr>
            <w:tcW w:w="120" w:type="dxa"/>
            <w:vAlign w:val="bottom"/>
            <w:tcBorders>
              <w:top w:val="single" w:sz="8" w:color="CFF0FC"/>
            </w:tcBorders>
          </w:tcPr>
          <w:p>
            <w:pPr>
              <w:spacing w:after="0"/>
              <w:rPr>
                <w:sz w:val="23"/>
                <w:szCs w:val="23"/>
                <w:color w:val="auto"/>
              </w:rPr>
            </w:pPr>
          </w:p>
        </w:tc>
        <w:tc>
          <w:tcPr>
            <w:tcW w:w="280" w:type="dxa"/>
            <w:vAlign w:val="bottom"/>
            <w:tcBorders>
              <w:top w:val="single" w:sz="8" w:color="CFF0FC"/>
            </w:tcBorders>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CFF0FC"/>
            </w:tcBorders>
            <w:gridSpan w:val="2"/>
          </w:tcPr>
          <w:p>
            <w:pPr>
              <w:jc w:val="right"/>
              <w:ind w:right="80"/>
              <w:spacing w:after="0"/>
              <w:rPr>
                <w:sz w:val="20"/>
                <w:szCs w:val="20"/>
                <w:color w:val="auto"/>
              </w:rPr>
            </w:pPr>
            <w:r>
              <w:rPr>
                <w:rFonts w:ascii="Arial" w:cs="Arial" w:eastAsia="Arial" w:hAnsi="Arial"/>
                <w:sz w:val="18"/>
                <w:szCs w:val="18"/>
                <w:b w:val="1"/>
                <w:bCs w:val="1"/>
                <w:color w:val="auto"/>
              </w:rPr>
              <w:t>(7.79)</w:t>
            </w:r>
          </w:p>
        </w:tc>
        <w:tc>
          <w:tcPr>
            <w:tcW w:w="180" w:type="dxa"/>
            <w:vAlign w:val="bottom"/>
            <w:tcBorders>
              <w:top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913</w:t>
            </w:r>
          </w:p>
        </w:tc>
        <w:tc>
          <w:tcPr>
            <w:tcW w:w="360" w:type="dxa"/>
            <w:vAlign w:val="bottom"/>
            <w:tcBorders>
              <w:top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1,385</w:t>
            </w:r>
          </w:p>
        </w:tc>
        <w:tc>
          <w:tcPr>
            <w:tcW w:w="240" w:type="dxa"/>
            <w:vAlign w:val="bottom"/>
            <w:tcBorders>
              <w:top w:val="single" w:sz="8" w:color="CFF0FC"/>
            </w:tcBorders>
          </w:tcPr>
          <w:p>
            <w:pPr>
              <w:spacing w:after="0"/>
              <w:rPr>
                <w:sz w:val="23"/>
                <w:szCs w:val="23"/>
                <w:color w:val="auto"/>
              </w:rPr>
            </w:pPr>
          </w:p>
        </w:tc>
        <w:tc>
          <w:tcPr>
            <w:tcW w:w="120" w:type="dxa"/>
            <w:vAlign w:val="bottom"/>
            <w:tcBorders>
              <w:top w:val="single" w:sz="8" w:color="CFF0FC"/>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0.66</w:t>
            </w:r>
          </w:p>
        </w:tc>
        <w:tc>
          <w:tcPr>
            <w:tcW w:w="100" w:type="dxa"/>
            <w:vAlign w:val="bottom"/>
            <w:tcBorders>
              <w:top w:val="single" w:sz="8" w:color="CFF0FC"/>
            </w:tcBorders>
          </w:tcPr>
          <w:p>
            <w:pPr>
              <w:spacing w:after="0"/>
              <w:rPr>
                <w:sz w:val="23"/>
                <w:szCs w:val="23"/>
                <w:color w:val="auto"/>
              </w:rPr>
            </w:pPr>
          </w:p>
        </w:tc>
      </w:tr>
      <w:tr>
        <w:trPr>
          <w:trHeight w:val="210"/>
        </w:trPr>
        <w:tc>
          <w:tcPr>
            <w:tcW w:w="254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Unvested restricted stock</w:t>
            </w:r>
          </w:p>
        </w:tc>
        <w:tc>
          <w:tcPr>
            <w:tcW w:w="7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bottom w:val="single" w:sz="8" w:color="auto"/>
            </w:tcBorders>
            <w:shd w:val="clear" w:color="auto" w:fill="CFF0FC"/>
          </w:tcPr>
          <w:p>
            <w:pPr>
              <w:spacing w:after="0"/>
              <w:rPr>
                <w:sz w:val="18"/>
                <w:szCs w:val="18"/>
                <w:color w:val="auto"/>
              </w:rPr>
            </w:pPr>
          </w:p>
        </w:tc>
        <w:tc>
          <w:tcPr>
            <w:tcW w:w="96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auto"/>
            </w:tcBorders>
            <w:shd w:val="clear" w:color="auto" w:fill="CFF0FC"/>
          </w:tcPr>
          <w:p>
            <w:pPr>
              <w:spacing w:after="0"/>
              <w:rPr>
                <w:sz w:val="18"/>
                <w:szCs w:val="18"/>
                <w:color w:val="auto"/>
              </w:rPr>
            </w:pPr>
          </w:p>
        </w:tc>
        <w:tc>
          <w:tcPr>
            <w:tcW w:w="100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auto"/>
            </w:tcBorders>
            <w:shd w:val="clear" w:color="auto" w:fill="CFF0FC"/>
          </w:tcPr>
          <w:p>
            <w:pPr>
              <w:spacing w:after="0"/>
              <w:rPr>
                <w:sz w:val="18"/>
                <w:szCs w:val="18"/>
                <w:color w:val="auto"/>
              </w:rPr>
            </w:pPr>
          </w:p>
        </w:tc>
        <w:tc>
          <w:tcPr>
            <w:tcW w:w="102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auto"/>
            </w:tcBorders>
            <w:shd w:val="clear" w:color="auto" w:fill="CFF0FC"/>
          </w:tcPr>
          <w:p>
            <w:pPr>
              <w:spacing w:after="0"/>
              <w:rPr>
                <w:sz w:val="18"/>
                <w:szCs w:val="18"/>
                <w:color w:val="auto"/>
              </w:rPr>
            </w:pPr>
          </w:p>
        </w:tc>
        <w:tc>
          <w:tcPr>
            <w:tcW w:w="100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23"/>
        </w:trPr>
        <w:tc>
          <w:tcPr>
            <w:tcW w:w="2540" w:type="dxa"/>
            <w:vAlign w:val="bottom"/>
            <w:gridSpan w:val="3"/>
          </w:tcPr>
          <w:p>
            <w:pPr>
              <w:spacing w:after="0"/>
              <w:rPr>
                <w:sz w:val="20"/>
                <w:szCs w:val="20"/>
                <w:color w:val="auto"/>
              </w:rPr>
            </w:pPr>
            <w:r>
              <w:rPr>
                <w:rFonts w:ascii="Arial" w:cs="Arial" w:eastAsia="Arial" w:hAnsi="Arial"/>
                <w:sz w:val="18"/>
                <w:szCs w:val="18"/>
                <w:color w:val="auto"/>
              </w:rPr>
              <w:t>Diluted</w:t>
            </w:r>
          </w:p>
        </w:tc>
        <w:tc>
          <w:tcPr>
            <w:tcW w:w="700" w:type="dxa"/>
            <w:vAlign w:val="bottom"/>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(10,810)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1,388</w:t>
            </w:r>
          </w:p>
        </w:tc>
        <w:tc>
          <w:tcPr>
            <w:tcW w:w="120" w:type="dxa"/>
            <w:vAlign w:val="bottom"/>
          </w:tcPr>
          <w:p>
            <w:pPr>
              <w:spacing w:after="0"/>
              <w:rPr>
                <w:sz w:val="19"/>
                <w:szCs w:val="19"/>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(7.79)</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913</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1,396</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0.65</w:t>
            </w:r>
          </w:p>
        </w:tc>
        <w:tc>
          <w:tcPr>
            <w:tcW w:w="100" w:type="dxa"/>
            <w:vAlign w:val="bottom"/>
          </w:tcPr>
          <w:p>
            <w:pPr>
              <w:spacing w:after="0"/>
              <w:rPr>
                <w:sz w:val="19"/>
                <w:szCs w:val="19"/>
                <w:color w:val="auto"/>
              </w:rPr>
            </w:pPr>
          </w:p>
        </w:tc>
      </w:tr>
      <w:tr>
        <w:trPr>
          <w:trHeight w:val="20"/>
        </w:trPr>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8"/>
        </w:trPr>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8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ind w:right="20"/>
        <w:spacing w:after="0" w:line="277" w:lineRule="auto"/>
        <w:rPr>
          <w:sz w:val="20"/>
          <w:szCs w:val="20"/>
          <w:color w:val="auto"/>
        </w:rPr>
      </w:pPr>
      <w:r>
        <w:rPr>
          <w:rFonts w:ascii="Arial" w:cs="Arial" w:eastAsia="Arial" w:hAnsi="Arial"/>
          <w:sz w:val="18"/>
          <w:szCs w:val="18"/>
          <w:color w:val="auto"/>
        </w:rPr>
        <w:t>The number of outstanding options to purchase shares of Schlumberger common stock that were not included in the computation of diluted earnings per share, because to do so would have had an antidilutive effect, was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i w:val="1"/>
                <w:iCs w:val="1"/>
                <w:color w:val="auto"/>
              </w:rPr>
              <w:t>(Stated in millions)</w:t>
            </w:r>
          </w:p>
        </w:tc>
      </w:tr>
      <w:tr>
        <w:trPr>
          <w:trHeight w:val="444"/>
        </w:trPr>
        <w:tc>
          <w:tcPr>
            <w:tcW w:w="5760" w:type="dxa"/>
            <w:vAlign w:val="bottom"/>
          </w:tcPr>
          <w:p>
            <w:pPr>
              <w:spacing w:after="0"/>
              <w:rPr>
                <w:sz w:val="24"/>
                <w:szCs w:val="24"/>
                <w:color w:val="auto"/>
              </w:rPr>
            </w:pPr>
          </w:p>
        </w:tc>
        <w:tc>
          <w:tcPr>
            <w:tcW w:w="2260" w:type="dxa"/>
            <w:vAlign w:val="bottom"/>
            <w:gridSpan w:val="4"/>
          </w:tcPr>
          <w:p>
            <w:pPr>
              <w:jc w:val="right"/>
              <w:ind w:right="380"/>
              <w:spacing w:after="0"/>
              <w:rPr>
                <w:sz w:val="20"/>
                <w:szCs w:val="20"/>
                <w:color w:val="auto"/>
              </w:rPr>
            </w:pPr>
            <w:r>
              <w:rPr>
                <w:rFonts w:ascii="Arial" w:cs="Arial" w:eastAsia="Arial" w:hAnsi="Arial"/>
                <w:sz w:val="18"/>
                <w:szCs w:val="18"/>
                <w:b w:val="1"/>
                <w:bCs w:val="1"/>
                <w:color w:val="auto"/>
              </w:rPr>
              <w:t>Second Quarter</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80" w:type="dxa"/>
            <w:vAlign w:val="bottom"/>
            <w:gridSpan w:val="4"/>
          </w:tcPr>
          <w:p>
            <w:pPr>
              <w:ind w:left="840"/>
              <w:spacing w:after="0"/>
              <w:rPr>
                <w:sz w:val="20"/>
                <w:szCs w:val="20"/>
                <w:color w:val="auto"/>
              </w:rPr>
            </w:pPr>
            <w:r>
              <w:rPr>
                <w:rFonts w:ascii="Arial" w:cs="Arial" w:eastAsia="Arial" w:hAnsi="Arial"/>
                <w:sz w:val="18"/>
                <w:szCs w:val="18"/>
                <w:b w:val="1"/>
                <w:bCs w:val="1"/>
                <w:color w:val="auto"/>
              </w:rPr>
              <w:t>Six Months</w:t>
            </w:r>
          </w:p>
        </w:tc>
      </w:tr>
      <w:tr>
        <w:trPr>
          <w:trHeight w:val="223"/>
        </w:trPr>
        <w:tc>
          <w:tcPr>
            <w:tcW w:w="5760" w:type="dxa"/>
            <w:vAlign w:val="bottom"/>
          </w:tcPr>
          <w:p>
            <w:pPr>
              <w:spacing w:after="0"/>
              <w:rPr>
                <w:sz w:val="19"/>
                <w:szCs w:val="19"/>
                <w:color w:val="auto"/>
              </w:rPr>
            </w:pPr>
          </w:p>
        </w:tc>
        <w:tc>
          <w:tcPr>
            <w:tcW w:w="9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132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2019</w:t>
            </w:r>
          </w:p>
        </w:tc>
        <w:tc>
          <w:tcPr>
            <w:tcW w:w="4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335"/>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r>
      <w:tr>
        <w:trPr>
          <w:trHeight w:val="223"/>
        </w:trPr>
        <w:tc>
          <w:tcPr>
            <w:tcW w:w="5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Employee stock options</w:t>
            </w:r>
          </w:p>
        </w:tc>
        <w:tc>
          <w:tcPr>
            <w:tcW w:w="9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50</w:t>
            </w:r>
          </w:p>
        </w:tc>
        <w:tc>
          <w:tcPr>
            <w:tcW w:w="14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48</w:t>
            </w:r>
          </w:p>
        </w:tc>
        <w:tc>
          <w:tcPr>
            <w:tcW w:w="14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50</w:t>
            </w:r>
          </w:p>
        </w:tc>
        <w:tc>
          <w:tcPr>
            <w:tcW w:w="1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top w:val="single" w:sz="8" w:color="CFF0FC"/>
            </w:tcBorders>
            <w:shd w:val="clear" w:color="auto" w:fill="CFF0FC"/>
          </w:tcPr>
          <w:p>
            <w:pPr>
              <w:spacing w:after="0"/>
              <w:rPr>
                <w:sz w:val="19"/>
                <w:szCs w:val="19"/>
                <w:color w:val="auto"/>
              </w:rPr>
            </w:pPr>
          </w:p>
        </w:tc>
      </w:tr>
      <w:tr>
        <w:trPr>
          <w:trHeight w:val="234"/>
        </w:trPr>
        <w:tc>
          <w:tcPr>
            <w:tcW w:w="6700" w:type="dxa"/>
            <w:vAlign w:val="bottom"/>
            <w:gridSpan w:val="2"/>
          </w:tcPr>
          <w:p>
            <w:pPr>
              <w:spacing w:after="0"/>
              <w:rPr>
                <w:sz w:val="20"/>
                <w:szCs w:val="20"/>
                <w:color w:val="auto"/>
              </w:rPr>
            </w:pPr>
            <w:r>
              <w:rPr>
                <w:rFonts w:ascii="Arial" w:cs="Arial" w:eastAsia="Arial" w:hAnsi="Arial"/>
                <w:sz w:val="18"/>
                <w:szCs w:val="18"/>
                <w:color w:val="auto"/>
              </w:rPr>
              <w:t>Unvested restricted stock</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bl>
    <w:p>
      <w:pPr>
        <w:spacing w:after="0" w:line="328" w:lineRule="exact"/>
        <w:rPr>
          <w:sz w:val="20"/>
          <w:szCs w:val="20"/>
          <w:color w:val="auto"/>
        </w:rPr>
      </w:pPr>
    </w:p>
    <w:p>
      <w:pPr>
        <w:ind w:left="280" w:hanging="272"/>
        <w:spacing w:after="0"/>
        <w:tabs>
          <w:tab w:leader="none" w:pos="2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Inventories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inventories, which are stated at the lower of average cost or net realizable value, is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2"/>
          </w:tcPr>
          <w:p>
            <w:pPr>
              <w:ind w:left="2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39"/>
        </w:trPr>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Jun. 30,</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Dec. 31,</w:t>
            </w:r>
          </w:p>
        </w:tc>
        <w:tc>
          <w:tcPr>
            <w:tcW w:w="0" w:type="dxa"/>
            <w:vAlign w:val="bottom"/>
          </w:tcPr>
          <w:p>
            <w:pPr>
              <w:spacing w:after="0"/>
              <w:rPr>
                <w:sz w:val="1"/>
                <w:szCs w:val="1"/>
                <w:color w:val="auto"/>
              </w:rPr>
            </w:pPr>
          </w:p>
        </w:tc>
      </w:tr>
      <w:tr>
        <w:trPr>
          <w:trHeight w:val="234"/>
        </w:trPr>
        <w:tc>
          <w:tcPr>
            <w:tcW w:w="280" w:type="dxa"/>
            <w:vAlign w:val="bottom"/>
            <w:tcBorders>
              <w:bottom w:val="single" w:sz="8" w:color="CFF0FC"/>
            </w:tcBorders>
          </w:tcPr>
          <w:p>
            <w:pPr>
              <w:spacing w:after="0"/>
              <w:rPr>
                <w:sz w:val="20"/>
                <w:szCs w:val="20"/>
                <w:color w:val="auto"/>
              </w:rPr>
            </w:pPr>
          </w:p>
        </w:tc>
        <w:tc>
          <w:tcPr>
            <w:tcW w:w="960" w:type="dxa"/>
            <w:vAlign w:val="bottom"/>
            <w:tcBorders>
              <w:bottom w:val="single" w:sz="8" w:color="CFF0FC"/>
            </w:tcBorders>
          </w:tcPr>
          <w:p>
            <w:pPr>
              <w:spacing w:after="0"/>
              <w:rPr>
                <w:sz w:val="20"/>
                <w:szCs w:val="20"/>
                <w:color w:val="auto"/>
              </w:rPr>
            </w:pPr>
          </w:p>
        </w:tc>
        <w:tc>
          <w:tcPr>
            <w:tcW w:w="3720" w:type="dxa"/>
            <w:vAlign w:val="bottom"/>
            <w:tcBorders>
              <w:bottom w:val="single" w:sz="8" w:color="CFF0FC"/>
            </w:tcBorders>
          </w:tcPr>
          <w:p>
            <w:pPr>
              <w:spacing w:after="0"/>
              <w:rPr>
                <w:sz w:val="20"/>
                <w:szCs w:val="20"/>
                <w:color w:val="auto"/>
              </w:rPr>
            </w:pPr>
          </w:p>
        </w:tc>
        <w:tc>
          <w:tcPr>
            <w:tcW w:w="272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2020</w:t>
            </w:r>
          </w:p>
        </w:tc>
        <w:tc>
          <w:tcPr>
            <w:tcW w:w="30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33"/>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Raw materials &amp; field materials</w:t>
            </w:r>
          </w:p>
        </w:tc>
        <w:tc>
          <w:tcPr>
            <w:tcW w:w="27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1,677</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gridSpan w:val="3"/>
          </w:tcPr>
          <w:p>
            <w:pPr>
              <w:spacing w:after="0"/>
              <w:rPr>
                <w:sz w:val="20"/>
                <w:szCs w:val="20"/>
                <w:color w:val="auto"/>
              </w:rPr>
            </w:pPr>
            <w:r>
              <w:rPr>
                <w:rFonts w:ascii="Arial" w:cs="Arial" w:eastAsia="Arial" w:hAnsi="Arial"/>
                <w:sz w:val="18"/>
                <w:szCs w:val="18"/>
                <w:color w:val="auto"/>
              </w:rPr>
              <w:t>Work in progress</w:t>
            </w:r>
          </w:p>
        </w:tc>
        <w:tc>
          <w:tcPr>
            <w:tcW w:w="2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481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27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1,443</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3,601</w:t>
            </w:r>
          </w:p>
        </w:tc>
        <w:tc>
          <w:tcPr>
            <w:tcW w:w="30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5.  Fixed Assets</w:t>
            </w:r>
          </w:p>
        </w:tc>
        <w:tc>
          <w:tcPr>
            <w:tcW w:w="2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4960" w:type="dxa"/>
            <w:vAlign w:val="bottom"/>
            <w:gridSpan w:val="3"/>
            <w:vMerge w:val="continue"/>
          </w:tcPr>
          <w:p>
            <w:pPr>
              <w:spacing w:after="0"/>
              <w:rPr>
                <w:sz w:val="24"/>
                <w:szCs w:val="24"/>
                <w:color w:val="auto"/>
              </w:rPr>
            </w:pPr>
          </w:p>
        </w:tc>
        <w:tc>
          <w:tcPr>
            <w:tcW w:w="2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4960" w:type="dxa"/>
            <w:vAlign w:val="bottom"/>
            <w:gridSpan w:val="3"/>
          </w:tcPr>
          <w:p>
            <w:pPr>
              <w:spacing w:after="0"/>
              <w:rPr>
                <w:sz w:val="20"/>
                <w:szCs w:val="20"/>
                <w:color w:val="auto"/>
              </w:rPr>
            </w:pPr>
            <w:r>
              <w:rPr>
                <w:rFonts w:ascii="Arial" w:cs="Arial" w:eastAsia="Arial" w:hAnsi="Arial"/>
                <w:sz w:val="18"/>
                <w:szCs w:val="18"/>
                <w:color w:val="auto"/>
              </w:rPr>
              <w:t>A summary of fixed assets follows:</w:t>
            </w:r>
          </w:p>
        </w:tc>
        <w:tc>
          <w:tcPr>
            <w:tcW w:w="2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2"/>
          </w:tcPr>
          <w:p>
            <w:pPr>
              <w:ind w:left="2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39"/>
        </w:trPr>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Jun. 30,</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Dec. 31,</w:t>
            </w:r>
          </w:p>
        </w:tc>
        <w:tc>
          <w:tcPr>
            <w:tcW w:w="0" w:type="dxa"/>
            <w:vAlign w:val="bottom"/>
          </w:tcPr>
          <w:p>
            <w:pPr>
              <w:spacing w:after="0"/>
              <w:rPr>
                <w:sz w:val="1"/>
                <w:szCs w:val="1"/>
                <w:color w:val="auto"/>
              </w:rPr>
            </w:pPr>
          </w:p>
        </w:tc>
      </w:tr>
      <w:tr>
        <w:trPr>
          <w:trHeight w:val="234"/>
        </w:trPr>
        <w:tc>
          <w:tcPr>
            <w:tcW w:w="280" w:type="dxa"/>
            <w:vAlign w:val="bottom"/>
            <w:tcBorders>
              <w:bottom w:val="single" w:sz="8" w:color="CFF0FC"/>
            </w:tcBorders>
          </w:tcPr>
          <w:p>
            <w:pPr>
              <w:spacing w:after="0"/>
              <w:rPr>
                <w:sz w:val="20"/>
                <w:szCs w:val="20"/>
                <w:color w:val="auto"/>
              </w:rPr>
            </w:pPr>
          </w:p>
        </w:tc>
        <w:tc>
          <w:tcPr>
            <w:tcW w:w="960" w:type="dxa"/>
            <w:vAlign w:val="bottom"/>
            <w:tcBorders>
              <w:bottom w:val="single" w:sz="8" w:color="CFF0FC"/>
            </w:tcBorders>
          </w:tcPr>
          <w:p>
            <w:pPr>
              <w:spacing w:after="0"/>
              <w:rPr>
                <w:sz w:val="20"/>
                <w:szCs w:val="20"/>
                <w:color w:val="auto"/>
              </w:rPr>
            </w:pPr>
          </w:p>
        </w:tc>
        <w:tc>
          <w:tcPr>
            <w:tcW w:w="3720" w:type="dxa"/>
            <w:vAlign w:val="bottom"/>
            <w:tcBorders>
              <w:bottom w:val="single" w:sz="8" w:color="CFF0FC"/>
            </w:tcBorders>
          </w:tcPr>
          <w:p>
            <w:pPr>
              <w:spacing w:after="0"/>
              <w:rPr>
                <w:sz w:val="20"/>
                <w:szCs w:val="20"/>
                <w:color w:val="auto"/>
              </w:rPr>
            </w:pPr>
          </w:p>
        </w:tc>
        <w:tc>
          <w:tcPr>
            <w:tcW w:w="272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2020</w:t>
            </w:r>
          </w:p>
        </w:tc>
        <w:tc>
          <w:tcPr>
            <w:tcW w:w="30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33"/>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Property, plant &amp; equipment</w:t>
            </w:r>
          </w:p>
        </w:tc>
        <w:tc>
          <w:tcPr>
            <w:tcW w:w="27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32,737</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Less: Accumulated depreciation</w:t>
            </w:r>
          </w:p>
        </w:tc>
        <w:tc>
          <w:tcPr>
            <w:tcW w:w="27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25,008</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25,739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shd w:val="clear" w:color="auto" w:fill="CFF0FC"/>
          </w:tcPr>
          <w:p>
            <w:pPr>
              <w:spacing w:after="0"/>
              <w:rPr>
                <w:sz w:val="19"/>
                <w:szCs w:val="19"/>
                <w:color w:val="auto"/>
              </w:rPr>
            </w:pPr>
          </w:p>
        </w:tc>
        <w:tc>
          <w:tcPr>
            <w:tcW w:w="3720" w:type="dxa"/>
            <w:vAlign w:val="bottom"/>
            <w:tcBorders>
              <w:bottom w:val="single" w:sz="8" w:color="CFF0FC"/>
            </w:tcBorders>
            <w:shd w:val="clear" w:color="auto" w:fill="CFF0FC"/>
          </w:tcPr>
          <w:p>
            <w:pPr>
              <w:spacing w:after="0"/>
              <w:rPr>
                <w:sz w:val="19"/>
                <w:szCs w:val="19"/>
                <w:color w:val="auto"/>
              </w:rPr>
            </w:pPr>
          </w:p>
        </w:tc>
        <w:tc>
          <w:tcPr>
            <w:tcW w:w="27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7,729</w:t>
            </w:r>
          </w:p>
        </w:tc>
        <w:tc>
          <w:tcPr>
            <w:tcW w:w="3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9,270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gridSpan w:val="3"/>
            <w:vMerge w:val="restart"/>
          </w:tcPr>
          <w:p>
            <w:pPr>
              <w:spacing w:after="0"/>
              <w:rPr>
                <w:sz w:val="20"/>
                <w:szCs w:val="20"/>
                <w:color w:val="auto"/>
              </w:rPr>
            </w:pPr>
            <w:r>
              <w:rPr>
                <w:rFonts w:ascii="Arial" w:cs="Arial" w:eastAsia="Arial" w:hAnsi="Arial"/>
                <w:sz w:val="18"/>
                <w:szCs w:val="18"/>
                <w:color w:val="auto"/>
              </w:rPr>
              <w:t>Depreciation expense relating to fixed assets was as follows:</w:t>
            </w:r>
          </w:p>
        </w:tc>
        <w:tc>
          <w:tcPr>
            <w:tcW w:w="2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960" w:type="dxa"/>
            <w:vAlign w:val="bottom"/>
            <w:gridSpan w:val="3"/>
            <w:vMerge w:val="continue"/>
          </w:tcPr>
          <w:p>
            <w:pPr>
              <w:spacing w:after="0"/>
              <w:rPr>
                <w:sz w:val="24"/>
                <w:szCs w:val="24"/>
                <w:color w:val="auto"/>
              </w:rPr>
            </w:pPr>
          </w:p>
        </w:tc>
        <w:tc>
          <w:tcPr>
            <w:tcW w:w="2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2"/>
          </w:tcPr>
          <w:p>
            <w:pPr>
              <w:ind w:left="2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44"/>
        </w:trPr>
        <w:tc>
          <w:tcPr>
            <w:tcW w:w="280" w:type="dxa"/>
            <w:vAlign w:val="bottom"/>
            <w:tcBorders>
              <w:bottom w:val="single" w:sz="8" w:color="CFF0FC"/>
            </w:tcBorders>
          </w:tcPr>
          <w:p>
            <w:pPr>
              <w:spacing w:after="0"/>
              <w:rPr>
                <w:sz w:val="24"/>
                <w:szCs w:val="24"/>
                <w:color w:val="auto"/>
              </w:rPr>
            </w:pPr>
          </w:p>
        </w:tc>
        <w:tc>
          <w:tcPr>
            <w:tcW w:w="960" w:type="dxa"/>
            <w:vAlign w:val="bottom"/>
            <w:tcBorders>
              <w:bottom w:val="single" w:sz="8" w:color="CFF0FC"/>
            </w:tcBorders>
          </w:tcPr>
          <w:p>
            <w:pPr>
              <w:spacing w:after="0"/>
              <w:rPr>
                <w:sz w:val="24"/>
                <w:szCs w:val="24"/>
                <w:color w:val="auto"/>
              </w:rPr>
            </w:pPr>
          </w:p>
        </w:tc>
        <w:tc>
          <w:tcPr>
            <w:tcW w:w="3720" w:type="dxa"/>
            <w:vAlign w:val="bottom"/>
            <w:tcBorders>
              <w:bottom w:val="single" w:sz="8" w:color="CFF0FC"/>
            </w:tcBorders>
          </w:tcPr>
          <w:p>
            <w:pPr>
              <w:spacing w:after="0"/>
              <w:rPr>
                <w:sz w:val="24"/>
                <w:szCs w:val="24"/>
                <w:color w:val="auto"/>
              </w:rPr>
            </w:pPr>
          </w:p>
        </w:tc>
        <w:tc>
          <w:tcPr>
            <w:tcW w:w="272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2020</w:t>
            </w:r>
          </w:p>
        </w:tc>
        <w:tc>
          <w:tcPr>
            <w:tcW w:w="300" w:type="dxa"/>
            <w:vAlign w:val="bottom"/>
            <w:tcBorders>
              <w:bottom w:val="single" w:sz="8" w:color="CFF0FC"/>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33"/>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9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Second Quarter</w:t>
            </w:r>
          </w:p>
        </w:tc>
        <w:tc>
          <w:tcPr>
            <w:tcW w:w="27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417</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960" w:type="dxa"/>
            <w:vAlign w:val="bottom"/>
            <w:gridSpan w:val="3"/>
          </w:tcPr>
          <w:p>
            <w:pPr>
              <w:spacing w:after="0"/>
              <w:rPr>
                <w:sz w:val="20"/>
                <w:szCs w:val="20"/>
                <w:color w:val="auto"/>
              </w:rPr>
            </w:pPr>
            <w:r>
              <w:rPr>
                <w:rFonts w:ascii="Arial" w:cs="Arial" w:eastAsia="Arial" w:hAnsi="Arial"/>
                <w:sz w:val="18"/>
                <w:szCs w:val="18"/>
                <w:color w:val="auto"/>
              </w:rPr>
              <w:t>Six Months</w:t>
            </w:r>
          </w:p>
        </w:tc>
        <w:tc>
          <w:tcPr>
            <w:tcW w:w="302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866</w:t>
            </w:r>
          </w:p>
        </w:tc>
        <w:tc>
          <w:tcPr>
            <w:tcW w:w="5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27"/>
        </w:trPr>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720" w:type="dxa"/>
            <w:vAlign w:val="bottom"/>
          </w:tcPr>
          <w:p>
            <w:pPr>
              <w:jc w:val="right"/>
              <w:ind w:right="1870"/>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3720" w:type="dxa"/>
            <w:vAlign w:val="bottom"/>
            <w:tcBorders>
              <w:bottom w:val="single" w:sz="8" w:color="9A9A9A"/>
            </w:tcBorders>
          </w:tcPr>
          <w:p>
            <w:pPr>
              <w:spacing w:after="0"/>
              <w:rPr>
                <w:sz w:val="10"/>
                <w:szCs w:val="10"/>
                <w:color w:val="auto"/>
              </w:rPr>
            </w:pPr>
          </w:p>
        </w:tc>
        <w:tc>
          <w:tcPr>
            <w:tcW w:w="27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12" w:name="page13"/>
    <w:bookmarkEnd w:id="12"/>
    <w:p>
      <w:pPr>
        <w:ind w:left="280" w:hanging="272"/>
        <w:spacing w:after="0"/>
        <w:tabs>
          <w:tab w:leader="none" w:pos="2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Multiclient Seismic Data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carrying amount of multiclient seismic data for the six months ended June 30, 2020 was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6"/>
          </w:tcPr>
          <w:p>
            <w:pPr>
              <w:jc w:val="right"/>
              <w:ind w:right="140"/>
              <w:spacing w:after="0"/>
              <w:rPr>
                <w:sz w:val="20"/>
                <w:szCs w:val="20"/>
                <w:color w:val="auto"/>
              </w:rPr>
            </w:pPr>
            <w:r>
              <w:rPr>
                <w:rFonts w:ascii="Arial" w:cs="Arial" w:eastAsia="Arial" w:hAnsi="Arial"/>
                <w:sz w:val="14"/>
                <w:szCs w:val="14"/>
                <w:i w:val="1"/>
                <w:iCs w:val="1"/>
                <w:color w:val="auto"/>
                <w:w w:val="95"/>
              </w:rPr>
              <w:t>(Stated in millions)</w:t>
            </w:r>
          </w:p>
        </w:tc>
        <w:tc>
          <w:tcPr>
            <w:tcW w:w="0" w:type="dxa"/>
            <w:vAlign w:val="bottom"/>
          </w:tcPr>
          <w:p>
            <w:pPr>
              <w:spacing w:after="0"/>
              <w:rPr>
                <w:sz w:val="1"/>
                <w:szCs w:val="1"/>
                <w:color w:val="auto"/>
              </w:rPr>
            </w:pPr>
          </w:p>
        </w:tc>
      </w:tr>
      <w:tr>
        <w:trPr>
          <w:trHeight w:val="215"/>
        </w:trPr>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gridSpan w:val="3"/>
          </w:tcPr>
          <w:p>
            <w:pPr>
              <w:spacing w:after="0"/>
              <w:rPr>
                <w:sz w:val="20"/>
                <w:szCs w:val="20"/>
                <w:color w:val="auto"/>
              </w:rPr>
            </w:pPr>
            <w:r>
              <w:rPr>
                <w:rFonts w:ascii="Arial" w:cs="Arial" w:eastAsia="Arial" w:hAnsi="Arial"/>
                <w:sz w:val="18"/>
                <w:szCs w:val="18"/>
                <w:color w:val="auto"/>
              </w:rPr>
              <w:t>Capitalized in period</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Charged to expense</w:t>
            </w: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0"/>
        </w:trPr>
        <w:tc>
          <w:tcPr>
            <w:tcW w:w="4180" w:type="dxa"/>
            <w:vAlign w:val="bottom"/>
            <w:gridSpan w:val="3"/>
          </w:tcPr>
          <w:p>
            <w:pPr>
              <w:spacing w:after="0"/>
              <w:rPr>
                <w:sz w:val="20"/>
                <w:szCs w:val="20"/>
                <w:color w:val="auto"/>
              </w:rPr>
            </w:pPr>
            <w:r>
              <w:rPr>
                <w:rFonts w:ascii="Arial" w:cs="Arial" w:eastAsia="Arial" w:hAnsi="Arial"/>
                <w:sz w:val="18"/>
                <w:szCs w:val="18"/>
                <w:color w:val="auto"/>
              </w:rPr>
              <w:t>Impairments (See Note 2)</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29"/>
        </w:trPr>
        <w:tc>
          <w:tcPr>
            <w:tcW w:w="41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Other</w:t>
            </w: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4180" w:type="dxa"/>
            <w:vAlign w:val="bottom"/>
            <w:gridSpan w:val="3"/>
          </w:tcPr>
          <w:p>
            <w:pPr>
              <w:spacing w:after="0"/>
              <w:rPr>
                <w:sz w:val="20"/>
                <w:szCs w:val="20"/>
                <w:color w:val="auto"/>
              </w:rPr>
            </w:pPr>
            <w:r>
              <w:rPr>
                <w:rFonts w:ascii="Arial" w:cs="Arial" w:eastAsia="Arial" w:hAnsi="Arial"/>
                <w:sz w:val="18"/>
                <w:szCs w:val="18"/>
                <w:color w:val="auto"/>
              </w:rPr>
              <w:t>Balance at June 30, 2020</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7.  Goodwill</w:t>
            </w: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180" w:type="dxa"/>
            <w:vAlign w:val="bottom"/>
            <w:gridSpan w:val="3"/>
            <w:vMerge w:val="continue"/>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6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6440" w:type="dxa"/>
            <w:vAlign w:val="bottom"/>
            <w:gridSpan w:val="7"/>
          </w:tcPr>
          <w:p>
            <w:pPr>
              <w:spacing w:after="0"/>
              <w:rPr>
                <w:sz w:val="20"/>
                <w:szCs w:val="20"/>
                <w:color w:val="auto"/>
              </w:rPr>
            </w:pPr>
            <w:r>
              <w:rPr>
                <w:rFonts w:ascii="Arial" w:cs="Arial" w:eastAsia="Arial" w:hAnsi="Arial"/>
                <w:sz w:val="18"/>
                <w:szCs w:val="18"/>
                <w:color w:val="auto"/>
              </w:rPr>
              <w:t>The changes in the carrying amount of goodwill by segment were as follows:</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6"/>
          </w:tcPr>
          <w:p>
            <w:pPr>
              <w:jc w:val="right"/>
              <w:ind w:right="120"/>
              <w:spacing w:after="0"/>
              <w:rPr>
                <w:sz w:val="20"/>
                <w:szCs w:val="20"/>
                <w:color w:val="auto"/>
              </w:rPr>
            </w:pPr>
            <w:r>
              <w:rPr>
                <w:rFonts w:ascii="Arial" w:cs="Arial" w:eastAsia="Arial" w:hAnsi="Arial"/>
                <w:sz w:val="14"/>
                <w:szCs w:val="14"/>
                <w:i w:val="1"/>
                <w:iCs w:val="1"/>
                <w:color w:val="auto"/>
                <w:w w:val="97"/>
              </w:rPr>
              <w:t>(Stated in millions)</w:t>
            </w:r>
          </w:p>
        </w:tc>
        <w:tc>
          <w:tcPr>
            <w:tcW w:w="0" w:type="dxa"/>
            <w:vAlign w:val="bottom"/>
          </w:tcPr>
          <w:p>
            <w:pPr>
              <w:spacing w:after="0"/>
              <w:rPr>
                <w:sz w:val="1"/>
                <w:szCs w:val="1"/>
                <w:color w:val="auto"/>
              </w:rPr>
            </w:pPr>
          </w:p>
        </w:tc>
      </w:tr>
      <w:tr>
        <w:trPr>
          <w:trHeight w:val="443"/>
        </w:trPr>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Reservoir</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260" w:type="dxa"/>
            <w:vAlign w:val="bottom"/>
            <w:gridSpan w:val="4"/>
          </w:tcPr>
          <w:p>
            <w:pPr>
              <w:ind w:left="840"/>
              <w:spacing w:after="0"/>
              <w:rPr>
                <w:sz w:val="20"/>
                <w:szCs w:val="20"/>
                <w:color w:val="auto"/>
              </w:rPr>
            </w:pPr>
            <w:r>
              <w:rPr>
                <w:rFonts w:ascii="Arial" w:cs="Arial" w:eastAsia="Arial" w:hAnsi="Arial"/>
                <w:sz w:val="18"/>
                <w:szCs w:val="18"/>
                <w:color w:val="auto"/>
              </w:rPr>
              <w:t>Characterization</w:t>
            </w:r>
          </w:p>
        </w:tc>
        <w:tc>
          <w:tcPr>
            <w:tcW w:w="140" w:type="dxa"/>
            <w:vAlign w:val="bottom"/>
          </w:tcPr>
          <w:p>
            <w:pPr>
              <w:spacing w:after="0"/>
              <w:rPr>
                <w:sz w:val="20"/>
                <w:szCs w:val="20"/>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Drilling</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Production</w:t>
            </w:r>
          </w:p>
        </w:tc>
        <w:tc>
          <w:tcPr>
            <w:tcW w:w="120" w:type="dxa"/>
            <w:vAlign w:val="bottom"/>
          </w:tcPr>
          <w:p>
            <w:pPr>
              <w:spacing w:after="0"/>
              <w:rPr>
                <w:sz w:val="20"/>
                <w:szCs w:val="20"/>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w w:val="91"/>
              </w:rPr>
              <w:t>Cameron</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3"/>
          </w:tcPr>
          <w:p>
            <w:pPr>
              <w:jc w:val="right"/>
              <w:ind w:right="4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3"/>
        </w:trPr>
        <w:tc>
          <w:tcPr>
            <w:tcW w:w="418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8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4,560</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7,092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3,949</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441</w:t>
            </w: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gridSpan w:val="2"/>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16,042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gridSpan w:val="3"/>
          </w:tcPr>
          <w:p>
            <w:pPr>
              <w:spacing w:after="0"/>
              <w:rPr>
                <w:sz w:val="20"/>
                <w:szCs w:val="20"/>
                <w:color w:val="auto"/>
              </w:rPr>
            </w:pPr>
            <w:r>
              <w:rPr>
                <w:rFonts w:ascii="Arial" w:cs="Arial" w:eastAsia="Arial" w:hAnsi="Arial"/>
                <w:sz w:val="18"/>
                <w:szCs w:val="18"/>
                <w:color w:val="auto"/>
              </w:rPr>
              <w:t>Impairment (See Note 2)</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(1,659)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(1,228)</w:t>
            </w:r>
          </w:p>
        </w:tc>
        <w:tc>
          <w:tcPr>
            <w:tcW w:w="120" w:type="dxa"/>
            <w:vAlign w:val="bottom"/>
          </w:tcPr>
          <w:p>
            <w:pPr>
              <w:spacing w:after="0"/>
              <w:rPr>
                <w:sz w:val="19"/>
                <w:szCs w:val="19"/>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(183)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(3,070)</w:t>
            </w:r>
          </w:p>
        </w:tc>
        <w:tc>
          <w:tcPr>
            <w:tcW w:w="0" w:type="dxa"/>
            <w:vAlign w:val="bottom"/>
          </w:tcPr>
          <w:p>
            <w:pPr>
              <w:spacing w:after="0"/>
              <w:rPr>
                <w:sz w:val="1"/>
                <w:szCs w:val="1"/>
                <w:color w:val="auto"/>
              </w:rPr>
            </w:pPr>
          </w:p>
        </w:tc>
      </w:tr>
      <w:tr>
        <w:trPr>
          <w:trHeight w:val="229"/>
        </w:trPr>
        <w:tc>
          <w:tcPr>
            <w:tcW w:w="41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Impact of changes in exchange rates and other</w:t>
            </w: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4180" w:type="dxa"/>
            <w:vAlign w:val="bottom"/>
            <w:gridSpan w:val="3"/>
          </w:tcPr>
          <w:p>
            <w:pPr>
              <w:spacing w:after="0"/>
              <w:rPr>
                <w:sz w:val="20"/>
                <w:szCs w:val="20"/>
                <w:color w:val="auto"/>
              </w:rPr>
            </w:pPr>
            <w:r>
              <w:rPr>
                <w:rFonts w:ascii="Arial" w:cs="Arial" w:eastAsia="Arial" w:hAnsi="Arial"/>
                <w:sz w:val="18"/>
                <w:szCs w:val="18"/>
                <w:color w:val="auto"/>
              </w:rPr>
              <w:t>Balance at June 30, 2020</w:t>
            </w:r>
          </w:p>
        </w:tc>
        <w:tc>
          <w:tcPr>
            <w:tcW w:w="84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4,557</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5,439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2,700</w:t>
            </w:r>
          </w:p>
        </w:tc>
        <w:tc>
          <w:tcPr>
            <w:tcW w:w="2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258</w:t>
            </w:r>
          </w:p>
        </w:tc>
        <w:tc>
          <w:tcPr>
            <w:tcW w:w="8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c>
          <w:tcPr>
            <w:tcW w:w="180" w:type="dxa"/>
            <w:vAlign w:val="bottom"/>
            <w:tcBorders>
              <w:top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12,954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left="280" w:hanging="272"/>
        <w:spacing w:after="0"/>
        <w:tabs>
          <w:tab w:leader="none" w:pos="2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gross book value, accumulated amortization and net book value of intangible assets were as follows:</w:t>
      </w:r>
    </w:p>
    <w:p>
      <w:pPr>
        <w:spacing w:after="0" w:line="302" w:lineRule="exact"/>
        <w:rPr>
          <w:sz w:val="20"/>
          <w:szCs w:val="20"/>
          <w:color w:val="auto"/>
        </w:rPr>
      </w:pPr>
    </w:p>
    <w:tbl>
      <w:tblPr>
        <w:tblLayout w:type="fixed"/>
        <w:tblInd w:w="3240" w:type="dxa"/>
        <w:tblCellMar>
          <w:top w:w="0" w:type="dxa"/>
          <w:left w:w="0" w:type="dxa"/>
          <w:bottom w:w="0" w:type="dxa"/>
          <w:right w:w="0" w:type="dxa"/>
        </w:tblCellMar>
      </w:tblPr>
      <w:tr>
        <w:trPr>
          <w:trHeight w:val="182"/>
        </w:trPr>
        <w:tc>
          <w:tcPr>
            <w:tcW w:w="1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00" w:type="dxa"/>
            <w:vAlign w:val="bottom"/>
          </w:tcPr>
          <w:p>
            <w:pPr>
              <w:jc w:val="center"/>
              <w:ind w:left="82"/>
              <w:spacing w:after="0"/>
              <w:rPr>
                <w:sz w:val="20"/>
                <w:szCs w:val="20"/>
                <w:color w:val="auto"/>
              </w:rPr>
            </w:pPr>
            <w:r>
              <w:rPr>
                <w:rFonts w:ascii="Arial" w:cs="Arial" w:eastAsia="Arial" w:hAnsi="Arial"/>
                <w:sz w:val="14"/>
                <w:szCs w:val="14"/>
                <w:i w:val="1"/>
                <w:iCs w:val="1"/>
                <w:color w:val="auto"/>
                <w:w w:val="95"/>
              </w:rPr>
              <w:t>(Stated in millions)</w:t>
            </w:r>
          </w:p>
        </w:tc>
      </w:tr>
      <w:tr>
        <w:trPr>
          <w:trHeight w:val="441"/>
        </w:trPr>
        <w:tc>
          <w:tcPr>
            <w:tcW w:w="1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Jun. 30, 2020</w:t>
            </w:r>
          </w:p>
        </w:tc>
        <w:tc>
          <w:tcPr>
            <w:tcW w:w="11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Dec. 31, 2019</w:t>
            </w:r>
          </w:p>
        </w:tc>
        <w:tc>
          <w:tcPr>
            <w:tcW w:w="1300" w:type="dxa"/>
            <w:vAlign w:val="bottom"/>
            <w:tcBorders>
              <w:bottom w:val="single" w:sz="8" w:color="auto"/>
            </w:tcBorders>
          </w:tcPr>
          <w:p>
            <w:pPr>
              <w:spacing w:after="0"/>
              <w:rPr>
                <w:sz w:val="24"/>
                <w:szCs w:val="24"/>
                <w:color w:val="auto"/>
              </w:rPr>
            </w:pPr>
          </w:p>
        </w:tc>
      </w:tr>
      <w:tr>
        <w:trPr>
          <w:trHeight w:val="207"/>
        </w:trPr>
        <w:tc>
          <w:tcPr>
            <w:tcW w:w="1180" w:type="dxa"/>
            <w:vAlign w:val="bottom"/>
          </w:tcPr>
          <w:p>
            <w:pPr>
              <w:jc w:val="center"/>
              <w:ind w:right="19"/>
              <w:spacing w:after="0"/>
              <w:rPr>
                <w:sz w:val="20"/>
                <w:szCs w:val="20"/>
                <w:color w:val="auto"/>
              </w:rPr>
            </w:pPr>
            <w:r>
              <w:rPr>
                <w:rFonts w:ascii="Arial" w:cs="Arial" w:eastAsia="Arial" w:hAnsi="Arial"/>
                <w:sz w:val="16"/>
                <w:szCs w:val="16"/>
                <w:b w:val="1"/>
                <w:bCs w:val="1"/>
                <w:color w:val="auto"/>
                <w:w w:val="86"/>
              </w:rPr>
              <w:t>Gross</w:t>
            </w:r>
          </w:p>
        </w:tc>
        <w:tc>
          <w:tcPr>
            <w:tcW w:w="1460" w:type="dxa"/>
            <w:vAlign w:val="bottom"/>
          </w:tcPr>
          <w:p>
            <w:pPr>
              <w:ind w:left="260"/>
              <w:spacing w:after="0"/>
              <w:rPr>
                <w:sz w:val="20"/>
                <w:szCs w:val="20"/>
                <w:color w:val="auto"/>
              </w:rPr>
            </w:pPr>
            <w:r>
              <w:rPr>
                <w:rFonts w:ascii="Arial" w:cs="Arial" w:eastAsia="Arial" w:hAnsi="Arial"/>
                <w:sz w:val="16"/>
                <w:szCs w:val="16"/>
                <w:b w:val="1"/>
                <w:bCs w:val="1"/>
                <w:color w:val="auto"/>
              </w:rPr>
              <w:t>Accumulated</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1"/>
              </w:rPr>
              <w:t>Net Book</w:t>
            </w:r>
          </w:p>
        </w:tc>
        <w:tc>
          <w:tcPr>
            <w:tcW w:w="220" w:type="dxa"/>
            <w:vAlign w:val="bottom"/>
          </w:tcPr>
          <w:p>
            <w:pPr>
              <w:spacing w:after="0"/>
              <w:rPr>
                <w:sz w:val="17"/>
                <w:szCs w:val="17"/>
                <w:color w:val="auto"/>
              </w:rPr>
            </w:pPr>
          </w:p>
        </w:tc>
        <w:tc>
          <w:tcPr>
            <w:tcW w:w="1200" w:type="dxa"/>
            <w:vAlign w:val="bottom"/>
          </w:tcPr>
          <w:p>
            <w:pPr>
              <w:jc w:val="center"/>
              <w:ind w:right="19"/>
              <w:spacing w:after="0"/>
              <w:rPr>
                <w:sz w:val="20"/>
                <w:szCs w:val="20"/>
                <w:color w:val="auto"/>
              </w:rPr>
            </w:pPr>
            <w:r>
              <w:rPr>
                <w:rFonts w:ascii="Arial" w:cs="Arial" w:eastAsia="Arial" w:hAnsi="Arial"/>
                <w:sz w:val="16"/>
                <w:szCs w:val="16"/>
                <w:color w:val="auto"/>
                <w:w w:val="88"/>
              </w:rPr>
              <w:t>Gross</w:t>
            </w:r>
          </w:p>
        </w:tc>
        <w:tc>
          <w:tcPr>
            <w:tcW w:w="1360" w:type="dxa"/>
            <w:vAlign w:val="bottom"/>
          </w:tcPr>
          <w:p>
            <w:pPr>
              <w:ind w:left="280"/>
              <w:spacing w:after="0"/>
              <w:rPr>
                <w:sz w:val="20"/>
                <w:szCs w:val="20"/>
                <w:color w:val="auto"/>
              </w:rPr>
            </w:pPr>
            <w:r>
              <w:rPr>
                <w:rFonts w:ascii="Arial" w:cs="Arial" w:eastAsia="Arial" w:hAnsi="Arial"/>
                <w:sz w:val="16"/>
                <w:szCs w:val="16"/>
                <w:color w:val="auto"/>
              </w:rPr>
              <w:t>Accumulated</w:t>
            </w:r>
          </w:p>
        </w:tc>
        <w:tc>
          <w:tcPr>
            <w:tcW w:w="1300" w:type="dxa"/>
            <w:vAlign w:val="bottom"/>
          </w:tcPr>
          <w:p>
            <w:pPr>
              <w:jc w:val="center"/>
              <w:ind w:left="62"/>
              <w:spacing w:after="0"/>
              <w:rPr>
                <w:sz w:val="20"/>
                <w:szCs w:val="20"/>
                <w:color w:val="auto"/>
              </w:rPr>
            </w:pPr>
            <w:r>
              <w:rPr>
                <w:rFonts w:ascii="Arial" w:cs="Arial" w:eastAsia="Arial" w:hAnsi="Arial"/>
                <w:sz w:val="16"/>
                <w:szCs w:val="16"/>
                <w:color w:val="auto"/>
                <w:w w:val="97"/>
              </w:rPr>
              <w:t>Net Book</w:t>
            </w:r>
          </w:p>
        </w:tc>
      </w:tr>
      <w:tr>
        <w:trPr>
          <w:trHeight w:val="243"/>
        </w:trPr>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89"/>
              </w:rPr>
              <w:t>Book Value</w:t>
            </w:r>
          </w:p>
        </w:tc>
        <w:tc>
          <w:tcPr>
            <w:tcW w:w="1460" w:type="dxa"/>
            <w:vAlign w:val="bottom"/>
          </w:tcPr>
          <w:p>
            <w:pPr>
              <w:ind w:left="260"/>
              <w:spacing w:after="0"/>
              <w:rPr>
                <w:sz w:val="20"/>
                <w:szCs w:val="20"/>
                <w:color w:val="auto"/>
              </w:rPr>
            </w:pPr>
            <w:r>
              <w:rPr>
                <w:rFonts w:ascii="Arial" w:cs="Arial" w:eastAsia="Arial" w:hAnsi="Arial"/>
                <w:sz w:val="16"/>
                <w:szCs w:val="16"/>
                <w:b w:val="1"/>
                <w:bCs w:val="1"/>
                <w:color w:val="auto"/>
              </w:rPr>
              <w:t>Amortization</w:t>
            </w:r>
          </w:p>
        </w:tc>
        <w:tc>
          <w:tcPr>
            <w:tcW w:w="14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8"/>
              </w:rPr>
              <w:t>Value</w:t>
            </w:r>
          </w:p>
        </w:tc>
        <w:tc>
          <w:tcPr>
            <w:tcW w:w="1200" w:type="dxa"/>
            <w:vAlign w:val="bottom"/>
          </w:tcPr>
          <w:p>
            <w:pPr>
              <w:jc w:val="center"/>
              <w:spacing w:after="0"/>
              <w:rPr>
                <w:sz w:val="20"/>
                <w:szCs w:val="20"/>
                <w:color w:val="auto"/>
              </w:rPr>
            </w:pPr>
            <w:r>
              <w:rPr>
                <w:rFonts w:ascii="Arial" w:cs="Arial" w:eastAsia="Arial" w:hAnsi="Arial"/>
                <w:sz w:val="16"/>
                <w:szCs w:val="16"/>
                <w:color w:val="auto"/>
                <w:w w:val="92"/>
              </w:rPr>
              <w:t>Book Value</w:t>
            </w:r>
          </w:p>
        </w:tc>
        <w:tc>
          <w:tcPr>
            <w:tcW w:w="1360" w:type="dxa"/>
            <w:vAlign w:val="bottom"/>
          </w:tcPr>
          <w:p>
            <w:pPr>
              <w:ind w:left="280"/>
              <w:spacing w:after="0"/>
              <w:rPr>
                <w:sz w:val="20"/>
                <w:szCs w:val="20"/>
                <w:color w:val="auto"/>
              </w:rPr>
            </w:pPr>
            <w:r>
              <w:rPr>
                <w:rFonts w:ascii="Arial" w:cs="Arial" w:eastAsia="Arial" w:hAnsi="Arial"/>
                <w:sz w:val="16"/>
                <w:szCs w:val="16"/>
                <w:color w:val="auto"/>
              </w:rPr>
              <w:t>Amortization</w:t>
            </w:r>
          </w:p>
        </w:tc>
        <w:tc>
          <w:tcPr>
            <w:tcW w:w="1300" w:type="dxa"/>
            <w:vAlign w:val="bottom"/>
          </w:tcPr>
          <w:p>
            <w:pPr>
              <w:jc w:val="center"/>
              <w:ind w:left="62"/>
              <w:spacing w:after="0"/>
              <w:rPr>
                <w:sz w:val="20"/>
                <w:szCs w:val="20"/>
                <w:color w:val="auto"/>
              </w:rPr>
            </w:pPr>
            <w:r>
              <w:rPr>
                <w:rFonts w:ascii="Arial" w:cs="Arial" w:eastAsia="Arial" w:hAnsi="Arial"/>
                <w:sz w:val="16"/>
                <w:szCs w:val="16"/>
                <w:color w:val="auto"/>
                <w:w w:val="87"/>
              </w:rPr>
              <w:t>Value</w:t>
            </w: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80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840" w:type="dxa"/>
            <w:vAlign w:val="bottom"/>
            <w:gridSpan w:val="2"/>
            <w:shd w:val="clear" w:color="auto" w:fill="CFF0FC"/>
          </w:tcPr>
          <w:p>
            <w:pPr>
              <w:jc w:val="right"/>
              <w:ind w:right="247"/>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1,751</w:t>
            </w:r>
          </w:p>
        </w:tc>
        <w:tc>
          <w:tcPr>
            <w:tcW w:w="62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458</w:t>
            </w:r>
          </w:p>
        </w:tc>
        <w:tc>
          <w:tcPr>
            <w:tcW w:w="640" w:type="dxa"/>
            <w:vAlign w:val="bottom"/>
            <w:gridSpan w:val="2"/>
            <w:shd w:val="clear" w:color="auto" w:fill="CFF0FC"/>
          </w:tcPr>
          <w:p>
            <w:pPr>
              <w:jc w:val="right"/>
              <w:ind w:right="247"/>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1,293</w:t>
            </w:r>
          </w:p>
        </w:tc>
        <w:tc>
          <w:tcPr>
            <w:tcW w:w="62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3,779</w:t>
            </w:r>
          </w:p>
        </w:tc>
        <w:tc>
          <w:tcPr>
            <w:tcW w:w="640" w:type="dxa"/>
            <w:vAlign w:val="bottom"/>
            <w:gridSpan w:val="2"/>
            <w:shd w:val="clear" w:color="auto" w:fill="CFF0FC"/>
          </w:tcPr>
          <w:p>
            <w:pPr>
              <w:jc w:val="right"/>
              <w:ind w:right="247"/>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868</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2,911</w:t>
            </w:r>
          </w:p>
        </w:tc>
        <w:tc>
          <w:tcPr>
            <w:tcW w:w="100" w:type="dxa"/>
            <w:vAlign w:val="bottom"/>
            <w:shd w:val="clear" w:color="auto" w:fill="CFF0FC"/>
          </w:tcPr>
          <w:p>
            <w:pPr>
              <w:spacing w:after="0"/>
              <w:rPr>
                <w:sz w:val="18"/>
                <w:szCs w:val="18"/>
                <w:color w:val="auto"/>
              </w:rPr>
            </w:pPr>
          </w:p>
        </w:tc>
      </w:t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Technology/technical know-how</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1,387</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538</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849</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2,498</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779</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1,719</w:t>
            </w:r>
          </w:p>
        </w:tc>
        <w:tc>
          <w:tcPr>
            <w:tcW w:w="100" w:type="dxa"/>
            <w:vAlign w:val="bottom"/>
          </w:tcPr>
          <w:p>
            <w:pPr>
              <w:spacing w:after="0"/>
              <w:rPr>
                <w:sz w:val="19"/>
                <w:szCs w:val="19"/>
                <w:color w:val="auto"/>
              </w:rPr>
            </w:pPr>
          </w:p>
        </w:tc>
      </w:tr>
      <w:tr>
        <w:trPr>
          <w:trHeight w:val="230"/>
        </w:trPr>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rPr>
              <w:t>Tradenames</w:t>
            </w:r>
          </w:p>
        </w:tc>
        <w:tc>
          <w:tcPr>
            <w:tcW w:w="4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770</w:t>
            </w: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153</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617</w:t>
            </w: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1,885</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1,621</w:t>
            </w:r>
          </w:p>
        </w:tc>
        <w:tc>
          <w:tcPr>
            <w:tcW w:w="100" w:type="dxa"/>
            <w:vAlign w:val="bottom"/>
            <w:shd w:val="clear" w:color="auto" w:fill="CFF0FC"/>
          </w:tcPr>
          <w:p>
            <w:pPr>
              <w:spacing w:after="0"/>
              <w:rPr>
                <w:sz w:val="19"/>
                <w:szCs w:val="19"/>
                <w:color w:val="auto"/>
              </w:rPr>
            </w:pPr>
          </w:p>
        </w:tc>
      </w:tr>
      <w:tr>
        <w:trPr>
          <w:trHeight w:val="229"/>
        </w:trPr>
        <w:tc>
          <w:tcPr>
            <w:tcW w:w="2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1,575</w:t>
            </w:r>
          </w:p>
        </w:tc>
        <w:tc>
          <w:tcPr>
            <w:tcW w:w="2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712</w:t>
            </w:r>
          </w:p>
        </w:tc>
        <w:tc>
          <w:tcPr>
            <w:tcW w:w="2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863</w:t>
            </w:r>
          </w:p>
        </w:tc>
        <w:tc>
          <w:tcPr>
            <w:tcW w:w="2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1,514</w:t>
            </w:r>
          </w:p>
        </w:tc>
        <w:tc>
          <w:tcPr>
            <w:tcW w:w="2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w:t>
            </w:r>
          </w:p>
        </w:tc>
        <w:tc>
          <w:tcPr>
            <w:tcW w:w="2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w:t>
            </w:r>
          </w:p>
        </w:tc>
        <w:tc>
          <w:tcPr>
            <w:tcW w:w="100" w:type="dxa"/>
            <w:vAlign w:val="bottom"/>
            <w:tcBorders>
              <w:bottom w:val="single" w:sz="8" w:color="CFF0FC"/>
            </w:tcBorders>
          </w:tcPr>
          <w:p>
            <w:pPr>
              <w:spacing w:after="0"/>
              <w:rPr>
                <w:sz w:val="19"/>
                <w:szCs w:val="19"/>
                <w:color w:val="auto"/>
              </w:rPr>
            </w:pPr>
          </w:p>
        </w:tc>
      </w:tr>
      <w:tr>
        <w:trPr>
          <w:trHeight w:val="223"/>
        </w:trPr>
        <w:tc>
          <w:tcPr>
            <w:tcW w:w="280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47"/>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5,483</w:t>
            </w:r>
          </w:p>
        </w:tc>
        <w:tc>
          <w:tcPr>
            <w:tcW w:w="2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1,861</w:t>
            </w:r>
          </w:p>
        </w:tc>
        <w:tc>
          <w:tcPr>
            <w:tcW w:w="2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47"/>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3,622</w:t>
            </w:r>
          </w:p>
        </w:tc>
        <w:tc>
          <w:tcPr>
            <w:tcW w:w="2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9,676</w:t>
            </w:r>
          </w:p>
        </w:tc>
        <w:tc>
          <w:tcPr>
            <w:tcW w:w="2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2,587</w:t>
            </w:r>
          </w:p>
        </w:tc>
        <w:tc>
          <w:tcPr>
            <w:tcW w:w="2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7,089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2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charged to income was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4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444"/>
        </w:trPr>
        <w:tc>
          <w:tcPr>
            <w:tcW w:w="4420" w:type="dxa"/>
            <w:vAlign w:val="bottom"/>
            <w:tcBorders>
              <w:bottom w:val="single" w:sz="8" w:color="CFF0FC"/>
            </w:tcBorders>
          </w:tcPr>
          <w:p>
            <w:pPr>
              <w:spacing w:after="0"/>
              <w:rPr>
                <w:sz w:val="24"/>
                <w:szCs w:val="24"/>
                <w:color w:val="auto"/>
              </w:rPr>
            </w:pPr>
          </w:p>
        </w:tc>
        <w:tc>
          <w:tcPr>
            <w:tcW w:w="3260" w:type="dxa"/>
            <w:vAlign w:val="bottom"/>
            <w:tcBorders>
              <w:bottom w:val="single" w:sz="8" w:color="CFF0FC"/>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bottom w:val="single" w:sz="8" w:color="CFF0FC"/>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35"/>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FF0FC"/>
            </w:tcBorders>
          </w:tcPr>
          <w:p>
            <w:pPr>
              <w:spacing w:after="0"/>
              <w:rPr>
                <w:sz w:val="24"/>
                <w:szCs w:val="24"/>
                <w:color w:val="auto"/>
              </w:rPr>
            </w:pPr>
          </w:p>
        </w:tc>
      </w:tr>
      <w:tr>
        <w:trPr>
          <w:trHeight w:val="223"/>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Second Quarter</w:t>
            </w:r>
          </w:p>
        </w:tc>
        <w:tc>
          <w:tcPr>
            <w:tcW w:w="32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80</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FF0FC"/>
          </w:tcPr>
          <w:p>
            <w:pPr>
              <w:spacing w:after="0"/>
              <w:rPr>
                <w:sz w:val="19"/>
                <w:szCs w:val="19"/>
                <w:color w:val="auto"/>
              </w:rPr>
            </w:pPr>
          </w:p>
        </w:tc>
      </w:tr>
      <w:tr>
        <w:trPr>
          <w:trHeight w:val="234"/>
        </w:trPr>
        <w:tc>
          <w:tcPr>
            <w:tcW w:w="4420" w:type="dxa"/>
            <w:vAlign w:val="bottom"/>
          </w:tcPr>
          <w:p>
            <w:pPr>
              <w:spacing w:after="0"/>
              <w:rPr>
                <w:sz w:val="20"/>
                <w:szCs w:val="20"/>
                <w:color w:val="auto"/>
              </w:rPr>
            </w:pPr>
            <w:r>
              <w:rPr>
                <w:rFonts w:ascii="Arial" w:cs="Arial" w:eastAsia="Arial" w:hAnsi="Arial"/>
                <w:sz w:val="18"/>
                <w:szCs w:val="18"/>
                <w:color w:val="auto"/>
              </w:rPr>
              <w:t>Six Months</w:t>
            </w:r>
          </w:p>
        </w:tc>
        <w:tc>
          <w:tcPr>
            <w:tcW w:w="362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213</w:t>
            </w:r>
          </w:p>
        </w:tc>
        <w:tc>
          <w:tcPr>
            <w:tcW w:w="5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0"/>
                <w:szCs w:val="20"/>
                <w:color w:val="auto"/>
              </w:rPr>
            </w:pPr>
          </w:p>
        </w:tc>
      </w:tr>
    </w:tbl>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Based on the net book value of intangible assets at June 30, 2020, amortization charged to income for the subsequent five years is estimated to be: remaining two quarters of 2020—$161 million; 2021—$307 million; 2022—$302 million; 2023—$291 million; 2024—$261 million; and 2025—$254 million.</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3" w:name="page14"/>
    <w:bookmarkEnd w:id="13"/>
    <w:p>
      <w:pPr>
        <w:ind w:left="280" w:hanging="272"/>
        <w:spacing w:after="0"/>
        <w:tabs>
          <w:tab w:leader="none" w:pos="2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summary of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gridSpan w:val="2"/>
          </w:tcPr>
          <w:p>
            <w:pPr>
              <w:ind w:left="180"/>
              <w:spacing w:after="0"/>
              <w:rPr>
                <w:sz w:val="20"/>
                <w:szCs w:val="20"/>
                <w:color w:val="auto"/>
              </w:rPr>
            </w:pPr>
            <w:r>
              <w:rPr>
                <w:rFonts w:ascii="Arial" w:cs="Arial" w:eastAsia="Arial" w:hAnsi="Arial"/>
                <w:sz w:val="14"/>
                <w:szCs w:val="14"/>
                <w:i w:val="1"/>
                <w:iCs w:val="1"/>
                <w:color w:val="auto"/>
              </w:rPr>
              <w:t>(Stated in millions)</w:t>
            </w:r>
          </w:p>
        </w:tc>
      </w:tr>
      <w:tr>
        <w:trPr>
          <w:trHeight w:val="439"/>
        </w:trPr>
        <w:tc>
          <w:tcPr>
            <w:tcW w:w="5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 30,</w:t>
            </w:r>
          </w:p>
        </w:tc>
        <w:tc>
          <w:tcPr>
            <w:tcW w:w="280" w:type="dxa"/>
            <w:vAlign w:val="bottom"/>
          </w:tcPr>
          <w:p>
            <w:pPr>
              <w:spacing w:after="0"/>
              <w:rPr>
                <w:sz w:val="24"/>
                <w:szCs w:val="24"/>
                <w:color w:val="auto"/>
              </w:rPr>
            </w:pPr>
          </w:p>
        </w:tc>
        <w:tc>
          <w:tcPr>
            <w:tcW w:w="1420" w:type="dxa"/>
            <w:vAlign w:val="bottom"/>
            <w:gridSpan w:val="2"/>
          </w:tcPr>
          <w:p>
            <w:pPr>
              <w:ind w:left="200"/>
              <w:spacing w:after="0"/>
              <w:rPr>
                <w:sz w:val="20"/>
                <w:szCs w:val="20"/>
                <w:color w:val="auto"/>
              </w:rPr>
            </w:pPr>
            <w:r>
              <w:rPr>
                <w:rFonts w:ascii="Arial" w:cs="Arial" w:eastAsia="Arial" w:hAnsi="Arial"/>
                <w:sz w:val="18"/>
                <w:szCs w:val="18"/>
                <w:color w:val="auto"/>
              </w:rPr>
              <w:t>Dec. 31,</w:t>
            </w:r>
          </w:p>
        </w:tc>
      </w:tr>
      <w:tr>
        <w:trPr>
          <w:trHeight w:val="234"/>
        </w:trPr>
        <w:tc>
          <w:tcPr>
            <w:tcW w:w="500" w:type="dxa"/>
            <w:vAlign w:val="bottom"/>
            <w:tcBorders>
              <w:bottom w:val="single" w:sz="8" w:color="CFF0FC"/>
            </w:tcBorders>
          </w:tcPr>
          <w:p>
            <w:pPr>
              <w:spacing w:after="0"/>
              <w:rPr>
                <w:sz w:val="20"/>
                <w:szCs w:val="20"/>
                <w:color w:val="auto"/>
              </w:rPr>
            </w:pPr>
          </w:p>
        </w:tc>
        <w:tc>
          <w:tcPr>
            <w:tcW w:w="4660" w:type="dxa"/>
            <w:vAlign w:val="bottom"/>
            <w:tcBorders>
              <w:bottom w:val="single" w:sz="8" w:color="CFF0FC"/>
            </w:tcBorders>
          </w:tcPr>
          <w:p>
            <w:pPr>
              <w:spacing w:after="0"/>
              <w:rPr>
                <w:sz w:val="20"/>
                <w:szCs w:val="20"/>
                <w:color w:val="auto"/>
              </w:rPr>
            </w:pPr>
          </w:p>
        </w:tc>
        <w:tc>
          <w:tcPr>
            <w:tcW w:w="252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FF0FC"/>
            </w:tcBorders>
          </w:tcPr>
          <w:p>
            <w:pPr>
              <w:spacing w:after="0"/>
              <w:rPr>
                <w:sz w:val="20"/>
                <w:szCs w:val="20"/>
                <w:color w:val="auto"/>
              </w:rPr>
            </w:pPr>
          </w:p>
        </w:tc>
      </w:tr>
      <w:tr>
        <w:trPr>
          <w:trHeight w:val="223"/>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3.65%</w:t>
            </w:r>
          </w:p>
        </w:tc>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2023</w:t>
            </w:r>
          </w:p>
        </w:tc>
        <w:tc>
          <w:tcPr>
            <w:tcW w:w="25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1,495</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1,495</w:t>
            </w:r>
          </w:p>
        </w:tc>
        <w:tc>
          <w:tcPr>
            <w:tcW w:w="120" w:type="dxa"/>
            <w:vAlign w:val="bottom"/>
            <w:shd w:val="clear" w:color="auto" w:fill="CFF0FC"/>
          </w:tcPr>
          <w:p>
            <w:pPr>
              <w:spacing w:after="0"/>
              <w:rPr>
                <w:sz w:val="19"/>
                <w:szCs w:val="19"/>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w w:val="93"/>
              </w:rPr>
              <w:t>3.90%</w:t>
            </w:r>
          </w:p>
        </w:tc>
        <w:tc>
          <w:tcPr>
            <w:tcW w:w="4660" w:type="dxa"/>
            <w:vAlign w:val="bottom"/>
          </w:tcPr>
          <w:p>
            <w:pPr>
              <w:ind w:left="20"/>
              <w:spacing w:after="0"/>
              <w:rPr>
                <w:sz w:val="20"/>
                <w:szCs w:val="20"/>
                <w:color w:val="auto"/>
              </w:rPr>
            </w:pPr>
            <w:r>
              <w:rPr>
                <w:rFonts w:ascii="Arial" w:cs="Arial" w:eastAsia="Arial" w:hAnsi="Arial"/>
                <w:sz w:val="18"/>
                <w:szCs w:val="18"/>
                <w:color w:val="auto"/>
              </w:rPr>
              <w:t>Senior Notes due 2028</w:t>
            </w:r>
          </w:p>
        </w:tc>
        <w:tc>
          <w:tcPr>
            <w:tcW w:w="2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1,447</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1,444</w:t>
            </w:r>
          </w:p>
        </w:tc>
        <w:tc>
          <w:tcPr>
            <w:tcW w:w="120" w:type="dxa"/>
            <w:vAlign w:val="bottom"/>
          </w:tcPr>
          <w:p>
            <w:pPr>
              <w:spacing w:after="0"/>
              <w:rPr>
                <w:sz w:val="19"/>
                <w:szCs w:val="19"/>
                <w:color w:val="auto"/>
              </w:rPr>
            </w:pPr>
          </w:p>
        </w:tc>
      </w:tr>
      <w:tr>
        <w:trPr>
          <w:trHeight w:val="229"/>
        </w:trPr>
        <w:tc>
          <w:tcPr>
            <w:tcW w:w="5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1.375% Guaranteed Notes due 2026</w:t>
            </w:r>
          </w:p>
        </w:tc>
        <w:tc>
          <w:tcPr>
            <w:tcW w:w="25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1,119</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29"/>
        </w:trPr>
        <w:tc>
          <w:tcPr>
            <w:tcW w:w="500" w:type="dxa"/>
            <w:vAlign w:val="bottom"/>
          </w:tcPr>
          <w:p>
            <w:pPr>
              <w:spacing w:after="0"/>
              <w:rPr>
                <w:sz w:val="20"/>
                <w:szCs w:val="20"/>
                <w:color w:val="auto"/>
              </w:rPr>
            </w:pPr>
            <w:r>
              <w:rPr>
                <w:rFonts w:ascii="Arial" w:cs="Arial" w:eastAsia="Arial" w:hAnsi="Arial"/>
                <w:sz w:val="18"/>
                <w:szCs w:val="18"/>
                <w:color w:val="auto"/>
                <w:w w:val="93"/>
              </w:rPr>
              <w:t>2.00%</w:t>
            </w:r>
          </w:p>
        </w:tc>
        <w:tc>
          <w:tcPr>
            <w:tcW w:w="4660" w:type="dxa"/>
            <w:vAlign w:val="bottom"/>
          </w:tcPr>
          <w:p>
            <w:pPr>
              <w:ind w:left="20"/>
              <w:spacing w:after="0"/>
              <w:rPr>
                <w:sz w:val="20"/>
                <w:szCs w:val="20"/>
                <w:color w:val="auto"/>
              </w:rPr>
            </w:pPr>
            <w:r>
              <w:rPr>
                <w:rFonts w:ascii="Arial" w:cs="Arial" w:eastAsia="Arial" w:hAnsi="Arial"/>
                <w:sz w:val="18"/>
                <w:szCs w:val="18"/>
                <w:color w:val="auto"/>
              </w:rPr>
              <w:t>Guaranteed Notes due 2032</w:t>
            </w:r>
          </w:p>
        </w:tc>
        <w:tc>
          <w:tcPr>
            <w:tcW w:w="2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1,119</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0.25%</w:t>
            </w:r>
          </w:p>
        </w:tc>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 due 2027</w:t>
            </w:r>
          </w:p>
        </w:tc>
        <w:tc>
          <w:tcPr>
            <w:tcW w:w="25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1,008</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w:t>
            </w:r>
          </w:p>
        </w:tc>
        <w:tc>
          <w:tcPr>
            <w:tcW w:w="120" w:type="dxa"/>
            <w:vAlign w:val="bottom"/>
            <w:shd w:val="clear" w:color="auto" w:fill="CFF0FC"/>
          </w:tcPr>
          <w:p>
            <w:pPr>
              <w:spacing w:after="0"/>
              <w:rPr>
                <w:sz w:val="19"/>
                <w:szCs w:val="19"/>
                <w:color w:val="auto"/>
              </w:rPr>
            </w:pPr>
          </w:p>
        </w:tc>
      </w:tr>
      <w:tr>
        <w:trPr>
          <w:trHeight w:val="229"/>
        </w:trPr>
        <w:tc>
          <w:tcPr>
            <w:tcW w:w="500" w:type="dxa"/>
            <w:vAlign w:val="bottom"/>
          </w:tcPr>
          <w:p>
            <w:pPr>
              <w:spacing w:after="0"/>
              <w:rPr>
                <w:sz w:val="20"/>
                <w:szCs w:val="20"/>
                <w:color w:val="auto"/>
              </w:rPr>
            </w:pPr>
            <w:r>
              <w:rPr>
                <w:rFonts w:ascii="Arial" w:cs="Arial" w:eastAsia="Arial" w:hAnsi="Arial"/>
                <w:sz w:val="18"/>
                <w:szCs w:val="18"/>
                <w:color w:val="auto"/>
                <w:w w:val="93"/>
              </w:rPr>
              <w:t>0.50%</w:t>
            </w:r>
          </w:p>
        </w:tc>
        <w:tc>
          <w:tcPr>
            <w:tcW w:w="4660" w:type="dxa"/>
            <w:vAlign w:val="bottom"/>
          </w:tcPr>
          <w:p>
            <w:pPr>
              <w:ind w:left="20"/>
              <w:spacing w:after="0"/>
              <w:rPr>
                <w:sz w:val="20"/>
                <w:szCs w:val="20"/>
                <w:color w:val="auto"/>
              </w:rPr>
            </w:pPr>
            <w:r>
              <w:rPr>
                <w:rFonts w:ascii="Arial" w:cs="Arial" w:eastAsia="Arial" w:hAnsi="Arial"/>
                <w:sz w:val="18"/>
                <w:szCs w:val="18"/>
                <w:color w:val="auto"/>
              </w:rPr>
              <w:t>Notes due 2031</w:t>
            </w:r>
          </w:p>
        </w:tc>
        <w:tc>
          <w:tcPr>
            <w:tcW w:w="2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1,008</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544</w:t>
            </w:r>
          </w:p>
        </w:tc>
        <w:tc>
          <w:tcPr>
            <w:tcW w:w="120" w:type="dxa"/>
            <w:vAlign w:val="bottom"/>
          </w:tcPr>
          <w:p>
            <w:pPr>
              <w:spacing w:after="0"/>
              <w:rPr>
                <w:sz w:val="19"/>
                <w:szCs w:val="19"/>
                <w:color w:val="auto"/>
              </w:rPr>
            </w:pPr>
          </w:p>
        </w:tc>
      </w:tr>
      <w:tr>
        <w:trPr>
          <w:trHeight w:val="230"/>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2.40%</w:t>
            </w:r>
          </w:p>
        </w:tc>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2022</w:t>
            </w:r>
          </w:p>
        </w:tc>
        <w:tc>
          <w:tcPr>
            <w:tcW w:w="25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999</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998</w:t>
            </w:r>
          </w:p>
        </w:tc>
        <w:tc>
          <w:tcPr>
            <w:tcW w:w="120" w:type="dxa"/>
            <w:vAlign w:val="bottom"/>
            <w:shd w:val="clear" w:color="auto" w:fill="CFF0FC"/>
          </w:tcPr>
          <w:p>
            <w:pPr>
              <w:spacing w:after="0"/>
              <w:rPr>
                <w:sz w:val="19"/>
                <w:szCs w:val="19"/>
                <w:color w:val="auto"/>
              </w:rPr>
            </w:pPr>
          </w:p>
        </w:tc>
      </w:tr>
      <w:tr>
        <w:trPr>
          <w:trHeight w:val="229"/>
        </w:trPr>
        <w:tc>
          <w:tcPr>
            <w:tcW w:w="500" w:type="dxa"/>
            <w:vAlign w:val="bottom"/>
          </w:tcPr>
          <w:p>
            <w:pPr>
              <w:spacing w:after="0"/>
              <w:rPr>
                <w:sz w:val="20"/>
                <w:szCs w:val="20"/>
                <w:color w:val="auto"/>
              </w:rPr>
            </w:pPr>
            <w:r>
              <w:rPr>
                <w:rFonts w:ascii="Arial" w:cs="Arial" w:eastAsia="Arial" w:hAnsi="Arial"/>
                <w:sz w:val="18"/>
                <w:szCs w:val="18"/>
                <w:color w:val="auto"/>
                <w:w w:val="93"/>
              </w:rPr>
              <w:t>4.00%</w:t>
            </w:r>
          </w:p>
        </w:tc>
        <w:tc>
          <w:tcPr>
            <w:tcW w:w="4660" w:type="dxa"/>
            <w:vAlign w:val="bottom"/>
          </w:tcPr>
          <w:p>
            <w:pPr>
              <w:ind w:left="20"/>
              <w:spacing w:after="0"/>
              <w:rPr>
                <w:sz w:val="20"/>
                <w:szCs w:val="20"/>
                <w:color w:val="auto"/>
              </w:rPr>
            </w:pPr>
            <w:r>
              <w:rPr>
                <w:rFonts w:ascii="Arial" w:cs="Arial" w:eastAsia="Arial" w:hAnsi="Arial"/>
                <w:sz w:val="18"/>
                <w:szCs w:val="18"/>
                <w:color w:val="auto"/>
              </w:rPr>
              <w:t>Senior Notes due 2025</w:t>
            </w:r>
          </w:p>
        </w:tc>
        <w:tc>
          <w:tcPr>
            <w:tcW w:w="2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929</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929</w:t>
            </w:r>
          </w:p>
        </w:tc>
        <w:tc>
          <w:tcPr>
            <w:tcW w:w="120" w:type="dxa"/>
            <w:vAlign w:val="bottom"/>
          </w:tcPr>
          <w:p>
            <w:pPr>
              <w:spacing w:after="0"/>
              <w:rPr>
                <w:sz w:val="19"/>
                <w:szCs w:val="19"/>
                <w:color w:val="auto"/>
              </w:rPr>
            </w:pPr>
          </w:p>
        </w:tc>
      </w:tr>
      <w:tr>
        <w:trPr>
          <w:trHeight w:val="229"/>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2.65%</w:t>
            </w:r>
          </w:p>
        </w:tc>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2030</w:t>
            </w:r>
          </w:p>
        </w:tc>
        <w:tc>
          <w:tcPr>
            <w:tcW w:w="25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892</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w w:val="93"/>
              </w:rPr>
              <w:t>4.30%</w:t>
            </w:r>
          </w:p>
        </w:tc>
        <w:tc>
          <w:tcPr>
            <w:tcW w:w="4660" w:type="dxa"/>
            <w:vAlign w:val="bottom"/>
          </w:tcPr>
          <w:p>
            <w:pPr>
              <w:ind w:left="20"/>
              <w:spacing w:after="0"/>
              <w:rPr>
                <w:sz w:val="20"/>
                <w:szCs w:val="20"/>
                <w:color w:val="auto"/>
              </w:rPr>
            </w:pPr>
            <w:r>
              <w:rPr>
                <w:rFonts w:ascii="Arial" w:cs="Arial" w:eastAsia="Arial" w:hAnsi="Arial"/>
                <w:sz w:val="18"/>
                <w:szCs w:val="18"/>
                <w:color w:val="auto"/>
              </w:rPr>
              <w:t>Senior Notes due 2029</w:t>
            </w:r>
          </w:p>
        </w:tc>
        <w:tc>
          <w:tcPr>
            <w:tcW w:w="2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845</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845</w:t>
            </w:r>
          </w:p>
        </w:tc>
        <w:tc>
          <w:tcPr>
            <w:tcW w:w="120" w:type="dxa"/>
            <w:vAlign w:val="bottom"/>
          </w:tcPr>
          <w:p>
            <w:pPr>
              <w:spacing w:after="0"/>
              <w:rPr>
                <w:sz w:val="19"/>
                <w:szCs w:val="19"/>
                <w:color w:val="auto"/>
              </w:rPr>
            </w:pPr>
          </w:p>
        </w:tc>
      </w:tr>
      <w:tr>
        <w:trPr>
          <w:trHeight w:val="229"/>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3.75%</w:t>
            </w:r>
          </w:p>
        </w:tc>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2024</w:t>
            </w:r>
          </w:p>
        </w:tc>
        <w:tc>
          <w:tcPr>
            <w:tcW w:w="25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746</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746</w:t>
            </w:r>
          </w:p>
        </w:tc>
        <w:tc>
          <w:tcPr>
            <w:tcW w:w="120" w:type="dxa"/>
            <w:vAlign w:val="bottom"/>
            <w:shd w:val="clear" w:color="auto" w:fill="CFF0FC"/>
          </w:tcPr>
          <w:p>
            <w:pPr>
              <w:spacing w:after="0"/>
              <w:rPr>
                <w:sz w:val="19"/>
                <w:szCs w:val="19"/>
                <w:color w:val="auto"/>
              </w:rPr>
            </w:pPr>
          </w:p>
        </w:tc>
      </w:tr>
      <w:tr>
        <w:trPr>
          <w:trHeight w:val="229"/>
        </w:trPr>
        <w:tc>
          <w:tcPr>
            <w:tcW w:w="500" w:type="dxa"/>
            <w:vAlign w:val="bottom"/>
          </w:tcPr>
          <w:p>
            <w:pPr>
              <w:spacing w:after="0"/>
              <w:rPr>
                <w:sz w:val="20"/>
                <w:szCs w:val="20"/>
                <w:color w:val="auto"/>
              </w:rPr>
            </w:pPr>
            <w:r>
              <w:rPr>
                <w:rFonts w:ascii="Arial" w:cs="Arial" w:eastAsia="Arial" w:hAnsi="Arial"/>
                <w:sz w:val="18"/>
                <w:szCs w:val="18"/>
                <w:color w:val="auto"/>
                <w:w w:val="93"/>
              </w:rPr>
              <w:t>1.00%</w:t>
            </w:r>
          </w:p>
        </w:tc>
        <w:tc>
          <w:tcPr>
            <w:tcW w:w="4660" w:type="dxa"/>
            <w:vAlign w:val="bottom"/>
          </w:tcPr>
          <w:p>
            <w:pPr>
              <w:ind w:left="20"/>
              <w:spacing w:after="0"/>
              <w:rPr>
                <w:sz w:val="20"/>
                <w:szCs w:val="20"/>
                <w:color w:val="auto"/>
              </w:rPr>
            </w:pPr>
            <w:r>
              <w:rPr>
                <w:rFonts w:ascii="Arial" w:cs="Arial" w:eastAsia="Arial" w:hAnsi="Arial"/>
                <w:sz w:val="18"/>
                <w:szCs w:val="18"/>
                <w:color w:val="auto"/>
              </w:rPr>
              <w:t>Guaranteed Notes due 2026</w:t>
            </w:r>
          </w:p>
        </w:tc>
        <w:tc>
          <w:tcPr>
            <w:tcW w:w="2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671</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665</w:t>
            </w:r>
          </w:p>
        </w:tc>
        <w:tc>
          <w:tcPr>
            <w:tcW w:w="120" w:type="dxa"/>
            <w:vAlign w:val="bottom"/>
          </w:tcPr>
          <w:p>
            <w:pPr>
              <w:spacing w:after="0"/>
              <w:rPr>
                <w:sz w:val="19"/>
                <w:szCs w:val="19"/>
                <w:color w:val="auto"/>
              </w:rPr>
            </w:pPr>
          </w:p>
        </w:tc>
      </w:tr>
      <w:tr>
        <w:trPr>
          <w:trHeight w:val="230"/>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3.30%</w:t>
            </w:r>
          </w:p>
        </w:tc>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2021</w:t>
            </w:r>
          </w:p>
        </w:tc>
        <w:tc>
          <w:tcPr>
            <w:tcW w:w="25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664</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1,597</w:t>
            </w:r>
          </w:p>
        </w:tc>
        <w:tc>
          <w:tcPr>
            <w:tcW w:w="120" w:type="dxa"/>
            <w:vAlign w:val="bottom"/>
            <w:shd w:val="clear" w:color="auto" w:fill="CFF0FC"/>
          </w:tcPr>
          <w:p>
            <w:pPr>
              <w:spacing w:after="0"/>
              <w:rPr>
                <w:sz w:val="19"/>
                <w:szCs w:val="19"/>
                <w:color w:val="auto"/>
              </w:rPr>
            </w:pPr>
          </w:p>
        </w:tc>
      </w:tr>
      <w:tr>
        <w:trPr>
          <w:trHeight w:val="229"/>
        </w:trPr>
        <w:tc>
          <w:tcPr>
            <w:tcW w:w="500" w:type="dxa"/>
            <w:vAlign w:val="bottom"/>
          </w:tcPr>
          <w:p>
            <w:pPr>
              <w:spacing w:after="0"/>
              <w:rPr>
                <w:sz w:val="20"/>
                <w:szCs w:val="20"/>
                <w:color w:val="auto"/>
              </w:rPr>
            </w:pPr>
            <w:r>
              <w:rPr>
                <w:rFonts w:ascii="Arial" w:cs="Arial" w:eastAsia="Arial" w:hAnsi="Arial"/>
                <w:sz w:val="18"/>
                <w:szCs w:val="18"/>
                <w:color w:val="auto"/>
                <w:w w:val="93"/>
              </w:rPr>
              <w:t>2.65%</w:t>
            </w:r>
          </w:p>
        </w:tc>
        <w:tc>
          <w:tcPr>
            <w:tcW w:w="4660" w:type="dxa"/>
            <w:vAlign w:val="bottom"/>
          </w:tcPr>
          <w:p>
            <w:pPr>
              <w:ind w:left="20"/>
              <w:spacing w:after="0"/>
              <w:rPr>
                <w:sz w:val="20"/>
                <w:szCs w:val="20"/>
                <w:color w:val="auto"/>
              </w:rPr>
            </w:pPr>
            <w:r>
              <w:rPr>
                <w:rFonts w:ascii="Arial" w:cs="Arial" w:eastAsia="Arial" w:hAnsi="Arial"/>
                <w:sz w:val="18"/>
                <w:szCs w:val="18"/>
                <w:color w:val="auto"/>
              </w:rPr>
              <w:t>Senior Notes due 2022</w:t>
            </w:r>
          </w:p>
        </w:tc>
        <w:tc>
          <w:tcPr>
            <w:tcW w:w="2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598</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598</w:t>
            </w:r>
          </w:p>
        </w:tc>
        <w:tc>
          <w:tcPr>
            <w:tcW w:w="120" w:type="dxa"/>
            <w:vAlign w:val="bottom"/>
          </w:tcPr>
          <w:p>
            <w:pPr>
              <w:spacing w:after="0"/>
              <w:rPr>
                <w:sz w:val="19"/>
                <w:szCs w:val="19"/>
                <w:color w:val="auto"/>
              </w:rPr>
            </w:pPr>
          </w:p>
        </w:tc>
      </w:tr>
      <w:tr>
        <w:trPr>
          <w:trHeight w:val="230"/>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0.00%</w:t>
            </w:r>
          </w:p>
        </w:tc>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 due 2024</w:t>
            </w:r>
          </w:p>
        </w:tc>
        <w:tc>
          <w:tcPr>
            <w:tcW w:w="25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560</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w:t>
            </w:r>
          </w:p>
        </w:tc>
        <w:tc>
          <w:tcPr>
            <w:tcW w:w="120" w:type="dxa"/>
            <w:vAlign w:val="bottom"/>
            <w:shd w:val="clear" w:color="auto" w:fill="CFF0FC"/>
          </w:tcPr>
          <w:p>
            <w:pPr>
              <w:spacing w:after="0"/>
              <w:rPr>
                <w:sz w:val="19"/>
                <w:szCs w:val="19"/>
                <w:color w:val="auto"/>
              </w:rPr>
            </w:pPr>
          </w:p>
        </w:tc>
      </w:tr>
      <w:tr>
        <w:trPr>
          <w:trHeight w:val="229"/>
        </w:trPr>
        <w:tc>
          <w:tcPr>
            <w:tcW w:w="500" w:type="dxa"/>
            <w:vAlign w:val="bottom"/>
          </w:tcPr>
          <w:p>
            <w:pPr>
              <w:spacing w:after="0"/>
              <w:rPr>
                <w:sz w:val="20"/>
                <w:szCs w:val="20"/>
                <w:color w:val="auto"/>
              </w:rPr>
            </w:pPr>
            <w:r>
              <w:rPr>
                <w:rFonts w:ascii="Arial" w:cs="Arial" w:eastAsia="Arial" w:hAnsi="Arial"/>
                <w:sz w:val="18"/>
                <w:szCs w:val="18"/>
                <w:color w:val="auto"/>
                <w:w w:val="93"/>
              </w:rPr>
              <w:t>3.63%</w:t>
            </w:r>
          </w:p>
        </w:tc>
        <w:tc>
          <w:tcPr>
            <w:tcW w:w="4660" w:type="dxa"/>
            <w:vAlign w:val="bottom"/>
          </w:tcPr>
          <w:p>
            <w:pPr>
              <w:ind w:left="20"/>
              <w:spacing w:after="0"/>
              <w:rPr>
                <w:sz w:val="20"/>
                <w:szCs w:val="20"/>
                <w:color w:val="auto"/>
              </w:rPr>
            </w:pPr>
            <w:r>
              <w:rPr>
                <w:rFonts w:ascii="Arial" w:cs="Arial" w:eastAsia="Arial" w:hAnsi="Arial"/>
                <w:sz w:val="18"/>
                <w:szCs w:val="18"/>
                <w:color w:val="auto"/>
              </w:rPr>
              <w:t>Senior Notes due 2022</w:t>
            </w:r>
          </w:p>
        </w:tc>
        <w:tc>
          <w:tcPr>
            <w:tcW w:w="2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295</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19"/>
                <w:szCs w:val="19"/>
                <w:color w:val="auto"/>
              </w:rPr>
            </w:pPr>
          </w:p>
        </w:tc>
      </w:tr>
      <w:tr>
        <w:trPr>
          <w:trHeight w:val="229"/>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7.00%</w:t>
            </w:r>
          </w:p>
        </w:tc>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 due 2038</w:t>
            </w:r>
          </w:p>
        </w:tc>
        <w:tc>
          <w:tcPr>
            <w:tcW w:w="25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207</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FF0FC"/>
          </w:tcPr>
          <w:p>
            <w:pPr>
              <w:spacing w:after="0"/>
              <w:rPr>
                <w:sz w:val="19"/>
                <w:szCs w:val="19"/>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w w:val="93"/>
              </w:rPr>
              <w:t>5.95%</w:t>
            </w:r>
          </w:p>
        </w:tc>
        <w:tc>
          <w:tcPr>
            <w:tcW w:w="4660" w:type="dxa"/>
            <w:vAlign w:val="bottom"/>
          </w:tcPr>
          <w:p>
            <w:pPr>
              <w:ind w:left="20"/>
              <w:spacing w:after="0"/>
              <w:rPr>
                <w:sz w:val="20"/>
                <w:szCs w:val="20"/>
                <w:color w:val="auto"/>
              </w:rPr>
            </w:pPr>
            <w:r>
              <w:rPr>
                <w:rFonts w:ascii="Arial" w:cs="Arial" w:eastAsia="Arial" w:hAnsi="Arial"/>
                <w:sz w:val="18"/>
                <w:szCs w:val="18"/>
                <w:color w:val="auto"/>
              </w:rPr>
              <w:t>Notes due 2041</w:t>
            </w:r>
          </w:p>
        </w:tc>
        <w:tc>
          <w:tcPr>
            <w:tcW w:w="2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114</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9"/>
                <w:szCs w:val="19"/>
                <w:color w:val="auto"/>
              </w:rPr>
            </w:pPr>
          </w:p>
        </w:tc>
      </w:tr>
      <w:tr>
        <w:trPr>
          <w:trHeight w:val="229"/>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5.13%</w:t>
            </w:r>
          </w:p>
        </w:tc>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 due 2043</w:t>
            </w:r>
          </w:p>
        </w:tc>
        <w:tc>
          <w:tcPr>
            <w:tcW w:w="25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99</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FF0FC"/>
          </w:tcPr>
          <w:p>
            <w:pPr>
              <w:spacing w:after="0"/>
              <w:rPr>
                <w:sz w:val="19"/>
                <w:szCs w:val="19"/>
                <w:color w:val="auto"/>
              </w:rPr>
            </w:pPr>
          </w:p>
        </w:tc>
      </w:tr>
      <w:tr>
        <w:trPr>
          <w:trHeight w:val="229"/>
        </w:trPr>
        <w:tc>
          <w:tcPr>
            <w:tcW w:w="500" w:type="dxa"/>
            <w:vAlign w:val="bottom"/>
          </w:tcPr>
          <w:p>
            <w:pPr>
              <w:spacing w:after="0"/>
              <w:rPr>
                <w:sz w:val="20"/>
                <w:szCs w:val="20"/>
                <w:color w:val="auto"/>
              </w:rPr>
            </w:pPr>
            <w:r>
              <w:rPr>
                <w:rFonts w:ascii="Arial" w:cs="Arial" w:eastAsia="Arial" w:hAnsi="Arial"/>
                <w:sz w:val="18"/>
                <w:szCs w:val="18"/>
                <w:color w:val="auto"/>
                <w:w w:val="93"/>
              </w:rPr>
              <w:t>4.00%</w:t>
            </w:r>
          </w:p>
        </w:tc>
        <w:tc>
          <w:tcPr>
            <w:tcW w:w="4660" w:type="dxa"/>
            <w:vAlign w:val="bottom"/>
          </w:tcPr>
          <w:p>
            <w:pPr>
              <w:ind w:left="20"/>
              <w:spacing w:after="0"/>
              <w:rPr>
                <w:sz w:val="20"/>
                <w:szCs w:val="20"/>
                <w:color w:val="auto"/>
              </w:rPr>
            </w:pPr>
            <w:r>
              <w:rPr>
                <w:rFonts w:ascii="Arial" w:cs="Arial" w:eastAsia="Arial" w:hAnsi="Arial"/>
                <w:sz w:val="18"/>
                <w:szCs w:val="18"/>
                <w:color w:val="auto"/>
              </w:rPr>
              <w:t>Notes due 2023</w:t>
            </w:r>
          </w:p>
        </w:tc>
        <w:tc>
          <w:tcPr>
            <w:tcW w:w="2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81</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9"/>
                <w:szCs w:val="19"/>
                <w:color w:val="auto"/>
              </w:rPr>
            </w:pPr>
          </w:p>
        </w:tc>
      </w:tr>
      <w:tr>
        <w:trPr>
          <w:trHeight w:val="230"/>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3.70%</w:t>
            </w:r>
          </w:p>
        </w:tc>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 due 2024</w:t>
            </w:r>
          </w:p>
        </w:tc>
        <w:tc>
          <w:tcPr>
            <w:tcW w:w="25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55</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FF0FC"/>
          </w:tcPr>
          <w:p>
            <w:pPr>
              <w:spacing w:after="0"/>
              <w:rPr>
                <w:sz w:val="19"/>
                <w:szCs w:val="19"/>
                <w:color w:val="auto"/>
              </w:rPr>
            </w:pPr>
          </w:p>
        </w:tc>
      </w:tr>
      <w:tr>
        <w:trPr>
          <w:trHeight w:val="229"/>
        </w:trPr>
        <w:tc>
          <w:tcPr>
            <w:tcW w:w="500" w:type="dxa"/>
            <w:vAlign w:val="bottom"/>
          </w:tcPr>
          <w:p>
            <w:pPr>
              <w:spacing w:after="0"/>
              <w:rPr>
                <w:sz w:val="20"/>
                <w:szCs w:val="20"/>
                <w:color w:val="auto"/>
              </w:rPr>
            </w:pPr>
            <w:r>
              <w:rPr>
                <w:rFonts w:ascii="Arial" w:cs="Arial" w:eastAsia="Arial" w:hAnsi="Arial"/>
                <w:sz w:val="18"/>
                <w:szCs w:val="18"/>
                <w:color w:val="auto"/>
                <w:w w:val="93"/>
              </w:rPr>
              <w:t>4.20%</w:t>
            </w:r>
          </w:p>
        </w:tc>
        <w:tc>
          <w:tcPr>
            <w:tcW w:w="4660" w:type="dxa"/>
            <w:vAlign w:val="bottom"/>
          </w:tcPr>
          <w:p>
            <w:pPr>
              <w:ind w:left="20"/>
              <w:spacing w:after="0"/>
              <w:rPr>
                <w:sz w:val="20"/>
                <w:szCs w:val="20"/>
                <w:color w:val="auto"/>
              </w:rPr>
            </w:pPr>
            <w:r>
              <w:rPr>
                <w:rFonts w:ascii="Arial" w:cs="Arial" w:eastAsia="Arial" w:hAnsi="Arial"/>
                <w:sz w:val="18"/>
                <w:szCs w:val="18"/>
                <w:color w:val="auto"/>
              </w:rPr>
              <w:t>Senior Notes due 2021</w:t>
            </w:r>
          </w:p>
        </w:tc>
        <w:tc>
          <w:tcPr>
            <w:tcW w:w="2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19"/>
                <w:szCs w:val="19"/>
                <w:color w:val="auto"/>
              </w:rPr>
            </w:pPr>
          </w:p>
        </w:tc>
      </w:tr>
      <w:tr>
        <w:trPr>
          <w:trHeight w:val="230"/>
        </w:trPr>
        <w:tc>
          <w:tcPr>
            <w:tcW w:w="5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Commercial paper borrowings</w:t>
            </w:r>
          </w:p>
        </w:tc>
        <w:tc>
          <w:tcPr>
            <w:tcW w:w="25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1,812</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2,222</w:t>
            </w:r>
          </w:p>
        </w:tc>
        <w:tc>
          <w:tcPr>
            <w:tcW w:w="120" w:type="dxa"/>
            <w:vAlign w:val="bottom"/>
            <w:shd w:val="clear" w:color="auto" w:fill="CFF0FC"/>
          </w:tcPr>
          <w:p>
            <w:pPr>
              <w:spacing w:after="0"/>
              <w:rPr>
                <w:sz w:val="19"/>
                <w:szCs w:val="19"/>
                <w:color w:val="auto"/>
              </w:rPr>
            </w:pPr>
          </w:p>
        </w:tc>
      </w:tr>
      <w:tr>
        <w:trPr>
          <w:trHeight w:val="230"/>
        </w:trPr>
        <w:tc>
          <w:tcPr>
            <w:tcW w:w="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4660" w:type="dxa"/>
            <w:vAlign w:val="bottom"/>
            <w:tcBorders>
              <w:bottom w:val="single" w:sz="8" w:color="CFF0FC"/>
            </w:tcBorders>
          </w:tcPr>
          <w:p>
            <w:pPr>
              <w:spacing w:after="0"/>
              <w:rPr>
                <w:sz w:val="19"/>
                <w:szCs w:val="19"/>
                <w:color w:val="auto"/>
              </w:rPr>
            </w:pPr>
          </w:p>
        </w:tc>
        <w:tc>
          <w:tcPr>
            <w:tcW w:w="25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FF0FC"/>
            </w:tcBorders>
          </w:tcPr>
          <w:p>
            <w:pPr>
              <w:spacing w:after="0"/>
              <w:rPr>
                <w:sz w:val="19"/>
                <w:szCs w:val="19"/>
                <w:color w:val="auto"/>
              </w:rPr>
            </w:pPr>
          </w:p>
        </w:tc>
      </w:tr>
      <w:tr>
        <w:trPr>
          <w:trHeight w:val="223"/>
        </w:trPr>
        <w:tc>
          <w:tcPr>
            <w:tcW w:w="500" w:type="dxa"/>
            <w:vAlign w:val="bottom"/>
            <w:tcBorders>
              <w:bottom w:val="single" w:sz="8" w:color="CFF0FC"/>
            </w:tcBorders>
            <w:shd w:val="clear" w:color="auto" w:fill="CFF0FC"/>
          </w:tcPr>
          <w:p>
            <w:pPr>
              <w:spacing w:after="0"/>
              <w:rPr>
                <w:sz w:val="19"/>
                <w:szCs w:val="19"/>
                <w:color w:val="auto"/>
              </w:rPr>
            </w:pPr>
          </w:p>
        </w:tc>
        <w:tc>
          <w:tcPr>
            <w:tcW w:w="4660" w:type="dxa"/>
            <w:vAlign w:val="bottom"/>
            <w:tcBorders>
              <w:bottom w:val="single" w:sz="8" w:color="CFF0FC"/>
            </w:tcBorders>
            <w:shd w:val="clear" w:color="auto" w:fill="CFF0FC"/>
          </w:tcPr>
          <w:p>
            <w:pPr>
              <w:spacing w:after="0"/>
              <w:rPr>
                <w:sz w:val="19"/>
                <w:szCs w:val="19"/>
                <w:color w:val="auto"/>
              </w:rPr>
            </w:pPr>
          </w:p>
        </w:tc>
        <w:tc>
          <w:tcPr>
            <w:tcW w:w="25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16,763</w:t>
            </w:r>
          </w:p>
        </w:tc>
        <w:tc>
          <w:tcPr>
            <w:tcW w:w="2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14,770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0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The estimate</w:t>
      </w:r>
      <w:r>
        <w:rPr>
          <w:rFonts w:ascii="Arial" w:cs="Arial" w:eastAsia="Arial" w:hAnsi="Arial"/>
          <w:sz w:val="17"/>
          <w:szCs w:val="17"/>
          <w:color w:val="auto"/>
        </w:rPr>
        <w:t>d fair value of Schlumberger’s</w:t>
      </w:r>
      <w:r>
        <w:rPr>
          <w:rFonts w:ascii="Arial" w:cs="Arial" w:eastAsia="Arial" w:hAnsi="Arial"/>
          <w:sz w:val="16"/>
          <w:szCs w:val="16"/>
          <w:color w:val="auto"/>
        </w:rPr>
        <w:t xml:space="preserve"> </w:t>
      </w:r>
      <w:r>
        <w:rPr>
          <w:rFonts w:ascii="Arial" w:cs="Arial" w:eastAsia="Arial" w:hAnsi="Arial"/>
          <w:sz w:val="17"/>
          <w:szCs w:val="17"/>
          <w:i w:val="1"/>
          <w:iCs w:val="1"/>
          <w:color w:val="auto"/>
        </w:rPr>
        <w:t>Long-term Debt,</w:t>
      </w:r>
      <w:r>
        <w:rPr>
          <w:rFonts w:ascii="Arial" w:cs="Arial" w:eastAsia="Arial" w:hAnsi="Arial"/>
          <w:sz w:val="16"/>
          <w:szCs w:val="16"/>
          <w:color w:val="auto"/>
        </w:rPr>
        <w:t xml:space="preserve"> </w:t>
      </w:r>
      <w:r>
        <w:rPr>
          <w:rFonts w:ascii="Arial" w:cs="Arial" w:eastAsia="Arial" w:hAnsi="Arial"/>
          <w:sz w:val="17"/>
          <w:szCs w:val="17"/>
          <w:color w:val="auto"/>
        </w:rPr>
        <w:t>based on quoted market prices at June 30, 2020 and December 31, 2019, was $17.3 billion and</w:t>
      </w:r>
      <w:r>
        <w:rPr>
          <w:rFonts w:ascii="Arial" w:cs="Arial" w:eastAsia="Arial" w:hAnsi="Arial"/>
          <w:sz w:val="16"/>
          <w:szCs w:val="16"/>
          <w:color w:val="auto"/>
        </w:rPr>
        <w:t xml:space="preserve"> </w:t>
      </w:r>
      <w:r>
        <w:rPr>
          <w:rFonts w:ascii="Arial" w:cs="Arial" w:eastAsia="Arial" w:hAnsi="Arial"/>
          <w:sz w:val="17"/>
          <w:szCs w:val="17"/>
          <w:color w:val="auto"/>
        </w:rPr>
        <w:t>$15.3 billion, respectively.</w:t>
      </w:r>
    </w:p>
    <w:p>
      <w:pPr>
        <w:spacing w:after="0" w:line="146"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During the second quarter of 2020, Schlumberger entered into a €1.54 billion committed revolving credit facility. This one-year facility can be extended at Schlumberger’s option for up to an additional year. No amounts have been drawn under this facility</w:t>
      </w:r>
      <w:r>
        <w:rPr>
          <w:rFonts w:ascii="Arial" w:cs="Arial" w:eastAsia="Arial" w:hAnsi="Arial"/>
          <w:sz w:val="21"/>
          <w:szCs w:val="21"/>
          <w:color w:val="auto"/>
        </w:rPr>
        <w:t>.</w:t>
      </w:r>
    </w:p>
    <w:p>
      <w:pPr>
        <w:spacing w:after="0" w:line="1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June 30, 2020, Schlumberger had separate committed credit facility agreements aggregating $7.98 billion with commercial banks, of which $6.17 billion was available and unused. These committed facilities support commercial paper programs in the United States and Europe, of which $1.73 billion matures in April 2021, $2.75 billion matures in February 2023, $1.5 billion matures in July 2024 and $2.0 billion matures in February 2025. Interest rates and other terms of borrowing under these lines of credit vary by facility.</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Borrowings under the commercial paper programs at June 30, 2020 were $1.81 billion, all of which was classified in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Balance </w:t>
      </w:r>
      <w:r>
        <w:rPr>
          <w:rFonts w:ascii="Arial" w:cs="Arial" w:eastAsia="Arial" w:hAnsi="Arial"/>
          <w:sz w:val="18"/>
          <w:szCs w:val="18"/>
          <w:color w:val="auto"/>
        </w:rPr>
        <w:t>Sheet. At December 31, 2019, borrowings under the commercial paper programs were $2.22 billion, all of which was classified in</w:t>
      </w:r>
      <w:r>
        <w:rPr>
          <w:rFonts w:ascii="Arial" w:cs="Arial" w:eastAsia="Arial" w:hAnsi="Arial"/>
          <w:sz w:val="18"/>
          <w:szCs w:val="18"/>
          <w:i w:val="1"/>
          <w:iCs w:val="1"/>
          <w:color w:val="auto"/>
        </w:rPr>
        <w:t xml:space="preserve"> Long-term debt </w:t>
      </w:r>
      <w:r>
        <w:rPr>
          <w:rFonts w:ascii="Arial" w:cs="Arial" w:eastAsia="Arial" w:hAnsi="Arial"/>
          <w:sz w:val="18"/>
          <w:szCs w:val="18"/>
          <w:color w:val="auto"/>
        </w:rPr>
        <w:t xml:space="preserve">in the </w:t>
      </w:r>
      <w:r>
        <w:rPr>
          <w:rFonts w:ascii="Arial" w:cs="Arial" w:eastAsia="Arial" w:hAnsi="Arial"/>
          <w:sz w:val="18"/>
          <w:szCs w:val="18"/>
          <w:i w:val="1"/>
          <w:iCs w:val="1"/>
          <w:color w:val="auto"/>
        </w:rPr>
        <w:t>Consolidated Balance Sheet</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quarter of 2020, Schlumberger issued €400 million of 0.25% Notes due 2027 and €400 million of 0.50% Notes due 2031.</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second quarter of 2020, Schlumberger issued €1.0 billion of 1.375% Guaranteed Notes due 2026, $900 million of 2.65% Senior Notes due 2030 and €1.0 billion of 2.00% Guaranteed Notes due 2032.</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4" w:name="page15"/>
    <w:bookmarkEnd w:id="14"/>
    <w:p>
      <w:pPr>
        <w:jc w:val="both"/>
        <w:spacing w:after="0" w:line="263" w:lineRule="auto"/>
        <w:rPr>
          <w:sz w:val="20"/>
          <w:szCs w:val="20"/>
          <w:color w:val="auto"/>
        </w:rPr>
      </w:pPr>
      <w:r>
        <w:rPr>
          <w:rFonts w:ascii="Arial" w:cs="Arial" w:eastAsia="Arial" w:hAnsi="Arial"/>
          <w:sz w:val="18"/>
          <w:szCs w:val="18"/>
          <w:color w:val="auto"/>
        </w:rPr>
        <w:t xml:space="preserve">During the second quarter of 2020, Schlumberger repurchased all $600 million of its 4.20% Senior Notes due 2021 and $935 million of its 3.30% Senior Notes due 2021. Schlumberger paid a premium of approximately $40 million in connection with these repurchases. This premium was classified in </w:t>
      </w:r>
      <w:r>
        <w:rPr>
          <w:rFonts w:ascii="Arial" w:cs="Arial" w:eastAsia="Arial" w:hAnsi="Arial"/>
          <w:sz w:val="18"/>
          <w:szCs w:val="18"/>
          <w:i w:val="1"/>
          <w:iCs w:val="1"/>
          <w:color w:val="auto"/>
        </w:rPr>
        <w:t xml:space="preserve">Impairments &amp; other </w:t>
      </w:r>
      <w:r>
        <w:rPr>
          <w:rFonts w:ascii="Arial" w:cs="Arial" w:eastAsia="Arial" w:hAnsi="Arial"/>
          <w:sz w:val="18"/>
          <w:szCs w:val="18"/>
          <w:color w:val="auto"/>
        </w:rPr>
        <w:t>in the</w:t>
      </w:r>
      <w:r>
        <w:rPr>
          <w:rFonts w:ascii="Arial" w:cs="Arial" w:eastAsia="Arial" w:hAnsi="Arial"/>
          <w:sz w:val="18"/>
          <w:szCs w:val="18"/>
          <w:i w:val="1"/>
          <w:iCs w:val="1"/>
          <w:color w:val="auto"/>
        </w:rPr>
        <w:t xml:space="preserve"> Consolidated Statement of Income (Loss)</w:t>
      </w:r>
      <w:r>
        <w:rPr>
          <w:rFonts w:ascii="Arial" w:cs="Arial" w:eastAsia="Arial" w:hAnsi="Arial"/>
          <w:sz w:val="18"/>
          <w:szCs w:val="18"/>
          <w:color w:val="auto"/>
        </w:rPr>
        <w:t>. See Note 2 –</w:t>
      </w:r>
      <w:r>
        <w:rPr>
          <w:rFonts w:ascii="Arial" w:cs="Arial" w:eastAsia="Arial" w:hAnsi="Arial"/>
          <w:sz w:val="18"/>
          <w:szCs w:val="18"/>
          <w:i w:val="1"/>
          <w:iCs w:val="1"/>
          <w:color w:val="auto"/>
        </w:rPr>
        <w:t xml:space="preserve"> Charge and Credits</w:t>
      </w:r>
      <w:r>
        <w:rPr>
          <w:rFonts w:ascii="Arial" w:cs="Arial" w:eastAsia="Arial" w:hAnsi="Arial"/>
          <w:sz w:val="18"/>
          <w:szCs w:val="18"/>
          <w:color w:val="auto"/>
        </w:rPr>
        <w: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second quarter of 2020, Schlumberger established a €5.0 billion Guaranteed Euro Medium Term Note program that provides for the issuance of various types of debt instruments such as fixed or floating rate notes in euro, US dollar or other currencies. Schlumberger has not issued any debt under this program.</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Schlumberger Limited fully and unconditionally guarantees the securities issued by certain of its subsidiaries, including securities issued by Schlumberger Investment SA, a wholly-owned subsidiary of Schlumberger.</w:t>
      </w:r>
    </w:p>
    <w:p>
      <w:pPr>
        <w:spacing w:after="0" w:line="274" w:lineRule="exact"/>
        <w:rPr>
          <w:sz w:val="20"/>
          <w:szCs w:val="20"/>
          <w:color w:val="auto"/>
        </w:rPr>
      </w:pPr>
    </w:p>
    <w:p>
      <w:pPr>
        <w:ind w:left="360" w:hanging="352"/>
        <w:spacing w:after="0"/>
        <w:tabs>
          <w:tab w:leader="none" w:pos="3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Instruments and Hedging Activities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Schlumberger is exposed to market risks related to fluctuations in foreign currency exchange rates and interest rates. To mitigate these risks, Schlumberger utilizes derivative instruments. Schlumberger does not enter into derivative transactions for speculative purposes.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Schlumberger is subject to interest rate risk on its debt and its investment portfolio. Schlumberger maintains an interest rate risk management strategy that uses a mix of variable and fixed rate debt combined with its investment portfolio, to mitigate the exposure to changes in interest rates.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At June 30, 2020, Schlumberger had fixed rate debt aggregating $15.5 billion and variable rate debt aggregating $1.9 billion.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multinational company, Schlumberger generates revenue in more than 120 countries. Schlumberger’s functional currency is primarily the US dollar. However, outside the United States, a significant portion of Schlumberger’s expenses are incurred in foreign currencies. Therefore, when the US dollar weakens (strengthens) in relation to the foreign currencies of the countries in which Schlumberger conducts business, the US dollar-reported expenses will increase (decrease).</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Schlumberger is exposed to risks on future cash flows to the extent that the local currency is not the functional currency and expenses denominated in local currency are not equal to revenues denominated in local currency. Schlumberger uses foreign currency forward contracts to provide a hedge against a portion of these cash flow risks. These contracts are accounted for as cash flow hedges, with the changes in the fair value of the hedge recorded on the </w:t>
      </w:r>
      <w:r>
        <w:rPr>
          <w:rFonts w:ascii="Arial" w:cs="Arial" w:eastAsia="Arial" w:hAnsi="Arial"/>
          <w:sz w:val="17"/>
          <w:szCs w:val="17"/>
          <w:i w:val="1"/>
          <w:iCs w:val="1"/>
          <w:color w:val="auto"/>
        </w:rPr>
        <w:t xml:space="preserve">Consolidated Balance Sheet </w:t>
      </w:r>
      <w:r>
        <w:rPr>
          <w:rFonts w:ascii="Arial" w:cs="Arial" w:eastAsia="Arial" w:hAnsi="Arial"/>
          <w:sz w:val="17"/>
          <w:szCs w:val="17"/>
          <w:color w:val="auto"/>
        </w:rPr>
        <w:t>and in</w:t>
      </w:r>
      <w:r>
        <w:rPr>
          <w:rFonts w:ascii="Arial" w:cs="Arial" w:eastAsia="Arial" w:hAnsi="Arial"/>
          <w:sz w:val="17"/>
          <w:szCs w:val="17"/>
          <w:i w:val="1"/>
          <w:iCs w:val="1"/>
          <w:color w:val="auto"/>
        </w:rPr>
        <w:t xml:space="preserve"> Accumulated Other Comprehensive Loss. </w:t>
      </w:r>
      <w:r>
        <w:rPr>
          <w:rFonts w:ascii="Arial" w:cs="Arial" w:eastAsia="Arial" w:hAnsi="Arial"/>
          <w:sz w:val="17"/>
          <w:szCs w:val="17"/>
          <w:color w:val="auto"/>
        </w:rPr>
        <w:t>Amounts recorded in</w:t>
      </w:r>
      <w:r>
        <w:rPr>
          <w:rFonts w:ascii="Arial" w:cs="Arial" w:eastAsia="Arial" w:hAnsi="Arial"/>
          <w:sz w:val="17"/>
          <w:szCs w:val="17"/>
          <w:i w:val="1"/>
          <w:iCs w:val="1"/>
          <w:color w:val="auto"/>
        </w:rPr>
        <w:t xml:space="preserve"> Accumulated Other Comprehensive Loss </w:t>
      </w:r>
      <w:r>
        <w:rPr>
          <w:rFonts w:ascii="Arial" w:cs="Arial" w:eastAsia="Arial" w:hAnsi="Arial"/>
          <w:sz w:val="17"/>
          <w:szCs w:val="17"/>
          <w:color w:val="auto"/>
        </w:rPr>
        <w:t>are</w:t>
      </w:r>
      <w:r>
        <w:rPr>
          <w:rFonts w:ascii="Arial" w:cs="Arial" w:eastAsia="Arial" w:hAnsi="Arial"/>
          <w:sz w:val="17"/>
          <w:szCs w:val="17"/>
          <w:i w:val="1"/>
          <w:iCs w:val="1"/>
          <w:color w:val="auto"/>
        </w:rPr>
        <w:t xml:space="preserve"> </w:t>
      </w:r>
      <w:r>
        <w:rPr>
          <w:rFonts w:ascii="Arial" w:cs="Arial" w:eastAsia="Arial" w:hAnsi="Arial"/>
          <w:sz w:val="17"/>
          <w:szCs w:val="17"/>
          <w:color w:val="auto"/>
        </w:rPr>
        <w:t>reclassified into earnings in the same period or periods that the hedged item is recognized in earnings.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Schlumberger is also exposed to risks on future cash flows relating to certain of its fixed rate debt denominated in currencies other than the functional currency. Schlumberger uses cross-currency swaps to provide a hedge against these cash flow risks.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2017, a Canadian-dollar functional currency subsidiary of Schlumberger issued $1.1 billion of US-dollar denominated debt. Schlumberger entered into cross-currency swaps for an aggregate notional amount of $1.1 billion in order to hedge changes in the fair value of its $0.5 billion of 2.20% Senior Notes due 2020 and its $0.6 billion of 2.65% Senior Notes due 2022. These cross-currency swaps effectively convert the US-dollar denominated notes to Canadian-dollar denominated debt with fixed annual interest rates of 1.97% and 2.52%, respectively.</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2019, a US-dollar functional currency subsidiary of Schlumberger issued €1.5 billion of Euro-denominated debt. Schlumberger entered into cross-currency swaps for an aggregate notional amount of €1.5 billion in order to hedge changes in the fair value of its €0.5 billion 0.00% Notes due 2024, €0.5 billion 0.25% Notes due 2027 and €0.5 billion 0.50% Notes due 2031. These cross-currency swaps effectively convert the Euro-denominated notes to US-dollar denominated debt with fixed annual interest rates of 2.29%, 2.51% and 2.76%, respectively.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first quarter of 2020, a US-dollar functional currency subsidiary of Schlumberger issued €0.8 billion of Euro-denominated debt. Schlumberger entered into cross-currency swaps for an aggregate notional amount of €0.8 billion in order to hedge changes in the fair value of its €0.4 billion of 0.25% Notes due 2027 and €0.4 billion of 0.50% Notes due 2031. These cross-currency swaps effectively convert the Euro-denominated notes to US-dollar denominated debt with fixed annual interest rates of 1.87% and 2.20%, respectively.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jc w:val="both"/>
        <w:spacing w:after="0" w:line="255" w:lineRule="auto"/>
        <w:rPr>
          <w:sz w:val="20"/>
          <w:szCs w:val="20"/>
          <w:color w:val="auto"/>
        </w:rPr>
      </w:pPr>
      <w:r>
        <w:rPr>
          <w:rFonts w:ascii="Arial" w:cs="Arial" w:eastAsia="Arial" w:hAnsi="Arial"/>
          <w:sz w:val="18"/>
          <w:szCs w:val="18"/>
          <w:color w:val="auto"/>
        </w:rPr>
        <w:t>During the second quarter of 2020, a US-dollar functional currency subsidiary of Schlumberger issued €2.0 billion of Euro-denominated debt. Schlumberger entered into cross-currency swaps for an aggregate notional amount of €1.6 billion in order to hedge changes in the fair value of its €1.0 billion of 1.375% Guaranteed Notes due 2026 and €0.6 billion of 2.00% Guaranteed Notes due 2032. These cross-currency swaps effectively convert the swapped portion of the Euro-denominated notes to US-dollar denominated debt with fixed annual interest rates of 2.77% and 3.45%, respectively. Schlumberger hedged its exposure to currency fluctuations on the remaining €0.4 billion of Euro-denominated debt issued by using foreign currency forward contracts that are not designated as hedges for accounting purposes.</w:t>
      </w:r>
    </w:p>
    <w:p>
      <w:pPr>
        <w:spacing w:after="0" w:line="19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Schlumberger is exposed to changes in the fair value of assets and liabilities that are denominated in currencies other than the functional currency. While Schlumberger uses foreign currency forward contracts and foreign currency options to economically hedge this exposure as it relates to certain currencies, these contracts are not designated as hedges for accounting purposes. Instead, the fair value of the contracts is recorded on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and changes in the fair value are recognized in the </w:t>
      </w:r>
      <w:r>
        <w:rPr>
          <w:rFonts w:ascii="Arial" w:cs="Arial" w:eastAsia="Arial" w:hAnsi="Arial"/>
          <w:sz w:val="16"/>
          <w:szCs w:val="16"/>
          <w:i w:val="1"/>
          <w:iCs w:val="1"/>
          <w:color w:val="auto"/>
        </w:rPr>
        <w:t>Consolidated Statement of Income (Loss)</w:t>
      </w:r>
      <w:r>
        <w:rPr>
          <w:rFonts w:ascii="Arial" w:cs="Arial" w:eastAsia="Arial" w:hAnsi="Arial"/>
          <w:sz w:val="16"/>
          <w:szCs w:val="16"/>
          <w:color w:val="auto"/>
        </w:rPr>
        <w:t xml:space="preserve"> as are changes in fair value of the hedged item.</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2020, contracts were outstanding for the US dollar equivalent of $9.8 billion in various foreign currencies, of which $6.0 billion relates to hedges of debt denominated in currencies other than the functional currency.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At June 30, 2020, Schlumberger recognized a cumulative $260 million loss in </w:t>
      </w:r>
      <w:r>
        <w:rPr>
          <w:rFonts w:ascii="Arial" w:cs="Arial" w:eastAsia="Arial" w:hAnsi="Arial"/>
          <w:sz w:val="18"/>
          <w:szCs w:val="18"/>
          <w:i w:val="1"/>
          <w:iCs w:val="1"/>
          <w:color w:val="auto"/>
        </w:rPr>
        <w:t>Accumulated Other Comprehensive Loss</w:t>
      </w:r>
      <w:r>
        <w:rPr>
          <w:rFonts w:ascii="Arial" w:cs="Arial" w:eastAsia="Arial" w:hAnsi="Arial"/>
          <w:sz w:val="18"/>
          <w:szCs w:val="18"/>
          <w:color w:val="auto"/>
        </w:rPr>
        <w:t xml:space="preserve"> relating to changes in the fair value of foreign currency forward contracts and cross-currency swaps.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effect of derivative instruments designated as fair value and cash flow hedges, and those not designated as hedges, on the </w:t>
      </w:r>
      <w:r>
        <w:rPr>
          <w:rFonts w:ascii="Arial" w:cs="Arial" w:eastAsia="Arial" w:hAnsi="Arial"/>
          <w:sz w:val="16"/>
          <w:szCs w:val="16"/>
          <w:i w:val="1"/>
          <w:iCs w:val="1"/>
          <w:color w:val="auto"/>
        </w:rPr>
        <w:t>Consolidated Statement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Income (Loss) </w:t>
      </w:r>
      <w:r>
        <w:rPr>
          <w:rFonts w:ascii="Arial" w:cs="Arial" w:eastAsia="Arial" w:hAnsi="Arial"/>
          <w:sz w:val="18"/>
          <w:szCs w:val="18"/>
          <w:color w:val="auto"/>
        </w:rPr>
        <w:t>was as follows: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gridSpan w:val="4"/>
          </w:tcPr>
          <w:p>
            <w:pPr>
              <w:jc w:val="right"/>
              <w:ind w:right="240"/>
              <w:spacing w:after="0"/>
              <w:rPr>
                <w:sz w:val="20"/>
                <w:szCs w:val="20"/>
                <w:color w:val="auto"/>
              </w:rPr>
            </w:pPr>
            <w:r>
              <w:rPr>
                <w:rFonts w:ascii="Arial" w:cs="Arial" w:eastAsia="Arial" w:hAnsi="Arial"/>
                <w:sz w:val="14"/>
                <w:szCs w:val="14"/>
                <w:i w:val="1"/>
                <w:iCs w:val="1"/>
                <w:color w:val="auto"/>
                <w:w w:val="97"/>
              </w:rPr>
              <w:t>(Stated in millions)</w:t>
            </w:r>
          </w:p>
        </w:tc>
        <w:tc>
          <w:tcPr>
            <w:tcW w:w="3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7"/>
        </w:trPr>
        <w:tc>
          <w:tcPr>
            <w:tcW w:w="3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20" w:type="dxa"/>
            <w:vAlign w:val="bottom"/>
            <w:gridSpan w:val="6"/>
          </w:tcPr>
          <w:p>
            <w:pPr>
              <w:jc w:val="right"/>
              <w:ind w:right="288"/>
              <w:spacing w:after="0"/>
              <w:rPr>
                <w:sz w:val="20"/>
                <w:szCs w:val="20"/>
                <w:color w:val="auto"/>
              </w:rPr>
            </w:pPr>
            <w:r>
              <w:rPr>
                <w:rFonts w:ascii="Arial" w:cs="Arial" w:eastAsia="Arial" w:hAnsi="Arial"/>
                <w:sz w:val="16"/>
                <w:szCs w:val="16"/>
                <w:b w:val="1"/>
                <w:bCs w:val="1"/>
                <w:color w:val="auto"/>
                <w:w w:val="96"/>
              </w:rPr>
              <w:t>Gain (Loss) Recognized in</w:t>
            </w: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14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4"/>
          </w:tcPr>
          <w:p>
            <w:pPr>
              <w:jc w:val="right"/>
              <w:ind w:right="185"/>
              <w:spacing w:after="0"/>
              <w:rPr>
                <w:sz w:val="20"/>
                <w:szCs w:val="20"/>
                <w:color w:val="auto"/>
              </w:rPr>
            </w:pPr>
            <w:r>
              <w:rPr>
                <w:rFonts w:ascii="Arial" w:cs="Arial" w:eastAsia="Arial" w:hAnsi="Arial"/>
                <w:sz w:val="16"/>
                <w:szCs w:val="16"/>
                <w:b w:val="1"/>
                <w:bCs w:val="1"/>
                <w:color w:val="auto"/>
              </w:rPr>
              <w:t>Income (Loss)</w:t>
            </w: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140" w:type="dxa"/>
            <w:vAlign w:val="bottom"/>
          </w:tcPr>
          <w:p>
            <w:pPr>
              <w:spacing w:after="0"/>
              <w:rPr>
                <w:sz w:val="17"/>
                <w:szCs w:val="17"/>
                <w:color w:val="auto"/>
              </w:rPr>
            </w:pPr>
          </w:p>
        </w:tc>
        <w:tc>
          <w:tcPr>
            <w:tcW w:w="1800" w:type="dxa"/>
            <w:vAlign w:val="bottom"/>
            <w:tcBorders>
              <w:bottom w:val="single" w:sz="8" w:color="auto"/>
            </w:tcBorders>
            <w:gridSpan w:val="5"/>
          </w:tcPr>
          <w:p>
            <w:pPr>
              <w:jc w:val="right"/>
              <w:ind w:right="136"/>
              <w:spacing w:after="0"/>
              <w:rPr>
                <w:sz w:val="20"/>
                <w:szCs w:val="20"/>
                <w:color w:val="auto"/>
              </w:rPr>
            </w:pPr>
            <w:r>
              <w:rPr>
                <w:rFonts w:ascii="Arial" w:cs="Arial" w:eastAsia="Arial" w:hAnsi="Arial"/>
                <w:sz w:val="16"/>
                <w:szCs w:val="16"/>
                <w:b w:val="1"/>
                <w:bCs w:val="1"/>
                <w:color w:val="auto"/>
              </w:rPr>
              <w:t>Second Quarter</w:t>
            </w:r>
          </w:p>
        </w:tc>
        <w:tc>
          <w:tcPr>
            <w:tcW w:w="2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right"/>
              <w:ind w:right="305"/>
              <w:spacing w:after="0"/>
              <w:rPr>
                <w:sz w:val="20"/>
                <w:szCs w:val="20"/>
                <w:color w:val="auto"/>
              </w:rPr>
            </w:pPr>
            <w:r>
              <w:rPr>
                <w:rFonts w:ascii="Arial" w:cs="Arial" w:eastAsia="Arial" w:hAnsi="Arial"/>
                <w:sz w:val="16"/>
                <w:szCs w:val="16"/>
                <w:b w:val="1"/>
                <w:bCs w:val="1"/>
                <w:color w:val="auto"/>
                <w:w w:val="91"/>
              </w:rPr>
              <w:t>Six Months</w:t>
            </w:r>
          </w:p>
        </w:tc>
        <w:tc>
          <w:tcPr>
            <w:tcW w:w="2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140" w:type="dxa"/>
            <w:vAlign w:val="bottom"/>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2020</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2020</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80" w:type="dxa"/>
            <w:vAlign w:val="bottom"/>
          </w:tcPr>
          <w:p>
            <w:pPr>
              <w:spacing w:after="0"/>
              <w:rPr>
                <w:sz w:val="20"/>
                <w:szCs w:val="20"/>
                <w:color w:val="auto"/>
              </w:rPr>
            </w:pPr>
            <w:r>
              <w:rPr>
                <w:rFonts w:ascii="Arial" w:cs="Arial" w:eastAsia="Arial" w:hAnsi="Arial"/>
                <w:sz w:val="16"/>
                <w:szCs w:val="16"/>
                <w:color w:val="auto"/>
              </w:rPr>
              <w:t>Consolidated Statement of Income (Loss)</w:t>
            </w:r>
          </w:p>
        </w:tc>
        <w:tc>
          <w:tcPr>
            <w:tcW w:w="0" w:type="dxa"/>
            <w:vAlign w:val="bottom"/>
          </w:tcPr>
          <w:p>
            <w:pPr>
              <w:spacing w:after="0"/>
              <w:rPr>
                <w:sz w:val="1"/>
                <w:szCs w:val="1"/>
                <w:color w:val="auto"/>
              </w:rPr>
            </w:pPr>
          </w:p>
        </w:tc>
      </w:tr>
      <w:tr>
        <w:trPr>
          <w:trHeight w:val="209"/>
        </w:trPr>
        <w:tc>
          <w:tcPr>
            <w:tcW w:w="314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2019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2019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6"/>
                <w:szCs w:val="16"/>
                <w:color w:val="auto"/>
              </w:rPr>
              <w:t>Classification</w:t>
            </w:r>
          </w:p>
        </w:tc>
        <w:tc>
          <w:tcPr>
            <w:tcW w:w="0" w:type="dxa"/>
            <w:vAlign w:val="bottom"/>
          </w:tcPr>
          <w:p>
            <w:pPr>
              <w:spacing w:after="0"/>
              <w:rPr>
                <w:sz w:val="1"/>
                <w:szCs w:val="1"/>
                <w:color w:val="auto"/>
              </w:rPr>
            </w:pPr>
          </w:p>
        </w:tc>
      </w:tr>
      <w:tr>
        <w:trPr>
          <w:trHeight w:val="212"/>
        </w:trPr>
        <w:tc>
          <w:tcPr>
            <w:tcW w:w="3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Derivatives designated as cash flow</w:t>
            </w:r>
          </w:p>
        </w:tc>
        <w:tc>
          <w:tcPr>
            <w:tcW w:w="6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348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hedges:</w:t>
            </w:r>
          </w:p>
        </w:tc>
        <w:tc>
          <w:tcPr>
            <w:tcW w:w="6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4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140" w:type="dxa"/>
            <w:vAlign w:val="bottom"/>
          </w:tcPr>
          <w:p>
            <w:pPr>
              <w:ind w:left="260"/>
              <w:spacing w:after="0"/>
              <w:rPr>
                <w:sz w:val="20"/>
                <w:szCs w:val="20"/>
                <w:color w:val="auto"/>
              </w:rPr>
            </w:pPr>
            <w:r>
              <w:rPr>
                <w:rFonts w:ascii="Arial" w:cs="Arial" w:eastAsia="Arial" w:hAnsi="Arial"/>
                <w:sz w:val="18"/>
                <w:szCs w:val="18"/>
                <w:color w:val="auto"/>
              </w:rPr>
              <w:t>Foreign exchange contracts</w:t>
            </w:r>
          </w:p>
        </w:tc>
        <w:tc>
          <w:tcPr>
            <w:tcW w:w="680" w:type="dxa"/>
            <w:vAlign w:val="bottom"/>
          </w:tcPr>
          <w:p>
            <w:pPr>
              <w:jc w:val="right"/>
              <w:ind w:right="494"/>
              <w:spacing w:after="0"/>
              <w:rPr>
                <w:sz w:val="20"/>
                <w:szCs w:val="20"/>
                <w:color w:val="auto"/>
              </w:rPr>
            </w:pPr>
            <w:r>
              <w:rPr>
                <w:rFonts w:ascii="Arial" w:cs="Arial" w:eastAsia="Arial" w:hAnsi="Arial"/>
                <w:sz w:val="18"/>
                <w:szCs w:val="18"/>
                <w:b w:val="1"/>
                <w:bCs w:val="1"/>
                <w:color w:val="auto"/>
                <w:w w:val="79"/>
              </w:rPr>
              <w:t>$</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w:t>
            </w:r>
          </w:p>
        </w:tc>
        <w:tc>
          <w:tcPr>
            <w:tcW w:w="740" w:type="dxa"/>
            <w:vAlign w:val="bottom"/>
            <w:gridSpan w:val="2"/>
          </w:tcPr>
          <w:p>
            <w:pPr>
              <w:jc w:val="right"/>
              <w:ind w:right="476"/>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640" w:type="dxa"/>
            <w:vAlign w:val="bottom"/>
          </w:tcPr>
          <w:p>
            <w:pPr>
              <w:jc w:val="right"/>
              <w:ind w:right="485"/>
              <w:spacing w:after="0"/>
              <w:rPr>
                <w:sz w:val="20"/>
                <w:szCs w:val="20"/>
                <w:color w:val="auto"/>
              </w:rPr>
            </w:pPr>
            <w:r>
              <w:rPr>
                <w:rFonts w:ascii="Arial" w:cs="Arial" w:eastAsia="Arial" w:hAnsi="Arial"/>
                <w:sz w:val="15"/>
                <w:szCs w:val="15"/>
                <w:b w:val="1"/>
                <w:bCs w:val="1"/>
                <w:color w:val="auto"/>
                <w:w w:val="71"/>
              </w:rPr>
              <w:t>$</w:t>
            </w:r>
          </w:p>
        </w:tc>
        <w:tc>
          <w:tcPr>
            <w:tcW w:w="520" w:type="dxa"/>
            <w:vAlign w:val="bottom"/>
            <w:gridSpan w:val="2"/>
          </w:tcPr>
          <w:p>
            <w:pPr>
              <w:jc w:val="right"/>
              <w:ind w:right="88"/>
              <w:spacing w:after="0"/>
              <w:rPr>
                <w:sz w:val="20"/>
                <w:szCs w:val="20"/>
                <w:color w:val="auto"/>
              </w:rPr>
            </w:pPr>
            <w:r>
              <w:rPr>
                <w:rFonts w:ascii="Arial" w:cs="Arial" w:eastAsia="Arial" w:hAnsi="Arial"/>
                <w:sz w:val="18"/>
                <w:szCs w:val="18"/>
                <w:b w:val="1"/>
                <w:bCs w:val="1"/>
                <w:color w:val="auto"/>
              </w:rPr>
              <w:t>(5)</w:t>
            </w:r>
          </w:p>
        </w:tc>
        <w:tc>
          <w:tcPr>
            <w:tcW w:w="660" w:type="dxa"/>
            <w:vAlign w:val="bottom"/>
          </w:tcPr>
          <w:p>
            <w:pPr>
              <w:jc w:val="right"/>
              <w:ind w:right="505"/>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3480" w:type="dxa"/>
            <w:vAlign w:val="bottom"/>
          </w:tcPr>
          <w:p>
            <w:pPr>
              <w:spacing w:after="0"/>
              <w:rPr>
                <w:sz w:val="20"/>
                <w:szCs w:val="20"/>
                <w:color w:val="auto"/>
              </w:rPr>
            </w:pPr>
            <w:r>
              <w:rPr>
                <w:rFonts w:ascii="Arial" w:cs="Arial" w:eastAsia="Arial" w:hAnsi="Arial"/>
                <w:sz w:val="18"/>
                <w:szCs w:val="18"/>
                <w:i w:val="1"/>
                <w:iCs w:val="1"/>
                <w:color w:val="auto"/>
              </w:rPr>
              <w:t>Cost of services/sales</w:t>
            </w:r>
          </w:p>
        </w:tc>
        <w:tc>
          <w:tcPr>
            <w:tcW w:w="0" w:type="dxa"/>
            <w:vAlign w:val="bottom"/>
          </w:tcPr>
          <w:p>
            <w:pPr>
              <w:spacing w:after="0"/>
              <w:rPr>
                <w:sz w:val="1"/>
                <w:szCs w:val="1"/>
                <w:color w:val="auto"/>
              </w:rPr>
            </w:pPr>
          </w:p>
        </w:tc>
      </w:tr>
      <w:tr>
        <w:trPr>
          <w:trHeight w:val="229"/>
        </w:trPr>
        <w:tc>
          <w:tcPr>
            <w:tcW w:w="3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Cross currency swaps</w:t>
            </w:r>
          </w:p>
        </w:tc>
        <w:tc>
          <w:tcPr>
            <w:tcW w:w="68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9"/>
              </w:rPr>
              <w:t>(22)</w:t>
            </w: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86"/>
              </w:rPr>
              <w:t>150</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9"/>
              </w:rPr>
              <w:t>(38)</w:t>
            </w:r>
          </w:p>
        </w:tc>
        <w:tc>
          <w:tcPr>
            <w:tcW w:w="348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Interest expense</w:t>
            </w:r>
          </w:p>
        </w:tc>
        <w:tc>
          <w:tcPr>
            <w:tcW w:w="0" w:type="dxa"/>
            <w:vAlign w:val="bottom"/>
          </w:tcPr>
          <w:p>
            <w:pPr>
              <w:spacing w:after="0"/>
              <w:rPr>
                <w:sz w:val="1"/>
                <w:szCs w:val="1"/>
                <w:color w:val="auto"/>
              </w:rPr>
            </w:pPr>
          </w:p>
        </w:tc>
      </w:tr>
      <w:tr>
        <w:trPr>
          <w:trHeight w:val="263"/>
        </w:trPr>
        <w:tc>
          <w:tcPr>
            <w:tcW w:w="3140" w:type="dxa"/>
            <w:vAlign w:val="bottom"/>
            <w:tcBorders>
              <w:bottom w:val="single" w:sz="8" w:color="CFF0FC"/>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8"/>
                <w:szCs w:val="18"/>
                <w:b w:val="1"/>
                <w:bCs w:val="1"/>
                <w:color w:val="auto"/>
                <w:w w:val="79"/>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w:t>
            </w:r>
          </w:p>
        </w:tc>
        <w:tc>
          <w:tcPr>
            <w:tcW w:w="1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1"/>
              </w:rPr>
              <w:t>(24)</w:t>
            </w:r>
          </w:p>
        </w:tc>
        <w:tc>
          <w:tcPr>
            <w:tcW w:w="220" w:type="dxa"/>
            <w:vAlign w:val="bottom"/>
            <w:tcBorders>
              <w:bottom w:val="single" w:sz="8" w:color="CFF0FC"/>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485"/>
              <w:spacing w:after="0"/>
              <w:rPr>
                <w:sz w:val="20"/>
                <w:szCs w:val="20"/>
                <w:color w:val="auto"/>
              </w:rPr>
            </w:pPr>
            <w:r>
              <w:rPr>
                <w:rFonts w:ascii="Arial" w:cs="Arial" w:eastAsia="Arial" w:hAnsi="Arial"/>
                <w:sz w:val="15"/>
                <w:szCs w:val="15"/>
                <w:b w:val="1"/>
                <w:bCs w:val="1"/>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145</w:t>
            </w:r>
          </w:p>
        </w:tc>
        <w:tc>
          <w:tcPr>
            <w:tcW w:w="220" w:type="dxa"/>
            <w:vAlign w:val="bottom"/>
            <w:tcBorders>
              <w:bottom w:val="single" w:sz="8" w:color="CFF0FC"/>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505"/>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1"/>
              </w:rPr>
              <w:t>(42)</w:t>
            </w:r>
          </w:p>
        </w:tc>
        <w:tc>
          <w:tcPr>
            <w:tcW w:w="220" w:type="dxa"/>
            <w:vAlign w:val="bottom"/>
            <w:tcBorders>
              <w:bottom w:val="single" w:sz="8" w:color="CFF0FC"/>
            </w:tcBorders>
          </w:tcPr>
          <w:p>
            <w:pPr>
              <w:spacing w:after="0"/>
              <w:rPr>
                <w:sz w:val="22"/>
                <w:szCs w:val="22"/>
                <w:color w:val="auto"/>
              </w:rPr>
            </w:pPr>
          </w:p>
        </w:tc>
        <w:tc>
          <w:tcPr>
            <w:tcW w:w="34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Derivatives not designated as hedges:</w:t>
            </w:r>
          </w:p>
        </w:tc>
        <w:tc>
          <w:tcPr>
            <w:tcW w:w="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40" w:type="dxa"/>
            <w:vAlign w:val="bottom"/>
          </w:tcPr>
          <w:p>
            <w:pPr>
              <w:spacing w:after="0"/>
              <w:rPr>
                <w:sz w:val="20"/>
                <w:szCs w:val="20"/>
                <w:color w:val="auto"/>
              </w:rPr>
            </w:pPr>
            <w:r>
              <w:rPr>
                <w:rFonts w:ascii="Arial" w:cs="Arial" w:eastAsia="Arial" w:hAnsi="Arial"/>
                <w:sz w:val="18"/>
                <w:szCs w:val="18"/>
                <w:color w:val="auto"/>
              </w:rPr>
              <w:t>Foreign exchange contracts</w:t>
            </w:r>
          </w:p>
        </w:tc>
        <w:tc>
          <w:tcPr>
            <w:tcW w:w="680" w:type="dxa"/>
            <w:vAlign w:val="bottom"/>
          </w:tcPr>
          <w:p>
            <w:pPr>
              <w:jc w:val="right"/>
              <w:ind w:right="494"/>
              <w:spacing w:after="0"/>
              <w:rPr>
                <w:sz w:val="20"/>
                <w:szCs w:val="20"/>
                <w:color w:val="auto"/>
              </w:rPr>
            </w:pPr>
            <w:r>
              <w:rPr>
                <w:rFonts w:ascii="Arial" w:cs="Arial" w:eastAsia="Arial" w:hAnsi="Arial"/>
                <w:sz w:val="18"/>
                <w:szCs w:val="18"/>
                <w:b w:val="1"/>
                <w:bCs w:val="1"/>
                <w:color w:val="auto"/>
                <w:w w:val="79"/>
              </w:rPr>
              <w:t>$</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20" w:type="dxa"/>
            <w:vAlign w:val="bottom"/>
          </w:tcPr>
          <w:p>
            <w:pPr>
              <w:spacing w:after="0"/>
              <w:rPr>
                <w:sz w:val="19"/>
                <w:szCs w:val="19"/>
                <w:color w:val="auto"/>
              </w:rPr>
            </w:pPr>
          </w:p>
        </w:tc>
        <w:tc>
          <w:tcPr>
            <w:tcW w:w="740" w:type="dxa"/>
            <w:vAlign w:val="bottom"/>
            <w:gridSpan w:val="2"/>
          </w:tcPr>
          <w:p>
            <w:pPr>
              <w:jc w:val="right"/>
              <w:ind w:right="476"/>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(14)</w:t>
            </w:r>
          </w:p>
        </w:tc>
        <w:tc>
          <w:tcPr>
            <w:tcW w:w="640" w:type="dxa"/>
            <w:vAlign w:val="bottom"/>
          </w:tcPr>
          <w:p>
            <w:pPr>
              <w:jc w:val="right"/>
              <w:ind w:right="485"/>
              <w:spacing w:after="0"/>
              <w:rPr>
                <w:sz w:val="20"/>
                <w:szCs w:val="20"/>
                <w:color w:val="auto"/>
              </w:rPr>
            </w:pPr>
            <w:r>
              <w:rPr>
                <w:rFonts w:ascii="Arial" w:cs="Arial" w:eastAsia="Arial" w:hAnsi="Arial"/>
                <w:sz w:val="15"/>
                <w:szCs w:val="15"/>
                <w:b w:val="1"/>
                <w:bCs w:val="1"/>
                <w:color w:val="auto"/>
                <w:w w:val="71"/>
              </w:rPr>
              <w:t>$</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220" w:type="dxa"/>
            <w:vAlign w:val="bottom"/>
          </w:tcPr>
          <w:p>
            <w:pPr>
              <w:spacing w:after="0"/>
              <w:rPr>
                <w:sz w:val="19"/>
                <w:szCs w:val="19"/>
                <w:color w:val="auto"/>
              </w:rPr>
            </w:pPr>
          </w:p>
        </w:tc>
        <w:tc>
          <w:tcPr>
            <w:tcW w:w="660" w:type="dxa"/>
            <w:vAlign w:val="bottom"/>
          </w:tcPr>
          <w:p>
            <w:pPr>
              <w:jc w:val="right"/>
              <w:ind w:right="505"/>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3480" w:type="dxa"/>
            <w:vAlign w:val="bottom"/>
          </w:tcPr>
          <w:p>
            <w:pPr>
              <w:spacing w:after="0"/>
              <w:rPr>
                <w:sz w:val="20"/>
                <w:szCs w:val="20"/>
                <w:color w:val="auto"/>
              </w:rPr>
            </w:pPr>
            <w:r>
              <w:rPr>
                <w:rFonts w:ascii="Arial" w:cs="Arial" w:eastAsia="Arial" w:hAnsi="Arial"/>
                <w:sz w:val="18"/>
                <w:szCs w:val="18"/>
                <w:i w:val="1"/>
                <w:iCs w:val="1"/>
                <w:color w:val="auto"/>
              </w:rPr>
              <w:t>Cost of services/sales</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left="360" w:hanging="352"/>
        <w:spacing w:after="0"/>
        <w:tabs>
          <w:tab w:leader="none" w:pos="3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Contingencies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Schlumberger is party to various legal proceedings from time to time. A liability is accrued when a loss is both probable and can be reasonably estimated. Management believes that the probability of a material loss with respect to any currently pending legal proceeding is remote. However, litigation is inherently uncertain and it is not possible to predict the ultimate disposition of any of these proceedings.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 w:name="page17"/>
    <w:bookmarkEnd w:id="16"/>
    <w:p>
      <w:pPr>
        <w:ind w:left="360" w:hanging="352"/>
        <w:spacing w:after="0"/>
        <w:tabs>
          <w:tab w:leader="none" w:pos="3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Information</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8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w w:val="97"/>
              </w:rPr>
              <w:t>(Stated in millions)</w:t>
            </w:r>
          </w:p>
        </w:tc>
      </w:tr>
      <w:tr>
        <w:trPr>
          <w:trHeight w:val="444"/>
        </w:trPr>
        <w:tc>
          <w:tcPr>
            <w:tcW w:w="38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2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Second Quarter 2020</w:t>
            </w:r>
          </w:p>
        </w:tc>
        <w:tc>
          <w:tcPr>
            <w:tcW w:w="180" w:type="dxa"/>
            <w:vAlign w:val="bottom"/>
          </w:tcPr>
          <w:p>
            <w:pPr>
              <w:spacing w:after="0"/>
              <w:rPr>
                <w:sz w:val="24"/>
                <w:szCs w:val="24"/>
                <w:color w:val="auto"/>
              </w:rPr>
            </w:pPr>
          </w:p>
        </w:tc>
        <w:tc>
          <w:tcPr>
            <w:tcW w:w="2040" w:type="dxa"/>
            <w:vAlign w:val="bottom"/>
            <w:gridSpan w:val="3"/>
          </w:tcPr>
          <w:p>
            <w:pPr>
              <w:jc w:val="right"/>
              <w:ind w:right="99"/>
              <w:spacing w:after="0"/>
              <w:rPr>
                <w:sz w:val="20"/>
                <w:szCs w:val="20"/>
                <w:color w:val="auto"/>
              </w:rPr>
            </w:pPr>
            <w:r>
              <w:rPr>
                <w:rFonts w:ascii="Arial" w:cs="Arial" w:eastAsia="Arial" w:hAnsi="Arial"/>
                <w:sz w:val="18"/>
                <w:szCs w:val="18"/>
                <w:color w:val="auto"/>
              </w:rPr>
              <w:t>Second Quarter 2019</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38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Income (Loss)</w:t>
            </w: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1"/>
              </w:rPr>
              <w:t>Income (Loss)</w:t>
            </w:r>
          </w:p>
        </w:tc>
        <w:tc>
          <w:tcPr>
            <w:tcW w:w="100" w:type="dxa"/>
            <w:vAlign w:val="bottom"/>
          </w:tcPr>
          <w:p>
            <w:pPr>
              <w:spacing w:after="0"/>
              <w:rPr>
                <w:sz w:val="18"/>
                <w:szCs w:val="18"/>
                <w:color w:val="auto"/>
              </w:rPr>
            </w:pPr>
          </w:p>
        </w:tc>
      </w:tr>
      <w:tr>
        <w:trPr>
          <w:trHeight w:val="229"/>
        </w:trPr>
        <w:tc>
          <w:tcPr>
            <w:tcW w:w="38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7"/>
              </w:rPr>
              <w:t>Before</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center"/>
              <w:ind w:left="239"/>
              <w:spacing w:after="0"/>
              <w:rPr>
                <w:sz w:val="20"/>
                <w:szCs w:val="20"/>
                <w:color w:val="auto"/>
              </w:rPr>
            </w:pPr>
            <w:r>
              <w:rPr>
                <w:rFonts w:ascii="Arial" w:cs="Arial" w:eastAsia="Arial" w:hAnsi="Arial"/>
                <w:sz w:val="18"/>
                <w:szCs w:val="18"/>
                <w:color w:val="auto"/>
                <w:w w:val="90"/>
              </w:rPr>
              <w:t>Before</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38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3"/>
              </w:rPr>
              <w:t>Revenue</w:t>
            </w:r>
          </w:p>
        </w:tc>
        <w:tc>
          <w:tcPr>
            <w:tcW w:w="200" w:type="dxa"/>
            <w:vAlign w:val="bottom"/>
          </w:tcPr>
          <w:p>
            <w:pPr>
              <w:spacing w:after="0"/>
              <w:rPr>
                <w:sz w:val="20"/>
                <w:szCs w:val="20"/>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6"/>
              </w:rPr>
              <w:t>Taxes</w:t>
            </w:r>
          </w:p>
        </w:tc>
        <w:tc>
          <w:tcPr>
            <w:tcW w:w="18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w w:val="97"/>
              </w:rPr>
              <w:t>Revenue</w:t>
            </w:r>
          </w:p>
        </w:tc>
        <w:tc>
          <w:tcPr>
            <w:tcW w:w="800" w:type="dxa"/>
            <w:vAlign w:val="bottom"/>
          </w:tcPr>
          <w:p>
            <w:pPr>
              <w:jc w:val="center"/>
              <w:ind w:left="259"/>
              <w:spacing w:after="0"/>
              <w:rPr>
                <w:sz w:val="20"/>
                <w:szCs w:val="20"/>
                <w:color w:val="auto"/>
              </w:rPr>
            </w:pPr>
            <w:r>
              <w:rPr>
                <w:rFonts w:ascii="Arial" w:cs="Arial" w:eastAsia="Arial" w:hAnsi="Arial"/>
                <w:sz w:val="18"/>
                <w:szCs w:val="18"/>
                <w:color w:val="auto"/>
                <w:w w:val="85"/>
              </w:rPr>
              <w:t>Taxes</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Reservoir Characterization</w:t>
            </w:r>
          </w:p>
        </w:tc>
        <w:tc>
          <w:tcPr>
            <w:tcW w:w="19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1,052</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185</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1,558</w:t>
            </w:r>
          </w:p>
        </w:tc>
        <w:tc>
          <w:tcPr>
            <w:tcW w:w="26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ind w:right="639"/>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3860" w:type="dxa"/>
            <w:vAlign w:val="bottom"/>
          </w:tcPr>
          <w:p>
            <w:pPr>
              <w:spacing w:after="0"/>
              <w:rPr>
                <w:sz w:val="20"/>
                <w:szCs w:val="20"/>
                <w:color w:val="auto"/>
              </w:rPr>
            </w:pPr>
            <w:r>
              <w:rPr>
                <w:rFonts w:ascii="Arial" w:cs="Arial" w:eastAsia="Arial" w:hAnsi="Arial"/>
                <w:sz w:val="18"/>
                <w:szCs w:val="18"/>
                <w:color w:val="auto"/>
              </w:rPr>
              <w:t>Drilling</w:t>
            </w: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1,731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165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2,420</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9"/>
                <w:szCs w:val="19"/>
                <w:color w:val="auto"/>
              </w:rPr>
            </w:pPr>
          </w:p>
        </w:tc>
      </w:tr>
      <w:tr>
        <w:trPr>
          <w:trHeight w:val="229"/>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Production</w:t>
            </w:r>
          </w:p>
        </w:tc>
        <w:tc>
          <w:tcPr>
            <w:tcW w:w="1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1,615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3,077</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FF0FC"/>
          </w:tcPr>
          <w:p>
            <w:pPr>
              <w:spacing w:after="0"/>
              <w:rPr>
                <w:sz w:val="19"/>
                <w:szCs w:val="19"/>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Cameron</w:t>
            </w: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1,015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80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1,328</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9"/>
                <w:szCs w:val="19"/>
                <w:color w:val="auto"/>
              </w:rPr>
            </w:pPr>
          </w:p>
        </w:tc>
      </w:tr>
      <w:tr>
        <w:trPr>
          <w:trHeight w:val="229"/>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1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(57)</w:t>
            </w: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(59)</w:t>
            </w: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(114)</w:t>
            </w:r>
          </w:p>
        </w:tc>
        <w:tc>
          <w:tcPr>
            <w:tcW w:w="8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w:t>
            </w:r>
          </w:p>
        </w:tc>
      </w:tr>
      <w:tr>
        <w:trPr>
          <w:trHeight w:val="223"/>
        </w:trPr>
        <w:tc>
          <w:tcPr>
            <w:tcW w:w="38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396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968</w:t>
            </w:r>
          </w:p>
        </w:tc>
        <w:tc>
          <w:tcPr>
            <w:tcW w:w="100" w:type="dxa"/>
            <w:vAlign w:val="bottom"/>
          </w:tcPr>
          <w:p>
            <w:pPr>
              <w:spacing w:after="0"/>
              <w:rPr>
                <w:sz w:val="19"/>
                <w:szCs w:val="19"/>
                <w:color w:val="auto"/>
              </w:rPr>
            </w:pPr>
          </w:p>
        </w:tc>
      </w:tr>
      <w:tr>
        <w:trPr>
          <w:trHeight w:val="229"/>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1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(169)</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5"/>
              </w:rPr>
              <w:t>(238)</w:t>
            </w: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r>
      <w:tr>
        <w:trPr>
          <w:trHeight w:val="229"/>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1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(137)</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5"/>
              </w:rPr>
              <w:t>(146)</w:t>
            </w:r>
          </w:p>
        </w:tc>
      </w:tr>
      <w:tr>
        <w:trPr>
          <w:trHeight w:val="229"/>
        </w:trPr>
        <w:tc>
          <w:tcPr>
            <w:tcW w:w="3860" w:type="dxa"/>
            <w:vAlign w:val="bottom"/>
          </w:tcPr>
          <w:p>
            <w:pPr>
              <w:spacing w:after="0"/>
              <w:rPr>
                <w:sz w:val="20"/>
                <w:szCs w:val="20"/>
                <w:color w:val="auto"/>
              </w:rPr>
            </w:pPr>
            <w:r>
              <w:rPr>
                <w:rFonts w:ascii="Arial" w:cs="Arial" w:eastAsia="Arial" w:hAnsi="Arial"/>
                <w:sz w:val="18"/>
                <w:szCs w:val="18"/>
                <w:color w:val="auto"/>
              </w:rPr>
              <w:t xml:space="preserve">Charges and credits </w:t>
            </w:r>
            <w:r>
              <w:rPr>
                <w:rFonts w:ascii="Arial" w:cs="Arial" w:eastAsia="Arial" w:hAnsi="Arial"/>
                <w:sz w:val="15"/>
                <w:szCs w:val="15"/>
                <w:color w:val="auto"/>
              </w:rPr>
              <w:t>(4)</w:t>
            </w: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(3,724)</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3"/>
        </w:trPr>
        <w:tc>
          <w:tcPr>
            <w:tcW w:w="3860" w:type="dxa"/>
            <w:vAlign w:val="bottom"/>
            <w:tcBorders>
              <w:top w:val="single" w:sz="8" w:color="CFF0FC"/>
              <w:bottom w:val="single" w:sz="8" w:color="CFF0FC"/>
            </w:tcBorders>
            <w:shd w:val="clear" w:color="auto" w:fill="CFF0FC"/>
          </w:tcPr>
          <w:p>
            <w:pPr>
              <w:spacing w:after="0"/>
              <w:rPr>
                <w:sz w:val="19"/>
                <w:szCs w:val="19"/>
                <w:color w:val="auto"/>
              </w:rPr>
            </w:pPr>
          </w:p>
        </w:tc>
        <w:tc>
          <w:tcPr>
            <w:tcW w:w="19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5,356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(3,627)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8,269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ind w:right="639"/>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8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Certain prior period amounts have been reclassified to conform to the current period presentation.</w:t>
      </w:r>
    </w:p>
    <w:p>
      <w:pPr>
        <w:spacing w:after="0" w:line="122" w:lineRule="exact"/>
        <w:rPr>
          <w:sz w:val="20"/>
          <w:szCs w:val="20"/>
          <w:color w:val="auto"/>
        </w:rPr>
      </w:pPr>
    </w:p>
    <w:p>
      <w:pPr>
        <w:ind w:left="500" w:right="120" w:hanging="492"/>
        <w:spacing w:after="0" w:line="193" w:lineRule="auto"/>
        <w:tabs>
          <w:tab w:leader="none" w:pos="500" w:val="left"/>
        </w:tabs>
        <w:numPr>
          <w:ilvl w:val="0"/>
          <w:numId w:val="16"/>
        </w:numPr>
        <w:rPr>
          <w:rFonts w:ascii="Arial" w:cs="Arial" w:eastAsia="Arial" w:hAnsi="Arial"/>
          <w:sz w:val="28"/>
          <w:szCs w:val="28"/>
          <w:color w:val="auto"/>
          <w:vertAlign w:val="superscript"/>
        </w:rPr>
      </w:pPr>
      <w:r>
        <w:rPr>
          <w:rFonts w:ascii="Arial" w:cs="Arial" w:eastAsia="Arial" w:hAnsi="Arial"/>
          <w:sz w:val="16"/>
          <w:szCs w:val="16"/>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1" w:lineRule="exact"/>
        <w:rPr>
          <w:rFonts w:ascii="Arial" w:cs="Arial" w:eastAsia="Arial" w:hAnsi="Arial"/>
          <w:sz w:val="28"/>
          <w:szCs w:val="28"/>
          <w:color w:val="auto"/>
          <w:vertAlign w:val="superscript"/>
        </w:rPr>
      </w:pPr>
    </w:p>
    <w:p>
      <w:pPr>
        <w:ind w:left="500" w:hanging="492"/>
        <w:spacing w:after="0" w:line="231" w:lineRule="auto"/>
        <w:tabs>
          <w:tab w:leader="none" w:pos="500" w:val="left"/>
        </w:tabs>
        <w:numPr>
          <w:ilvl w:val="0"/>
          <w:numId w:val="16"/>
        </w:numPr>
        <w:rPr>
          <w:rFonts w:ascii="Arial" w:cs="Arial" w:eastAsia="Arial" w:hAnsi="Arial"/>
          <w:sz w:val="28"/>
          <w:szCs w:val="28"/>
          <w:color w:val="auto"/>
          <w:vertAlign w:val="superscript"/>
        </w:rPr>
      </w:pPr>
      <w:r>
        <w:rPr>
          <w:rFonts w:ascii="Arial" w:cs="Arial" w:eastAsia="Arial" w:hAnsi="Arial"/>
          <w:sz w:val="16"/>
          <w:szCs w:val="16"/>
          <w:color w:val="auto"/>
        </w:rPr>
        <w:t>Interest income excludes amounts which are included in the segments’ income ($- million in 2020; $2 million in 2019).</w:t>
      </w:r>
    </w:p>
    <w:p>
      <w:pPr>
        <w:spacing w:after="0" w:line="118" w:lineRule="exact"/>
        <w:rPr>
          <w:rFonts w:ascii="Arial" w:cs="Arial" w:eastAsia="Arial" w:hAnsi="Arial"/>
          <w:sz w:val="28"/>
          <w:szCs w:val="28"/>
          <w:color w:val="auto"/>
          <w:vertAlign w:val="superscript"/>
        </w:rPr>
      </w:pPr>
    </w:p>
    <w:p>
      <w:pPr>
        <w:ind w:left="500" w:hanging="492"/>
        <w:spacing w:after="0" w:line="182" w:lineRule="auto"/>
        <w:tabs>
          <w:tab w:leader="none" w:pos="500" w:val="left"/>
        </w:tabs>
        <w:numPr>
          <w:ilvl w:val="0"/>
          <w:numId w:val="16"/>
        </w:numPr>
        <w:rPr>
          <w:rFonts w:ascii="Arial" w:cs="Arial" w:eastAsia="Arial" w:hAnsi="Arial"/>
          <w:sz w:val="22"/>
          <w:szCs w:val="22"/>
          <w:color w:val="auto"/>
          <w:vertAlign w:val="superscript"/>
        </w:rPr>
      </w:pPr>
      <w:r>
        <w:rPr>
          <w:rFonts w:ascii="Arial" w:cs="Arial" w:eastAsia="Arial" w:hAnsi="Arial"/>
          <w:sz w:val="14"/>
          <w:szCs w:val="14"/>
          <w:color w:val="auto"/>
        </w:rPr>
        <w:t>Interest expense excludes amounts which are included in the segments’ income ($7 million in 2020; $10 million in 2019).</w:t>
      </w:r>
    </w:p>
    <w:p>
      <w:pPr>
        <w:spacing w:after="0" w:line="118" w:lineRule="exact"/>
        <w:rPr>
          <w:rFonts w:ascii="Arial" w:cs="Arial" w:eastAsia="Arial" w:hAnsi="Arial"/>
          <w:sz w:val="22"/>
          <w:szCs w:val="22"/>
          <w:color w:val="auto"/>
          <w:vertAlign w:val="superscript"/>
        </w:rPr>
      </w:pPr>
    </w:p>
    <w:p>
      <w:pPr>
        <w:ind w:left="500" w:hanging="492"/>
        <w:spacing w:after="0" w:line="182" w:lineRule="auto"/>
        <w:tabs>
          <w:tab w:leader="none" w:pos="500" w:val="left"/>
        </w:tabs>
        <w:numPr>
          <w:ilvl w:val="0"/>
          <w:numId w:val="16"/>
        </w:numPr>
        <w:rPr>
          <w:rFonts w:ascii="Arial" w:cs="Arial" w:eastAsia="Arial" w:hAnsi="Arial"/>
          <w:sz w:val="22"/>
          <w:szCs w:val="22"/>
          <w:color w:val="auto"/>
          <w:vertAlign w:val="superscript"/>
        </w:rPr>
      </w:pPr>
      <w:r>
        <w:rPr>
          <w:rFonts w:ascii="Arial" w:cs="Arial" w:eastAsia="Arial" w:hAnsi="Arial"/>
          <w:sz w:val="14"/>
          <w:szCs w:val="14"/>
          <w:color w:val="auto"/>
        </w:rPr>
        <w:t xml:space="preserve">See Note 2 – </w:t>
      </w:r>
      <w:r>
        <w:rPr>
          <w:rFonts w:ascii="Arial" w:cs="Arial" w:eastAsia="Arial" w:hAnsi="Arial"/>
          <w:sz w:val="14"/>
          <w:szCs w:val="14"/>
          <w:i w:val="1"/>
          <w:iCs w:val="1"/>
          <w:color w:val="auto"/>
        </w:rPr>
        <w:t>Charges and Credits</w:t>
      </w:r>
      <w:r>
        <w:rPr>
          <w:rFonts w:ascii="Arial" w:cs="Arial" w:eastAsia="Arial" w:hAnsi="Arial"/>
          <w:sz w:val="14"/>
          <w:szCs w:val="14"/>
          <w:color w:val="auto"/>
        </w:rPr>
        <w:t>.</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w w:val="98"/>
              </w:rPr>
              <w:t>(Stated in millions)</w:t>
            </w:r>
          </w:p>
        </w:tc>
      </w:tr>
      <w:tr>
        <w:trPr>
          <w:trHeight w:val="444"/>
        </w:trPr>
        <w:tc>
          <w:tcPr>
            <w:tcW w:w="5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4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Six Months 2020</w:t>
            </w:r>
          </w:p>
        </w:tc>
        <w:tc>
          <w:tcPr>
            <w:tcW w:w="180" w:type="dxa"/>
            <w:vAlign w:val="bottom"/>
          </w:tcPr>
          <w:p>
            <w:pPr>
              <w:spacing w:after="0"/>
              <w:rPr>
                <w:sz w:val="24"/>
                <w:szCs w:val="24"/>
                <w:color w:val="auto"/>
              </w:rPr>
            </w:pPr>
          </w:p>
        </w:tc>
        <w:tc>
          <w:tcPr>
            <w:tcW w:w="2520" w:type="dxa"/>
            <w:vAlign w:val="bottom"/>
            <w:gridSpan w:val="6"/>
          </w:tcPr>
          <w:p>
            <w:pPr>
              <w:jc w:val="right"/>
              <w:ind w:right="780"/>
              <w:spacing w:after="0"/>
              <w:rPr>
                <w:sz w:val="20"/>
                <w:szCs w:val="20"/>
                <w:color w:val="auto"/>
              </w:rPr>
            </w:pPr>
            <w:r>
              <w:rPr>
                <w:rFonts w:ascii="Arial" w:cs="Arial" w:eastAsia="Arial" w:hAnsi="Arial"/>
                <w:sz w:val="18"/>
                <w:szCs w:val="18"/>
                <w:color w:val="auto"/>
              </w:rPr>
              <w:t>Six Months 2019</w:t>
            </w:r>
          </w:p>
        </w:tc>
      </w:tr>
      <w:tr>
        <w:trPr>
          <w:trHeight w:val="218"/>
        </w:trPr>
        <w:tc>
          <w:tcPr>
            <w:tcW w:w="58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Income (Loss)</w:t>
            </w: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1"/>
              </w:rPr>
              <w:t>Income (Loss)</w:t>
            </w:r>
          </w:p>
        </w:tc>
        <w:tc>
          <w:tcPr>
            <w:tcW w:w="100" w:type="dxa"/>
            <w:vAlign w:val="bottom"/>
          </w:tcPr>
          <w:p>
            <w:pPr>
              <w:spacing w:after="0"/>
              <w:rPr>
                <w:sz w:val="18"/>
                <w:szCs w:val="18"/>
                <w:color w:val="auto"/>
              </w:rPr>
            </w:pPr>
          </w:p>
        </w:tc>
      </w:tr>
      <w:tr>
        <w:trPr>
          <w:trHeight w:val="230"/>
        </w:trPr>
        <w:tc>
          <w:tcPr>
            <w:tcW w:w="5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Before</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Before</w:t>
            </w:r>
          </w:p>
        </w:tc>
      </w:tr>
      <w:tr>
        <w:trPr>
          <w:trHeight w:val="234"/>
        </w:trPr>
        <w:tc>
          <w:tcPr>
            <w:tcW w:w="5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5"/>
              </w:rPr>
              <w:t>Revenue</w:t>
            </w:r>
          </w:p>
        </w:tc>
        <w:tc>
          <w:tcPr>
            <w:tcW w:w="200" w:type="dxa"/>
            <w:vAlign w:val="bottom"/>
          </w:tcPr>
          <w:p>
            <w:pPr>
              <w:spacing w:after="0"/>
              <w:rPr>
                <w:sz w:val="20"/>
                <w:szCs w:val="20"/>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6"/>
              </w:rPr>
              <w:t>Taxes</w:t>
            </w:r>
          </w:p>
        </w:tc>
        <w:tc>
          <w:tcPr>
            <w:tcW w:w="18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Revenue</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8"/>
                <w:szCs w:val="18"/>
                <w:color w:val="auto"/>
                <w:w w:val="85"/>
              </w:rPr>
              <w:t>Taxes</w:t>
            </w: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Reservoir Characterization</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2,363</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369</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3,017</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Drilling</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4,020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450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4,806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Production</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4,318</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237</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w:t>
            </w:r>
          </w:p>
        </w:tc>
        <w:tc>
          <w:tcPr>
            <w:tcW w:w="100" w:type="dxa"/>
            <w:vAlign w:val="bottom"/>
            <w:shd w:val="clear" w:color="auto" w:fill="CFF0FC"/>
          </w:tcPr>
          <w:p>
            <w:pPr>
              <w:spacing w:after="0"/>
              <w:rPr>
                <w:sz w:val="19"/>
                <w:szCs w:val="19"/>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Cameron</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2,270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2,586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(160)</w:t>
            </w: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(85)</w:t>
            </w:r>
          </w:p>
        </w:tc>
        <w:tc>
          <w:tcPr>
            <w:tcW w:w="1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(227)</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(96)</w:t>
            </w:r>
          </w:p>
        </w:tc>
      </w:tr>
      <w:tr>
        <w:trPr>
          <w:trHeight w:val="223"/>
        </w:trPr>
        <w:tc>
          <w:tcPr>
            <w:tcW w:w="5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1,172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1,876</w:t>
            </w: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(397)</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(511)</w:t>
            </w: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(266)</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(282)</w:t>
            </w: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 xml:space="preserve">Charges and credits </w:t>
            </w:r>
            <w:r>
              <w:rPr>
                <w:rFonts w:ascii="Arial" w:cs="Arial" w:eastAsia="Arial" w:hAnsi="Arial"/>
                <w:sz w:val="15"/>
                <w:szCs w:val="15"/>
                <w:color w:val="auto"/>
              </w:rPr>
              <w:t>(4)</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(12,247)</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3"/>
        </w:trPr>
        <w:tc>
          <w:tcPr>
            <w:tcW w:w="58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12,811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(11,716)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16,149</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Certain prior period amounts have been reclassified to conform to the current period presentation.</w:t>
      </w:r>
    </w:p>
    <w:p>
      <w:pPr>
        <w:spacing w:after="0" w:line="122" w:lineRule="exact"/>
        <w:rPr>
          <w:sz w:val="20"/>
          <w:szCs w:val="20"/>
          <w:color w:val="auto"/>
        </w:rPr>
      </w:pPr>
    </w:p>
    <w:p>
      <w:pPr>
        <w:ind w:left="500" w:right="120" w:hanging="492"/>
        <w:spacing w:after="0" w:line="193" w:lineRule="auto"/>
        <w:tabs>
          <w:tab w:leader="none" w:pos="500" w:val="left"/>
        </w:tabs>
        <w:numPr>
          <w:ilvl w:val="0"/>
          <w:numId w:val="17"/>
        </w:numPr>
        <w:rPr>
          <w:rFonts w:ascii="Arial" w:cs="Arial" w:eastAsia="Arial" w:hAnsi="Arial"/>
          <w:sz w:val="28"/>
          <w:szCs w:val="28"/>
          <w:color w:val="auto"/>
          <w:vertAlign w:val="superscript"/>
        </w:rPr>
      </w:pPr>
      <w:r>
        <w:rPr>
          <w:rFonts w:ascii="Arial" w:cs="Arial" w:eastAsia="Arial" w:hAnsi="Arial"/>
          <w:sz w:val="16"/>
          <w:szCs w:val="16"/>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1" w:lineRule="exact"/>
        <w:rPr>
          <w:rFonts w:ascii="Arial" w:cs="Arial" w:eastAsia="Arial" w:hAnsi="Arial"/>
          <w:sz w:val="28"/>
          <w:szCs w:val="28"/>
          <w:color w:val="auto"/>
          <w:vertAlign w:val="superscript"/>
        </w:rPr>
      </w:pPr>
    </w:p>
    <w:p>
      <w:pPr>
        <w:ind w:left="500" w:hanging="492"/>
        <w:spacing w:after="0" w:line="231" w:lineRule="auto"/>
        <w:tabs>
          <w:tab w:leader="none" w:pos="500" w:val="left"/>
        </w:tabs>
        <w:numPr>
          <w:ilvl w:val="0"/>
          <w:numId w:val="17"/>
        </w:numPr>
        <w:rPr>
          <w:rFonts w:ascii="Arial" w:cs="Arial" w:eastAsia="Arial" w:hAnsi="Arial"/>
          <w:sz w:val="28"/>
          <w:szCs w:val="28"/>
          <w:color w:val="auto"/>
          <w:vertAlign w:val="superscript"/>
        </w:rPr>
      </w:pPr>
      <w:r>
        <w:rPr>
          <w:rFonts w:ascii="Arial" w:cs="Arial" w:eastAsia="Arial" w:hAnsi="Arial"/>
          <w:sz w:val="16"/>
          <w:szCs w:val="16"/>
          <w:color w:val="auto"/>
        </w:rPr>
        <w:t>Interest income excludes amounts which are included in the segments’ income ($1 million in 2020; $5 million in 2019).</w:t>
      </w:r>
    </w:p>
    <w:p>
      <w:pPr>
        <w:spacing w:after="0" w:line="118" w:lineRule="exact"/>
        <w:rPr>
          <w:rFonts w:ascii="Arial" w:cs="Arial" w:eastAsia="Arial" w:hAnsi="Arial"/>
          <w:sz w:val="28"/>
          <w:szCs w:val="28"/>
          <w:color w:val="auto"/>
          <w:vertAlign w:val="superscript"/>
        </w:rPr>
      </w:pPr>
    </w:p>
    <w:p>
      <w:pPr>
        <w:ind w:left="500" w:hanging="492"/>
        <w:spacing w:after="0" w:line="182" w:lineRule="auto"/>
        <w:tabs>
          <w:tab w:leader="none" w:pos="500" w:val="left"/>
        </w:tabs>
        <w:numPr>
          <w:ilvl w:val="0"/>
          <w:numId w:val="17"/>
        </w:numPr>
        <w:rPr>
          <w:rFonts w:ascii="Arial" w:cs="Arial" w:eastAsia="Arial" w:hAnsi="Arial"/>
          <w:sz w:val="22"/>
          <w:szCs w:val="22"/>
          <w:color w:val="auto"/>
          <w:vertAlign w:val="superscript"/>
        </w:rPr>
      </w:pPr>
      <w:r>
        <w:rPr>
          <w:rFonts w:ascii="Arial" w:cs="Arial" w:eastAsia="Arial" w:hAnsi="Arial"/>
          <w:sz w:val="14"/>
          <w:szCs w:val="14"/>
          <w:color w:val="auto"/>
        </w:rPr>
        <w:t>Interest expense excludes amounts which are included in the segments’ income ($15 million in 2020; $20 million in 2019).</w:t>
      </w:r>
    </w:p>
    <w:p>
      <w:pPr>
        <w:spacing w:after="0" w:line="118" w:lineRule="exact"/>
        <w:rPr>
          <w:rFonts w:ascii="Arial" w:cs="Arial" w:eastAsia="Arial" w:hAnsi="Arial"/>
          <w:sz w:val="22"/>
          <w:szCs w:val="22"/>
          <w:color w:val="auto"/>
          <w:vertAlign w:val="superscript"/>
        </w:rPr>
      </w:pPr>
    </w:p>
    <w:p>
      <w:pPr>
        <w:ind w:left="500" w:hanging="492"/>
        <w:spacing w:after="0" w:line="182" w:lineRule="auto"/>
        <w:tabs>
          <w:tab w:leader="none" w:pos="500" w:val="left"/>
        </w:tabs>
        <w:numPr>
          <w:ilvl w:val="0"/>
          <w:numId w:val="17"/>
        </w:numPr>
        <w:rPr>
          <w:rFonts w:ascii="Arial" w:cs="Arial" w:eastAsia="Arial" w:hAnsi="Arial"/>
          <w:sz w:val="22"/>
          <w:szCs w:val="22"/>
          <w:color w:val="auto"/>
          <w:vertAlign w:val="superscript"/>
        </w:rPr>
      </w:pPr>
      <w:r>
        <w:rPr>
          <w:rFonts w:ascii="Arial" w:cs="Arial" w:eastAsia="Arial" w:hAnsi="Arial"/>
          <w:sz w:val="14"/>
          <w:szCs w:val="14"/>
          <w:color w:val="auto"/>
        </w:rPr>
        <w:t xml:space="preserve">See Note 2 – </w:t>
      </w:r>
      <w:r>
        <w:rPr>
          <w:rFonts w:ascii="Arial" w:cs="Arial" w:eastAsia="Arial" w:hAnsi="Arial"/>
          <w:sz w:val="14"/>
          <w:szCs w:val="14"/>
          <w:i w:val="1"/>
          <w:iCs w:val="1"/>
          <w:color w:val="auto"/>
        </w:rPr>
        <w:t>Charges and Credits</w:t>
      </w:r>
      <w:r>
        <w:rPr>
          <w:rFonts w:ascii="Arial" w:cs="Arial" w:eastAsia="Arial" w:hAnsi="Arial"/>
          <w:sz w:val="14"/>
          <w:szCs w:val="14"/>
          <w:color w:val="auto"/>
        </w:rPr>
        <w:t>.</w:t>
      </w:r>
    </w:p>
    <w:p>
      <w:pPr>
        <w:spacing w:after="0" w:line="20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40"/>
          </w:cols>
          <w:pgMar w:left="320" w:top="445"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Revenue by geographic area was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6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3"/>
          </w:tcPr>
          <w:p>
            <w:pPr>
              <w:ind w:left="60"/>
              <w:spacing w:after="0"/>
              <w:rPr>
                <w:sz w:val="20"/>
                <w:szCs w:val="20"/>
                <w:color w:val="auto"/>
              </w:rPr>
            </w:pPr>
            <w:r>
              <w:rPr>
                <w:rFonts w:ascii="Arial" w:cs="Arial" w:eastAsia="Arial" w:hAnsi="Arial"/>
                <w:sz w:val="14"/>
                <w:szCs w:val="14"/>
                <w:i w:val="1"/>
                <w:iCs w:val="1"/>
                <w:color w:val="auto"/>
              </w:rPr>
              <w:t>(Stated in millions)</w:t>
            </w:r>
          </w:p>
        </w:tc>
      </w:tr>
      <w:tr>
        <w:trPr>
          <w:trHeight w:val="444"/>
        </w:trPr>
        <w:tc>
          <w:tcPr>
            <w:tcW w:w="36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ind w:left="380"/>
              <w:spacing w:after="0"/>
              <w:rPr>
                <w:sz w:val="20"/>
                <w:szCs w:val="20"/>
                <w:color w:val="auto"/>
              </w:rPr>
            </w:pPr>
            <w:r>
              <w:rPr>
                <w:rFonts w:ascii="Arial" w:cs="Arial" w:eastAsia="Arial" w:hAnsi="Arial"/>
                <w:sz w:val="18"/>
                <w:szCs w:val="18"/>
                <w:b w:val="1"/>
                <w:bCs w:val="1"/>
                <w:color w:val="auto"/>
              </w:rPr>
              <w:t>Second Quarter</w:t>
            </w:r>
          </w:p>
        </w:tc>
        <w:tc>
          <w:tcPr>
            <w:tcW w:w="240" w:type="dxa"/>
            <w:vAlign w:val="bottom"/>
          </w:tcPr>
          <w:p>
            <w:pPr>
              <w:spacing w:after="0"/>
              <w:rPr>
                <w:sz w:val="24"/>
                <w:szCs w:val="24"/>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3680" w:type="dxa"/>
            <w:vAlign w:val="bottom"/>
            <w:tcBorders>
              <w:bottom w:val="single" w:sz="8" w:color="CFF0FC"/>
            </w:tcBorders>
          </w:tcPr>
          <w:p>
            <w:pPr>
              <w:spacing w:after="0"/>
              <w:rPr>
                <w:sz w:val="19"/>
                <w:szCs w:val="19"/>
                <w:color w:val="auto"/>
              </w:rPr>
            </w:pPr>
          </w:p>
        </w:tc>
        <w:tc>
          <w:tcPr>
            <w:tcW w:w="21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top w:val="single" w:sz="8" w:color="auto"/>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2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4"/>
              </w:rPr>
              <w:t>2019</w:t>
            </w:r>
          </w:p>
        </w:tc>
        <w:tc>
          <w:tcPr>
            <w:tcW w:w="120" w:type="dxa"/>
            <w:vAlign w:val="bottom"/>
            <w:tcBorders>
              <w:bottom w:val="single" w:sz="8" w:color="CFF0FC"/>
            </w:tcBorders>
          </w:tcPr>
          <w:p>
            <w:pPr>
              <w:spacing w:after="0"/>
              <w:rPr>
                <w:sz w:val="19"/>
                <w:szCs w:val="19"/>
                <w:color w:val="auto"/>
              </w:rPr>
            </w:pPr>
          </w:p>
        </w:tc>
      </w:tr>
      <w:tr>
        <w:trPr>
          <w:trHeight w:val="223"/>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North America</w:t>
            </w:r>
          </w:p>
        </w:tc>
        <w:tc>
          <w:tcPr>
            <w:tcW w:w="21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1,183</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2,801</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3,463</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6"/>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5,539</w:t>
            </w:r>
          </w:p>
        </w:tc>
        <w:tc>
          <w:tcPr>
            <w:tcW w:w="120" w:type="dxa"/>
            <w:vAlign w:val="bottom"/>
            <w:shd w:val="clear" w:color="auto" w:fill="CFF0FC"/>
          </w:tcPr>
          <w:p>
            <w:pPr>
              <w:spacing w:after="0"/>
              <w:rPr>
                <w:sz w:val="19"/>
                <w:szCs w:val="19"/>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Latin America</w:t>
            </w:r>
          </w:p>
        </w:tc>
        <w:tc>
          <w:tcPr>
            <w:tcW w:w="2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543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1,488</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2,107</w:t>
            </w:r>
          </w:p>
        </w:tc>
        <w:tc>
          <w:tcPr>
            <w:tcW w:w="120" w:type="dxa"/>
            <w:vAlign w:val="bottom"/>
          </w:tcPr>
          <w:p>
            <w:pPr>
              <w:spacing w:after="0"/>
              <w:rPr>
                <w:sz w:val="19"/>
                <w:szCs w:val="19"/>
                <w:color w:val="auto"/>
              </w:rPr>
            </w:pPr>
          </w:p>
        </w:tc>
      </w:tr>
      <w:tr>
        <w:trPr>
          <w:trHeight w:val="229"/>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Europe/CIS/Africa</w:t>
            </w:r>
          </w:p>
        </w:tc>
        <w:tc>
          <w:tcPr>
            <w:tcW w:w="2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1,449</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1,896</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3,200</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3,602</w:t>
            </w:r>
          </w:p>
        </w:tc>
        <w:tc>
          <w:tcPr>
            <w:tcW w:w="120" w:type="dxa"/>
            <w:vAlign w:val="bottom"/>
            <w:shd w:val="clear" w:color="auto" w:fill="CFF0FC"/>
          </w:tcPr>
          <w:p>
            <w:pPr>
              <w:spacing w:after="0"/>
              <w:rPr>
                <w:sz w:val="19"/>
                <w:szCs w:val="19"/>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Middle East &amp; Asia</w:t>
            </w:r>
          </w:p>
        </w:tc>
        <w:tc>
          <w:tcPr>
            <w:tcW w:w="2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2,146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2,452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4,572</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4,790</w:t>
            </w:r>
          </w:p>
        </w:tc>
        <w:tc>
          <w:tcPr>
            <w:tcW w:w="120" w:type="dxa"/>
            <w:vAlign w:val="bottom"/>
          </w:tcPr>
          <w:p>
            <w:pPr>
              <w:spacing w:after="0"/>
              <w:rPr>
                <w:sz w:val="19"/>
                <w:szCs w:val="19"/>
                <w:color w:val="auto"/>
              </w:rPr>
            </w:pPr>
          </w:p>
        </w:tc>
      </w:tr>
      <w:tr>
        <w:trPr>
          <w:trHeight w:val="229"/>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2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35</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88</w:t>
            </w:r>
          </w:p>
        </w:tc>
        <w:tc>
          <w:tcPr>
            <w:tcW w:w="2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FF0FC"/>
          </w:tcPr>
          <w:p>
            <w:pPr>
              <w:spacing w:after="0"/>
              <w:rPr>
                <w:sz w:val="19"/>
                <w:szCs w:val="19"/>
                <w:color w:val="auto"/>
              </w:rPr>
            </w:pPr>
          </w:p>
        </w:tc>
      </w:tr>
      <w:tr>
        <w:trPr>
          <w:trHeight w:val="223"/>
        </w:trPr>
        <w:tc>
          <w:tcPr>
            <w:tcW w:w="36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5,356</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8,269</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12,811</w:t>
            </w:r>
          </w:p>
        </w:tc>
        <w:tc>
          <w:tcPr>
            <w:tcW w:w="220" w:type="dxa"/>
            <w:vAlign w:val="bottom"/>
          </w:tcPr>
          <w:p>
            <w:pPr>
              <w:spacing w:after="0"/>
              <w:rPr>
                <w:sz w:val="19"/>
                <w:szCs w:val="19"/>
                <w:color w:val="auto"/>
              </w:rPr>
            </w:pPr>
          </w:p>
        </w:tc>
        <w:tc>
          <w:tcPr>
            <w:tcW w:w="36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16,149</w:t>
            </w:r>
          </w:p>
        </w:tc>
        <w:tc>
          <w:tcPr>
            <w:tcW w:w="120" w:type="dxa"/>
            <w:vAlign w:val="bottom"/>
          </w:tcPr>
          <w:p>
            <w:pPr>
              <w:spacing w:after="0"/>
              <w:rPr>
                <w:sz w:val="19"/>
                <w:szCs w:val="19"/>
                <w:color w:val="auto"/>
              </w:rPr>
            </w:pPr>
          </w:p>
        </w:tc>
      </w:tr>
      <w:tr>
        <w:trPr>
          <w:trHeight w:val="20"/>
        </w:trPr>
        <w:tc>
          <w:tcPr>
            <w:tcW w:w="36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North America and International revenue disaggregated by segment was as follows: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4"/>
                <w:szCs w:val="14"/>
                <w:i w:val="1"/>
                <w:iCs w:val="1"/>
                <w:color w:val="auto"/>
                <w:w w:val="98"/>
              </w:rPr>
              <w:t>(Stated in millions)</w:t>
            </w:r>
          </w:p>
        </w:tc>
        <w:tc>
          <w:tcPr>
            <w:tcW w:w="0" w:type="dxa"/>
            <w:vAlign w:val="bottom"/>
          </w:tcPr>
          <w:p>
            <w:pPr>
              <w:spacing w:after="0"/>
              <w:rPr>
                <w:sz w:val="1"/>
                <w:szCs w:val="1"/>
                <w:color w:val="auto"/>
              </w:rPr>
            </w:pPr>
          </w:p>
        </w:tc>
      </w:tr>
      <w:tr>
        <w:trPr>
          <w:trHeight w:val="444"/>
        </w:trPr>
        <w:tc>
          <w:tcPr>
            <w:tcW w:w="37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4"/>
          </w:tcPr>
          <w:p>
            <w:pPr>
              <w:jc w:val="right"/>
              <w:ind w:right="98"/>
              <w:spacing w:after="0"/>
              <w:rPr>
                <w:sz w:val="20"/>
                <w:szCs w:val="20"/>
                <w:color w:val="auto"/>
              </w:rPr>
            </w:pPr>
            <w:r>
              <w:rPr>
                <w:rFonts w:ascii="Arial" w:cs="Arial" w:eastAsia="Arial" w:hAnsi="Arial"/>
                <w:sz w:val="18"/>
                <w:szCs w:val="18"/>
                <w:b w:val="1"/>
                <w:bCs w:val="1"/>
                <w:color w:val="auto"/>
              </w:rPr>
              <w:t>Second Quarter 2020</w:t>
            </w: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7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North</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1"/>
              </w:rPr>
              <w:t>Eliminations</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America</w:t>
            </w:r>
          </w:p>
        </w:tc>
        <w:tc>
          <w:tcPr>
            <w:tcW w:w="13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8"/>
              </w:rPr>
              <w:t>International</w:t>
            </w:r>
          </w:p>
        </w:tc>
        <w:tc>
          <w:tcPr>
            <w:tcW w:w="100" w:type="dxa"/>
            <w:vAlign w:val="bottom"/>
          </w:tcPr>
          <w:p>
            <w:pPr>
              <w:spacing w:after="0"/>
              <w:rPr>
                <w:sz w:val="20"/>
                <w:szCs w:val="20"/>
                <w:color w:val="auto"/>
              </w:rPr>
            </w:pPr>
          </w:p>
        </w:tc>
        <w:tc>
          <w:tcPr>
            <w:tcW w:w="880" w:type="dxa"/>
            <w:vAlign w:val="bottom"/>
          </w:tcPr>
          <w:p>
            <w:pPr>
              <w:jc w:val="center"/>
              <w:ind w:left="158"/>
              <w:spacing w:after="0"/>
              <w:rPr>
                <w:sz w:val="20"/>
                <w:szCs w:val="20"/>
                <w:color w:val="auto"/>
              </w:rPr>
            </w:pPr>
            <w:r>
              <w:rPr>
                <w:rFonts w:ascii="Arial" w:cs="Arial" w:eastAsia="Arial" w:hAnsi="Arial"/>
                <w:sz w:val="18"/>
                <w:szCs w:val="18"/>
                <w:b w:val="1"/>
                <w:bCs w:val="1"/>
                <w:color w:val="auto"/>
                <w:w w:val="95"/>
              </w:rPr>
              <w:t>&amp; other</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3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Reservoir Characterization</w:t>
            </w:r>
          </w:p>
        </w:tc>
        <w:tc>
          <w:tcPr>
            <w:tcW w:w="20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165</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880</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ind w:right="718"/>
              <w:spacing w:after="0"/>
              <w:rPr>
                <w:sz w:val="20"/>
                <w:szCs w:val="20"/>
                <w:color w:val="auto"/>
              </w:rPr>
            </w:pPr>
            <w:r>
              <w:rPr>
                <w:rFonts w:ascii="Arial" w:cs="Arial" w:eastAsia="Arial" w:hAnsi="Arial"/>
                <w:sz w:val="15"/>
                <w:szCs w:val="15"/>
                <w:b w:val="1"/>
                <w:bCs w:val="1"/>
                <w:color w:val="auto"/>
                <w:w w:val="71"/>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1,052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tcPr>
          <w:p>
            <w:pPr>
              <w:spacing w:after="0"/>
              <w:rPr>
                <w:sz w:val="20"/>
                <w:szCs w:val="20"/>
                <w:color w:val="auto"/>
              </w:rPr>
            </w:pPr>
            <w:r>
              <w:rPr>
                <w:rFonts w:ascii="Arial" w:cs="Arial" w:eastAsia="Arial" w:hAnsi="Arial"/>
                <w:sz w:val="18"/>
                <w:szCs w:val="18"/>
                <w:color w:val="auto"/>
              </w:rPr>
              <w:t>Drilling</w:t>
            </w:r>
          </w:p>
        </w:tc>
        <w:tc>
          <w:tcPr>
            <w:tcW w:w="2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269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1,417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45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1,731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Production</w:t>
            </w:r>
          </w:p>
        </w:tc>
        <w:tc>
          <w:tcPr>
            <w:tcW w:w="2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408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1,205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tcPr>
          <w:p>
            <w:pPr>
              <w:spacing w:after="0"/>
              <w:rPr>
                <w:sz w:val="20"/>
                <w:szCs w:val="20"/>
                <w:color w:val="auto"/>
              </w:rPr>
            </w:pPr>
            <w:r>
              <w:rPr>
                <w:rFonts w:ascii="Arial" w:cs="Arial" w:eastAsia="Arial" w:hAnsi="Arial"/>
                <w:sz w:val="18"/>
                <w:szCs w:val="18"/>
                <w:color w:val="auto"/>
              </w:rPr>
              <w:t>Cameron</w:t>
            </w:r>
          </w:p>
        </w:tc>
        <w:tc>
          <w:tcPr>
            <w:tcW w:w="2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341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676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1,015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(40)</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w w:val="99"/>
              </w:rPr>
              <w:t>(17)</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(57)</w:t>
            </w:r>
          </w:p>
        </w:tc>
        <w:tc>
          <w:tcPr>
            <w:tcW w:w="0" w:type="dxa"/>
            <w:vAlign w:val="bottom"/>
          </w:tcPr>
          <w:p>
            <w:pPr>
              <w:spacing w:after="0"/>
              <w:rPr>
                <w:sz w:val="1"/>
                <w:szCs w:val="1"/>
                <w:color w:val="auto"/>
              </w:rPr>
            </w:pPr>
          </w:p>
        </w:tc>
      </w:tr>
      <w:tr>
        <w:trPr>
          <w:trHeight w:val="223"/>
        </w:trPr>
        <w:tc>
          <w:tcPr>
            <w:tcW w:w="37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1,183</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4,138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718"/>
              <w:spacing w:after="0"/>
              <w:rPr>
                <w:sz w:val="20"/>
                <w:szCs w:val="20"/>
                <w:color w:val="auto"/>
              </w:rPr>
            </w:pPr>
            <w:r>
              <w:rPr>
                <w:rFonts w:ascii="Arial" w:cs="Arial" w:eastAsia="Arial" w:hAnsi="Arial"/>
                <w:sz w:val="15"/>
                <w:szCs w:val="15"/>
                <w:b w:val="1"/>
                <w:bCs w:val="1"/>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37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4"/>
          </w:tcPr>
          <w:p>
            <w:pPr>
              <w:jc w:val="right"/>
              <w:ind w:right="138"/>
              <w:spacing w:after="0"/>
              <w:rPr>
                <w:sz w:val="20"/>
                <w:szCs w:val="20"/>
                <w:color w:val="auto"/>
              </w:rPr>
            </w:pPr>
            <w:r>
              <w:rPr>
                <w:rFonts w:ascii="Arial" w:cs="Arial" w:eastAsia="Arial" w:hAnsi="Arial"/>
                <w:sz w:val="18"/>
                <w:szCs w:val="18"/>
                <w:color w:val="auto"/>
              </w:rPr>
              <w:t>Second Quarter 2019</w:t>
            </w: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7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color w:val="auto"/>
                <w:w w:val="95"/>
              </w:rPr>
              <w:t>North</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8"/>
                <w:szCs w:val="18"/>
                <w:color w:val="auto"/>
                <w:w w:val="94"/>
              </w:rPr>
              <w:t>Eliminations</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America</w:t>
            </w:r>
          </w:p>
        </w:tc>
        <w:tc>
          <w:tcPr>
            <w:tcW w:w="10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International</w:t>
            </w:r>
          </w:p>
        </w:tc>
        <w:tc>
          <w:tcPr>
            <w:tcW w:w="100" w:type="dxa"/>
            <w:vAlign w:val="bottom"/>
          </w:tcPr>
          <w:p>
            <w:pPr>
              <w:spacing w:after="0"/>
              <w:rPr>
                <w:sz w:val="20"/>
                <w:szCs w:val="20"/>
                <w:color w:val="auto"/>
              </w:rPr>
            </w:pPr>
          </w:p>
        </w:tc>
        <w:tc>
          <w:tcPr>
            <w:tcW w:w="880" w:type="dxa"/>
            <w:vAlign w:val="bottom"/>
          </w:tcPr>
          <w:p>
            <w:pPr>
              <w:jc w:val="center"/>
              <w:ind w:left="158"/>
              <w:spacing w:after="0"/>
              <w:rPr>
                <w:sz w:val="20"/>
                <w:szCs w:val="20"/>
                <w:color w:val="auto"/>
              </w:rPr>
            </w:pPr>
            <w:r>
              <w:rPr>
                <w:rFonts w:ascii="Arial" w:cs="Arial" w:eastAsia="Arial" w:hAnsi="Arial"/>
                <w:sz w:val="18"/>
                <w:szCs w:val="18"/>
                <w:color w:val="auto"/>
                <w:w w:val="96"/>
              </w:rPr>
              <w:t>&amp; other</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3"/>
        </w:trPr>
        <w:tc>
          <w:tcPr>
            <w:tcW w:w="3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Reservoir Characterization</w:t>
            </w:r>
          </w:p>
        </w:tc>
        <w:tc>
          <w:tcPr>
            <w:tcW w:w="20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1,312</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ind w:right="718"/>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tcPr>
          <w:p>
            <w:pPr>
              <w:spacing w:after="0"/>
              <w:rPr>
                <w:sz w:val="20"/>
                <w:szCs w:val="20"/>
                <w:color w:val="auto"/>
              </w:rPr>
            </w:pPr>
            <w:r>
              <w:rPr>
                <w:rFonts w:ascii="Arial" w:cs="Arial" w:eastAsia="Arial" w:hAnsi="Arial"/>
                <w:sz w:val="18"/>
                <w:szCs w:val="18"/>
                <w:color w:val="auto"/>
              </w:rPr>
              <w:t>Drilling</w:t>
            </w:r>
          </w:p>
        </w:tc>
        <w:tc>
          <w:tcPr>
            <w:tcW w:w="2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1,819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Production</w:t>
            </w:r>
          </w:p>
        </w:tc>
        <w:tc>
          <w:tcPr>
            <w:tcW w:w="2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Cameron</w:t>
            </w:r>
          </w:p>
        </w:tc>
        <w:tc>
          <w:tcPr>
            <w:tcW w:w="2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(26)</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9"/>
              </w:rPr>
              <w:t>(23)</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3"/>
        </w:trPr>
        <w:tc>
          <w:tcPr>
            <w:tcW w:w="37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2,801</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5,463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718"/>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04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8"/>
        </w:trPr>
        <w:tc>
          <w:tcPr>
            <w:tcW w:w="374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4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82"/>
        </w:trPr>
        <w:tc>
          <w:tcPr>
            <w:tcW w:w="38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3"/>
          </w:tcPr>
          <w:p>
            <w:pPr>
              <w:jc w:val="center"/>
              <w:ind w:right="80"/>
              <w:spacing w:after="0"/>
              <w:rPr>
                <w:sz w:val="20"/>
                <w:szCs w:val="20"/>
                <w:color w:val="auto"/>
              </w:rPr>
            </w:pPr>
            <w:r>
              <w:rPr>
                <w:rFonts w:ascii="Arial" w:cs="Arial" w:eastAsia="Arial" w:hAnsi="Arial"/>
                <w:sz w:val="14"/>
                <w:szCs w:val="14"/>
                <w:i w:val="1"/>
                <w:iCs w:val="1"/>
                <w:color w:val="auto"/>
                <w:w w:val="95"/>
              </w:rPr>
              <w:t>(Stated in millions)</w:t>
            </w:r>
          </w:p>
        </w:tc>
      </w:tr>
      <w:tr>
        <w:trPr>
          <w:trHeight w:val="444"/>
        </w:trPr>
        <w:tc>
          <w:tcPr>
            <w:tcW w:w="38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b w:val="1"/>
                <w:bCs w:val="1"/>
                <w:color w:val="auto"/>
              </w:rPr>
              <w:t>Six Months 2020</w:t>
            </w: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38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5"/>
              </w:rPr>
              <w:t>North</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1"/>
              </w:rPr>
              <w:t>Eliminations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8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America</w:t>
            </w:r>
          </w:p>
        </w:tc>
        <w:tc>
          <w:tcPr>
            <w:tcW w:w="140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8"/>
              </w:rPr>
              <w:t>International</w:t>
            </w:r>
          </w:p>
        </w:tc>
        <w:tc>
          <w:tcPr>
            <w:tcW w:w="880" w:type="dxa"/>
            <w:vAlign w:val="bottom"/>
          </w:tcPr>
          <w:p>
            <w:pPr>
              <w:jc w:val="center"/>
              <w:ind w:left="190"/>
              <w:spacing w:after="0"/>
              <w:rPr>
                <w:sz w:val="20"/>
                <w:szCs w:val="20"/>
                <w:color w:val="auto"/>
              </w:rPr>
            </w:pPr>
            <w:r>
              <w:rPr>
                <w:rFonts w:ascii="Arial" w:cs="Arial" w:eastAsia="Arial" w:hAnsi="Arial"/>
                <w:sz w:val="18"/>
                <w:szCs w:val="18"/>
                <w:b w:val="1"/>
                <w:bCs w:val="1"/>
                <w:color w:val="auto"/>
                <w:w w:val="95"/>
              </w:rPr>
              <w:t>&amp; other</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Total</w:t>
            </w:r>
          </w:p>
        </w:tc>
      </w:tr>
      <w:tr>
        <w:trPr>
          <w:trHeight w:val="223"/>
        </w:trPr>
        <w:tc>
          <w:tcPr>
            <w:tcW w:w="3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Reservoir Characterization</w:t>
            </w:r>
          </w:p>
        </w:tc>
        <w:tc>
          <w:tcPr>
            <w:tcW w:w="19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365</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1,988</w:t>
            </w:r>
          </w:p>
        </w:tc>
        <w:tc>
          <w:tcPr>
            <w:tcW w:w="24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ind w:right="690"/>
              <w:spacing w:after="0"/>
              <w:rPr>
                <w:sz w:val="20"/>
                <w:szCs w:val="20"/>
                <w:color w:val="auto"/>
              </w:rPr>
            </w:pPr>
            <w:r>
              <w:rPr>
                <w:rFonts w:ascii="Arial" w:cs="Arial" w:eastAsia="Arial" w:hAnsi="Arial"/>
                <w:sz w:val="18"/>
                <w:szCs w:val="18"/>
                <w:b w:val="1"/>
                <w:bCs w:val="1"/>
                <w:color w:val="auto"/>
                <w:w w:val="79"/>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2,363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Drilling</w:t>
            </w: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792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3,139</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89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4,020</w:t>
            </w:r>
          </w:p>
        </w:tc>
        <w:tc>
          <w:tcPr>
            <w:tcW w:w="100" w:type="dxa"/>
            <w:vAlign w:val="bottom"/>
          </w:tcPr>
          <w:p>
            <w:pPr>
              <w:spacing w:after="0"/>
              <w:rPr>
                <w:sz w:val="19"/>
                <w:szCs w:val="19"/>
                <w:color w:val="auto"/>
              </w:rPr>
            </w:pPr>
          </w:p>
        </w:tc>
      </w:tr>
      <w:tr>
        <w:trPr>
          <w:trHeight w:val="229"/>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Production</w:t>
            </w:r>
          </w:p>
        </w:tc>
        <w:tc>
          <w:tcPr>
            <w:tcW w:w="1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1,475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2,842</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4,318</w:t>
            </w:r>
          </w:p>
        </w:tc>
        <w:tc>
          <w:tcPr>
            <w:tcW w:w="100" w:type="dxa"/>
            <w:vAlign w:val="bottom"/>
            <w:shd w:val="clear" w:color="auto" w:fill="CFF0FC"/>
          </w:tcPr>
          <w:p>
            <w:pPr>
              <w:spacing w:after="0"/>
              <w:rPr>
                <w:sz w:val="19"/>
                <w:szCs w:val="19"/>
                <w:color w:val="auto"/>
              </w:rPr>
            </w:pPr>
          </w:p>
        </w:tc>
      </w:tr>
      <w:tr>
        <w:trPr>
          <w:trHeight w:val="229"/>
        </w:trPr>
        <w:tc>
          <w:tcPr>
            <w:tcW w:w="3860" w:type="dxa"/>
            <w:vAlign w:val="bottom"/>
          </w:tcPr>
          <w:p>
            <w:pPr>
              <w:spacing w:after="0"/>
              <w:rPr>
                <w:sz w:val="20"/>
                <w:szCs w:val="20"/>
                <w:color w:val="auto"/>
              </w:rPr>
            </w:pPr>
            <w:r>
              <w:rPr>
                <w:rFonts w:ascii="Arial" w:cs="Arial" w:eastAsia="Arial" w:hAnsi="Arial"/>
                <w:sz w:val="18"/>
                <w:szCs w:val="18"/>
                <w:color w:val="auto"/>
              </w:rPr>
              <w:t>Cameron</w:t>
            </w: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847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1,402</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2,270</w:t>
            </w:r>
          </w:p>
        </w:tc>
        <w:tc>
          <w:tcPr>
            <w:tcW w:w="100" w:type="dxa"/>
            <w:vAlign w:val="bottom"/>
          </w:tcPr>
          <w:p>
            <w:pPr>
              <w:spacing w:after="0"/>
              <w:rPr>
                <w:sz w:val="19"/>
                <w:szCs w:val="19"/>
                <w:color w:val="auto"/>
              </w:rPr>
            </w:pPr>
          </w:p>
        </w:tc>
      </w:t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(16)</w:t>
            </w:r>
          </w:p>
        </w:tc>
        <w:tc>
          <w:tcPr>
            <w:tcW w:w="1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(111)</w:t>
            </w:r>
          </w:p>
        </w:tc>
        <w:tc>
          <w:tcPr>
            <w:tcW w:w="88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auto"/>
                <w:w w:val="99"/>
              </w:rPr>
              <w:t>(33)</w:t>
            </w: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(160)</w:t>
            </w:r>
          </w:p>
        </w:tc>
      </w:tr>
      <w:tr>
        <w:trPr>
          <w:trHeight w:val="223"/>
        </w:trPr>
        <w:tc>
          <w:tcPr>
            <w:tcW w:w="38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3,463</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9,260</w:t>
            </w:r>
          </w:p>
        </w:tc>
        <w:tc>
          <w:tcPr>
            <w:tcW w:w="2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w w:val="7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w:t>
            </w:r>
          </w:p>
        </w:tc>
        <w:tc>
          <w:tcPr>
            <w:tcW w:w="2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12,811</w:t>
            </w:r>
          </w:p>
        </w:tc>
        <w:tc>
          <w:tcPr>
            <w:tcW w:w="100" w:type="dxa"/>
            <w:vAlign w:val="bottom"/>
          </w:tcPr>
          <w:p>
            <w:pPr>
              <w:spacing w:after="0"/>
              <w:rPr>
                <w:sz w:val="19"/>
                <w:szCs w:val="19"/>
                <w:color w:val="auto"/>
              </w:rPr>
            </w:pPr>
          </w:p>
        </w:tc>
      </w:tr>
      <w:tr>
        <w:trPr>
          <w:trHeight w:val="20"/>
        </w:trPr>
        <w:tc>
          <w:tcPr>
            <w:tcW w:w="38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69"/>
        </w:trPr>
        <w:tc>
          <w:tcPr>
            <w:tcW w:w="38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color w:val="auto"/>
              </w:rPr>
              <w:t>Six Months 2019</w:t>
            </w: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38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8"/>
                <w:szCs w:val="18"/>
                <w:color w:val="auto"/>
                <w:w w:val="95"/>
              </w:rPr>
              <w:t>North</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3"/>
          </w:tcPr>
          <w:p>
            <w:pPr>
              <w:jc w:val="center"/>
              <w:ind w:right="260"/>
              <w:spacing w:after="0"/>
              <w:rPr>
                <w:sz w:val="20"/>
                <w:szCs w:val="20"/>
                <w:color w:val="auto"/>
              </w:rPr>
            </w:pPr>
            <w:r>
              <w:rPr>
                <w:rFonts w:ascii="Arial" w:cs="Arial" w:eastAsia="Arial" w:hAnsi="Arial"/>
                <w:sz w:val="18"/>
                <w:szCs w:val="18"/>
                <w:color w:val="auto"/>
                <w:w w:val="94"/>
              </w:rPr>
              <w:t>Eliminations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8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America</w:t>
            </w:r>
          </w:p>
        </w:tc>
        <w:tc>
          <w:tcPr>
            <w:tcW w:w="100" w:type="dxa"/>
            <w:vAlign w:val="bottom"/>
          </w:tcPr>
          <w:p>
            <w:pPr>
              <w:spacing w:after="0"/>
              <w:rPr>
                <w:sz w:val="20"/>
                <w:szCs w:val="20"/>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International</w:t>
            </w:r>
          </w:p>
        </w:tc>
        <w:tc>
          <w:tcPr>
            <w:tcW w:w="880" w:type="dxa"/>
            <w:vAlign w:val="bottom"/>
          </w:tcPr>
          <w:p>
            <w:pPr>
              <w:jc w:val="center"/>
              <w:ind w:left="190"/>
              <w:spacing w:after="0"/>
              <w:rPr>
                <w:sz w:val="20"/>
                <w:szCs w:val="20"/>
                <w:color w:val="auto"/>
              </w:rPr>
            </w:pPr>
            <w:r>
              <w:rPr>
                <w:rFonts w:ascii="Arial" w:cs="Arial" w:eastAsia="Arial" w:hAnsi="Arial"/>
                <w:sz w:val="18"/>
                <w:szCs w:val="18"/>
                <w:color w:val="auto"/>
                <w:w w:val="96"/>
              </w:rPr>
              <w:t>&amp; other</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Total</w:t>
            </w:r>
          </w:p>
        </w:tc>
      </w:tr>
      <w:tr>
        <w:trPr>
          <w:trHeight w:val="223"/>
        </w:trPr>
        <w:tc>
          <w:tcPr>
            <w:tcW w:w="3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Reservoir Characterization</w:t>
            </w:r>
          </w:p>
        </w:tc>
        <w:tc>
          <w:tcPr>
            <w:tcW w:w="19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2,552</w:t>
            </w:r>
          </w:p>
        </w:tc>
        <w:tc>
          <w:tcPr>
            <w:tcW w:w="24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ind w:right="69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3,017</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3860" w:type="dxa"/>
            <w:vAlign w:val="bottom"/>
          </w:tcPr>
          <w:p>
            <w:pPr>
              <w:spacing w:after="0"/>
              <w:rPr>
                <w:sz w:val="20"/>
                <w:szCs w:val="20"/>
                <w:color w:val="auto"/>
              </w:rPr>
            </w:pPr>
            <w:r>
              <w:rPr>
                <w:rFonts w:ascii="Arial" w:cs="Arial" w:eastAsia="Arial" w:hAnsi="Arial"/>
                <w:sz w:val="18"/>
                <w:szCs w:val="18"/>
                <w:color w:val="auto"/>
              </w:rPr>
              <w:t>Drilling</w:t>
            </w: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3,574</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104</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4,806</w:t>
            </w:r>
          </w:p>
        </w:tc>
        <w:tc>
          <w:tcPr>
            <w:tcW w:w="100" w:type="dxa"/>
            <w:vAlign w:val="bottom"/>
          </w:tcPr>
          <w:p>
            <w:pPr>
              <w:spacing w:after="0"/>
              <w:rPr>
                <w:sz w:val="19"/>
                <w:szCs w:val="19"/>
                <w:color w:val="auto"/>
              </w:rPr>
            </w:pPr>
          </w:p>
        </w:tc>
      </w:tr>
      <w:tr>
        <w:trPr>
          <w:trHeight w:val="229"/>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Production</w:t>
            </w:r>
          </w:p>
        </w:tc>
        <w:tc>
          <w:tcPr>
            <w:tcW w:w="1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3,173</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5,967</w:t>
            </w:r>
          </w:p>
        </w:tc>
        <w:tc>
          <w:tcPr>
            <w:tcW w:w="100" w:type="dxa"/>
            <w:vAlign w:val="bottom"/>
            <w:shd w:val="clear" w:color="auto" w:fill="CFF0FC"/>
          </w:tcPr>
          <w:p>
            <w:pPr>
              <w:spacing w:after="0"/>
              <w:rPr>
                <w:sz w:val="19"/>
                <w:szCs w:val="19"/>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Cameron</w:t>
            </w: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1,375</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2,586</w:t>
            </w:r>
          </w:p>
        </w:tc>
        <w:tc>
          <w:tcPr>
            <w:tcW w:w="100" w:type="dxa"/>
            <w:vAlign w:val="bottom"/>
          </w:tcPr>
          <w:p>
            <w:pPr>
              <w:spacing w:after="0"/>
              <w:rPr>
                <w:sz w:val="19"/>
                <w:szCs w:val="19"/>
                <w:color w:val="auto"/>
              </w:rPr>
            </w:pPr>
          </w:p>
        </w:tc>
      </w:tr>
      <w:tr>
        <w:trPr>
          <w:trHeight w:val="229"/>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(175)</w:t>
            </w:r>
          </w:p>
        </w:tc>
        <w:tc>
          <w:tcPr>
            <w:tcW w:w="88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99"/>
              </w:rPr>
              <w:t>(31)</w:t>
            </w: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(227)</w:t>
            </w:r>
          </w:p>
        </w:tc>
      </w:tr>
      <w:tr>
        <w:trPr>
          <w:trHeight w:val="223"/>
        </w:trPr>
        <w:tc>
          <w:tcPr>
            <w:tcW w:w="38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5,539</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10,499</w:t>
            </w:r>
          </w:p>
        </w:tc>
        <w:tc>
          <w:tcPr>
            <w:tcW w:w="2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111</w:t>
            </w:r>
          </w:p>
        </w:tc>
        <w:tc>
          <w:tcPr>
            <w:tcW w:w="2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16,149</w:t>
            </w:r>
          </w:p>
        </w:tc>
        <w:tc>
          <w:tcPr>
            <w:tcW w:w="100" w:type="dxa"/>
            <w:vAlign w:val="bottom"/>
          </w:tcPr>
          <w:p>
            <w:pPr>
              <w:spacing w:after="0"/>
              <w:rPr>
                <w:sz w:val="19"/>
                <w:szCs w:val="19"/>
                <w:color w:val="auto"/>
              </w:rPr>
            </w:pPr>
          </w:p>
        </w:tc>
      </w:tr>
      <w:tr>
        <w:trPr>
          <w:trHeight w:val="20"/>
        </w:trPr>
        <w:tc>
          <w:tcPr>
            <w:tcW w:w="38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Revenue in excess of billings related to contracts where revenue is recognized over time was $0.2 billion at both June 30, 2020 and December 31, 2019. Such amounts are included within </w:t>
      </w:r>
      <w:r>
        <w:rPr>
          <w:rFonts w:ascii="Arial" w:cs="Arial" w:eastAsia="Arial" w:hAnsi="Arial"/>
          <w:sz w:val="18"/>
          <w:szCs w:val="18"/>
          <w:i w:val="1"/>
          <w:iCs w:val="1"/>
          <w:color w:val="auto"/>
        </w:rPr>
        <w:t>Receivables less allowance for doubtful accounts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Balance Sheet</w:t>
      </w:r>
      <w:r>
        <w:rPr>
          <w:rFonts w:ascii="Arial" w:cs="Arial" w:eastAsia="Arial" w:hAnsi="Arial"/>
          <w:sz w:val="18"/>
          <w:szCs w:val="18"/>
          <w:color w:val="auto"/>
        </w:rPr>
        <w: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Due to the nature of its business, Schlumberger does not have significant backlog. Total backlog was $2.8 billion at June 30, 2020, of which approximately 50% is expected to be recognized as revenue over the next 12 months.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Billings and cash collections in excess of revenue was $1.1 billion at June 30, 2020 and $0.9 billion at December 31, 2019. Such amounts are included within </w:t>
      </w:r>
      <w:r>
        <w:rPr>
          <w:rFonts w:ascii="Arial" w:cs="Arial" w:eastAsia="Arial" w:hAnsi="Arial"/>
          <w:sz w:val="18"/>
          <w:szCs w:val="18"/>
          <w:i w:val="1"/>
          <w:iCs w:val="1"/>
          <w:color w:val="auto"/>
        </w:rPr>
        <w:t>Accounts payable and accrued liabilities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Balance Sheet</w:t>
      </w:r>
      <w:r>
        <w:rPr>
          <w:rFonts w:ascii="Arial" w:cs="Arial" w:eastAsia="Arial" w:hAnsi="Arial"/>
          <w:sz w:val="18"/>
          <w:szCs w:val="18"/>
          <w:color w:val="auto"/>
        </w:rPr>
        <w:t>.</w:t>
      </w:r>
    </w:p>
    <w:p>
      <w:pPr>
        <w:spacing w:after="0" w:line="274" w:lineRule="exact"/>
        <w:rPr>
          <w:sz w:val="20"/>
          <w:szCs w:val="20"/>
          <w:color w:val="auto"/>
        </w:rPr>
      </w:pPr>
    </w:p>
    <w:p>
      <w:pPr>
        <w:ind w:left="360" w:hanging="352"/>
        <w:spacing w:after="0"/>
        <w:tabs>
          <w:tab w:leader="none" w:pos="3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Pension and Other Postretirement Benefit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Net pension cost (credit) for the Schlumberger pension plans included the following components: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gridSpan w:val="5"/>
          </w:tcPr>
          <w:p>
            <w:pPr>
              <w:jc w:val="right"/>
              <w:ind w:right="140"/>
              <w:spacing w:after="0"/>
              <w:rPr>
                <w:sz w:val="20"/>
                <w:szCs w:val="20"/>
                <w:color w:val="auto"/>
              </w:rPr>
            </w:pPr>
            <w:r>
              <w:rPr>
                <w:rFonts w:ascii="Arial" w:cs="Arial" w:eastAsia="Arial" w:hAnsi="Arial"/>
                <w:sz w:val="14"/>
                <w:szCs w:val="14"/>
                <w:i w:val="1"/>
                <w:iCs w:val="1"/>
                <w:color w:val="auto"/>
              </w:rPr>
              <w:t>(Stated in millions)</w:t>
            </w:r>
          </w:p>
        </w:tc>
      </w:tr>
      <w:tr>
        <w:trPr>
          <w:trHeight w:val="430"/>
        </w:trPr>
        <w:tc>
          <w:tcPr>
            <w:tcW w:w="39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8"/>
                <w:szCs w:val="18"/>
                <w:b w:val="1"/>
                <w:bCs w:val="1"/>
                <w:color w:val="auto"/>
                <w:w w:val="93"/>
              </w:rPr>
              <w:t>Second Quarter</w:t>
            </w: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jc w:val="right"/>
              <w:ind w:right="560"/>
              <w:spacing w:after="0"/>
              <w:rPr>
                <w:sz w:val="20"/>
                <w:szCs w:val="20"/>
                <w:color w:val="auto"/>
              </w:rPr>
            </w:pPr>
            <w:r>
              <w:rPr>
                <w:rFonts w:ascii="Arial" w:cs="Arial" w:eastAsia="Arial" w:hAnsi="Arial"/>
                <w:sz w:val="18"/>
                <w:szCs w:val="18"/>
                <w:b w:val="1"/>
                <w:bCs w:val="1"/>
                <w:color w:val="auto"/>
              </w:rPr>
              <w:t>Six Months</w:t>
            </w: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39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2019</w:t>
            </w:r>
          </w:p>
        </w:tc>
        <w:tc>
          <w:tcPr>
            <w:tcW w:w="5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2019</w:t>
            </w:r>
          </w:p>
        </w:tc>
        <w:tc>
          <w:tcPr>
            <w:tcW w:w="6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3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US</w:t>
            </w:r>
          </w:p>
        </w:tc>
        <w:tc>
          <w:tcPr>
            <w:tcW w:w="140" w:type="dxa"/>
            <w:vAlign w:val="bottom"/>
          </w:tcPr>
          <w:p>
            <w:pPr>
              <w:spacing w:after="0"/>
              <w:rPr>
                <w:sz w:val="19"/>
                <w:szCs w:val="19"/>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b w:val="1"/>
                <w:bCs w:val="1"/>
                <w:color w:val="auto"/>
              </w:rPr>
              <w:t>Int'l</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440"/>
              <w:spacing w:after="0"/>
              <w:rPr>
                <w:sz w:val="20"/>
                <w:szCs w:val="20"/>
                <w:color w:val="auto"/>
              </w:rPr>
            </w:pPr>
            <w:r>
              <w:rPr>
                <w:rFonts w:ascii="Arial" w:cs="Arial" w:eastAsia="Arial" w:hAnsi="Arial"/>
                <w:sz w:val="18"/>
                <w:szCs w:val="18"/>
                <w:color w:val="auto"/>
              </w:rPr>
              <w:t>US</w:t>
            </w:r>
          </w:p>
        </w:tc>
        <w:tc>
          <w:tcPr>
            <w:tcW w:w="160" w:type="dxa"/>
            <w:vAlign w:val="bottom"/>
          </w:tcPr>
          <w:p>
            <w:pPr>
              <w:spacing w:after="0"/>
              <w:rPr>
                <w:sz w:val="19"/>
                <w:szCs w:val="19"/>
                <w:color w:val="auto"/>
              </w:rPr>
            </w:pP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Int'l</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US</w:t>
            </w:r>
          </w:p>
        </w:tc>
        <w:tc>
          <w:tcPr>
            <w:tcW w:w="160" w:type="dxa"/>
            <w:vAlign w:val="bottom"/>
          </w:tcPr>
          <w:p>
            <w:pPr>
              <w:spacing w:after="0"/>
              <w:rPr>
                <w:sz w:val="19"/>
                <w:szCs w:val="19"/>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b w:val="1"/>
                <w:bCs w:val="1"/>
                <w:color w:val="auto"/>
              </w:rPr>
              <w:t>Int'l</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US</w:t>
            </w:r>
          </w:p>
        </w:tc>
        <w:tc>
          <w:tcPr>
            <w:tcW w:w="180" w:type="dxa"/>
            <w:vAlign w:val="bottom"/>
          </w:tcPr>
          <w:p>
            <w:pPr>
              <w:spacing w:after="0"/>
              <w:rPr>
                <w:sz w:val="19"/>
                <w:szCs w:val="19"/>
                <w:color w:val="auto"/>
              </w:rPr>
            </w:pP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Int'l</w:t>
            </w:r>
          </w:p>
        </w:tc>
        <w:tc>
          <w:tcPr>
            <w:tcW w:w="120" w:type="dxa"/>
            <w:vAlign w:val="bottom"/>
          </w:tcPr>
          <w:p>
            <w:pPr>
              <w:spacing w:after="0"/>
              <w:rPr>
                <w:sz w:val="19"/>
                <w:szCs w:val="19"/>
                <w:color w:val="auto"/>
              </w:rPr>
            </w:pPr>
          </w:p>
        </w:tc>
      </w:tr>
      <w:tr>
        <w:trPr>
          <w:trHeight w:val="223"/>
        </w:trPr>
        <w:tc>
          <w:tcPr>
            <w:tcW w:w="3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Service cost</w:t>
            </w: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37</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31</w:t>
            </w: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74</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Interest cost</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38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75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75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150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9"/>
                <w:szCs w:val="19"/>
                <w:color w:val="auto"/>
              </w:rPr>
            </w:pPr>
          </w:p>
        </w:tc>
      </w:tr>
      <w:tr>
        <w:trPr>
          <w:trHeight w:val="229"/>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Expected return on plan assets</w:t>
            </w:r>
          </w:p>
        </w:tc>
        <w:tc>
          <w:tcPr>
            <w:tcW w:w="1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(59)</w:t>
            </w: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(147)</w:t>
            </w:r>
          </w:p>
        </w:tc>
        <w:tc>
          <w:tcPr>
            <w:tcW w:w="1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(148)</w:t>
            </w:r>
          </w:p>
        </w:tc>
        <w:tc>
          <w:tcPr>
            <w:tcW w:w="1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(117)</w:t>
            </w:r>
          </w:p>
        </w:tc>
        <w:tc>
          <w:tcPr>
            <w:tcW w:w="1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(294)</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(115)</w:t>
            </w:r>
          </w:p>
        </w:tc>
        <w:tc>
          <w:tcPr>
            <w:tcW w:w="1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(298)</w:t>
            </w: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r>
      <w:tr>
        <w:trPr>
          <w:trHeight w:val="230"/>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net loss</w:t>
            </w:r>
          </w:p>
        </w:tc>
        <w:tc>
          <w:tcPr>
            <w:tcW w:w="1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39</w:t>
            </w:r>
          </w:p>
        </w:tc>
        <w:tc>
          <w:tcPr>
            <w:tcW w:w="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22</w:t>
            </w:r>
          </w:p>
        </w:tc>
        <w:tc>
          <w:tcPr>
            <w:tcW w:w="1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79</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FF0FC"/>
          </w:tcPr>
          <w:p>
            <w:pPr>
              <w:spacing w:after="0"/>
              <w:rPr>
                <w:sz w:val="19"/>
                <w:szCs w:val="19"/>
                <w:color w:val="auto"/>
              </w:rPr>
            </w:pPr>
          </w:p>
        </w:tc>
      </w:tr>
      <w:tr>
        <w:trPr>
          <w:trHeight w:val="223"/>
        </w:trPr>
        <w:tc>
          <w:tcPr>
            <w:tcW w:w="390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20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w:t>
            </w:r>
          </w:p>
        </w:tc>
        <w:tc>
          <w:tcPr>
            <w:tcW w:w="1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56"/>
        </w:trPr>
        <w:tc>
          <w:tcPr>
            <w:tcW w:w="3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39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0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The net periodic benefit credit for the Schlumberger US postretirement medical plan included the following components: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1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w w:val="97"/>
              </w:rPr>
              <w:t>(Stated in millions)</w:t>
            </w:r>
          </w:p>
        </w:tc>
        <w:tc>
          <w:tcPr>
            <w:tcW w:w="0" w:type="dxa"/>
            <w:vAlign w:val="bottom"/>
          </w:tcPr>
          <w:p>
            <w:pPr>
              <w:spacing w:after="0"/>
              <w:rPr>
                <w:sz w:val="1"/>
                <w:szCs w:val="1"/>
                <w:color w:val="auto"/>
              </w:rPr>
            </w:pPr>
          </w:p>
        </w:tc>
      </w:tr>
      <w:tr>
        <w:trPr>
          <w:trHeight w:val="431"/>
        </w:trPr>
        <w:tc>
          <w:tcPr>
            <w:tcW w:w="4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2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b w:val="1"/>
                <w:bCs w:val="1"/>
                <w:color w:val="auto"/>
              </w:rPr>
              <w:t>Second Quarter</w:t>
            </w:r>
          </w:p>
        </w:tc>
        <w:tc>
          <w:tcPr>
            <w:tcW w:w="3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3"/>
              </w:rPr>
              <w:t>Six Months</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160" w:type="dxa"/>
            <w:vAlign w:val="bottom"/>
            <w:tcBorders>
              <w:bottom w:val="single" w:sz="8" w:color="CFF0FC"/>
            </w:tcBorders>
          </w:tcPr>
          <w:p>
            <w:pPr>
              <w:spacing w:after="0"/>
              <w:rPr>
                <w:sz w:val="19"/>
                <w:szCs w:val="19"/>
                <w:color w:val="auto"/>
              </w:rPr>
            </w:pPr>
          </w:p>
        </w:tc>
        <w:tc>
          <w:tcPr>
            <w:tcW w:w="162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32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bottom w:val="single" w:sz="8" w:color="auto"/>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4"/>
              </w:rPr>
              <w:t>2019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Service cost</w:t>
            </w:r>
          </w:p>
        </w:tc>
        <w:tc>
          <w:tcPr>
            <w:tcW w:w="16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58"/>
              <w:spacing w:after="0"/>
              <w:rPr>
                <w:sz w:val="20"/>
                <w:szCs w:val="20"/>
                <w:color w:val="auto"/>
              </w:rPr>
            </w:pPr>
            <w:r>
              <w:rPr>
                <w:rFonts w:ascii="Arial" w:cs="Arial" w:eastAsia="Arial" w:hAnsi="Arial"/>
                <w:sz w:val="15"/>
                <w:szCs w:val="15"/>
                <w:b w:val="1"/>
                <w:bCs w:val="1"/>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5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10"/>
              <w:spacing w:after="0"/>
              <w:rPr>
                <w:sz w:val="20"/>
                <w:szCs w:val="20"/>
                <w:color w:val="auto"/>
              </w:rPr>
            </w:pPr>
            <w:r>
              <w:rPr>
                <w:rFonts w:ascii="Arial" w:cs="Arial" w:eastAsia="Arial" w:hAnsi="Arial"/>
                <w:sz w:val="18"/>
                <w:szCs w:val="18"/>
                <w:b w:val="1"/>
                <w:bCs w:val="1"/>
                <w:color w:val="auto"/>
                <w:w w:val="79"/>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18</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Interest cost</w:t>
            </w:r>
          </w:p>
        </w:tc>
        <w:tc>
          <w:tcPr>
            <w:tcW w:w="1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Expected return on plan assets</w:t>
            </w:r>
          </w:p>
        </w:tc>
        <w:tc>
          <w:tcPr>
            <w:tcW w:w="16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(17)</w:t>
            </w:r>
          </w:p>
        </w:tc>
        <w:tc>
          <w:tcPr>
            <w:tcW w:w="84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w:t>
            </w:r>
          </w:p>
        </w:tc>
        <w:tc>
          <w:tcPr>
            <w:tcW w:w="8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(34)</w:t>
            </w:r>
          </w:p>
        </w:tc>
        <w:tc>
          <w:tcPr>
            <w:tcW w:w="3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9"/>
        </w:trPr>
        <w:tc>
          <w:tcPr>
            <w:tcW w:w="4160" w:type="dxa"/>
            <w:vAlign w:val="bottom"/>
          </w:tcPr>
          <w:p>
            <w:pPr>
              <w:spacing w:after="0"/>
              <w:rPr>
                <w:sz w:val="20"/>
                <w:szCs w:val="20"/>
                <w:color w:val="auto"/>
              </w:rPr>
            </w:pPr>
            <w:r>
              <w:rPr>
                <w:rFonts w:ascii="Arial" w:cs="Arial" w:eastAsia="Arial" w:hAnsi="Arial"/>
                <w:sz w:val="18"/>
                <w:szCs w:val="18"/>
                <w:color w:val="auto"/>
              </w:rPr>
              <w:t>Amortization of prior service credit</w:t>
            </w:r>
          </w:p>
        </w:tc>
        <w:tc>
          <w:tcPr>
            <w:tcW w:w="1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w:t>
            </w:r>
          </w:p>
        </w:tc>
        <w:tc>
          <w:tcPr>
            <w:tcW w:w="84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80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(14)</w:t>
            </w:r>
          </w:p>
        </w:tc>
        <w:tc>
          <w:tcPr>
            <w:tcW w:w="34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Curtailment gain</w:t>
            </w:r>
          </w:p>
        </w:tc>
        <w:tc>
          <w:tcPr>
            <w:tcW w:w="16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(69)</w:t>
            </w: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(69)</w:t>
            </w: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6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60" w:type="dxa"/>
            <w:vAlign w:val="bottom"/>
          </w:tcPr>
          <w:p>
            <w:pPr>
              <w:spacing w:after="0"/>
              <w:rPr>
                <w:sz w:val="19"/>
                <w:szCs w:val="19"/>
                <w:color w:val="auto"/>
              </w:rPr>
            </w:pPr>
          </w:p>
        </w:tc>
        <w:tc>
          <w:tcPr>
            <w:tcW w:w="1620" w:type="dxa"/>
            <w:vAlign w:val="bottom"/>
            <w:vMerge w:val="continue"/>
          </w:tcPr>
          <w:p>
            <w:pPr>
              <w:spacing w:after="0"/>
              <w:rPr>
                <w:sz w:val="19"/>
                <w:szCs w:val="19"/>
                <w:color w:val="auto"/>
              </w:rPr>
            </w:pPr>
          </w:p>
        </w:tc>
        <w:tc>
          <w:tcPr>
            <w:tcW w:w="820" w:type="dxa"/>
            <w:vAlign w:val="bottom"/>
          </w:tcPr>
          <w:p>
            <w:pPr>
              <w:jc w:val="right"/>
              <w:ind w:right="658"/>
              <w:spacing w:after="0"/>
              <w:rPr>
                <w:sz w:val="20"/>
                <w:szCs w:val="20"/>
                <w:color w:val="auto"/>
              </w:rPr>
            </w:pPr>
            <w:r>
              <w:rPr>
                <w:rFonts w:ascii="Arial" w:cs="Arial" w:eastAsia="Arial" w:hAnsi="Arial"/>
                <w:sz w:val="15"/>
                <w:szCs w:val="15"/>
                <w:b w:val="1"/>
                <w:bCs w:val="1"/>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w w:val="93"/>
              </w:rPr>
              <w:t>(74)</w:t>
            </w:r>
          </w:p>
        </w:tc>
        <w:tc>
          <w:tcPr>
            <w:tcW w:w="240" w:type="dxa"/>
            <w:vAlign w:val="bottom"/>
            <w:vMerge w:val="continue"/>
          </w:tcPr>
          <w:p>
            <w:pPr>
              <w:spacing w:after="0"/>
              <w:rPr>
                <w:sz w:val="19"/>
                <w:szCs w:val="19"/>
                <w:color w:val="auto"/>
              </w:rPr>
            </w:pPr>
          </w:p>
        </w:tc>
        <w:tc>
          <w:tcPr>
            <w:tcW w:w="840" w:type="dxa"/>
            <w:vAlign w:val="bottom"/>
          </w:tcPr>
          <w:p>
            <w:pPr>
              <w:jc w:val="right"/>
              <w:ind w:right="650"/>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800" w:type="dxa"/>
            <w:vAlign w:val="bottom"/>
          </w:tcPr>
          <w:p>
            <w:pPr>
              <w:jc w:val="right"/>
              <w:ind w:right="610"/>
              <w:spacing w:after="0"/>
              <w:rPr>
                <w:sz w:val="20"/>
                <w:szCs w:val="20"/>
                <w:color w:val="auto"/>
              </w:rPr>
            </w:pPr>
            <w:r>
              <w:rPr>
                <w:rFonts w:ascii="Arial" w:cs="Arial" w:eastAsia="Arial" w:hAnsi="Arial"/>
                <w:sz w:val="18"/>
                <w:szCs w:val="18"/>
                <w:b w:val="1"/>
                <w:bCs w:val="1"/>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(79)</w:t>
            </w:r>
          </w:p>
        </w:tc>
        <w:tc>
          <w:tcPr>
            <w:tcW w:w="260" w:type="dxa"/>
            <w:vAlign w:val="bottom"/>
            <w:vMerge w:val="continue"/>
          </w:tcPr>
          <w:p>
            <w:pPr>
              <w:spacing w:after="0"/>
              <w:rPr>
                <w:sz w:val="19"/>
                <w:szCs w:val="19"/>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Due to the actions taken by Schlumberger to reduce its global workforce during 2020, Schlumberger experienced a significant reduction in the expected aggregate years of future service of its employees in its US postretirement medical plan. Accordingly, Schlumberger recorded a curtailment gain of $69 million during the second quarter of 2020 relating to this plan. The curtailment gain includes recognition of the decrease in the benefit obligation as well as a portion of the previously unrecognized prior service credit, reflecting the reduction in expected years of future service. As a result of the curtailment, Schlumberger performed a remeasurement of the plan, which had an immaterial impact. This gain was classified in </w:t>
      </w:r>
      <w:r>
        <w:rPr>
          <w:rFonts w:ascii="Arial" w:cs="Arial" w:eastAsia="Arial" w:hAnsi="Arial"/>
          <w:sz w:val="18"/>
          <w:szCs w:val="18"/>
          <w:i w:val="1"/>
          <w:iCs w:val="1"/>
          <w:color w:val="auto"/>
        </w:rPr>
        <w:t>Impairments &amp; other</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 (Loss)</w:t>
      </w:r>
      <w:r>
        <w:rPr>
          <w:rFonts w:ascii="Arial" w:cs="Arial" w:eastAsia="Arial" w:hAnsi="Arial"/>
          <w:sz w:val="18"/>
          <w:szCs w:val="18"/>
          <w:color w:val="auto"/>
        </w:rPr>
        <w:t>. See Note 2 –</w:t>
      </w:r>
      <w:r>
        <w:rPr>
          <w:rFonts w:ascii="Arial" w:cs="Arial" w:eastAsia="Arial" w:hAnsi="Arial"/>
          <w:sz w:val="18"/>
          <w:szCs w:val="18"/>
          <w:i w:val="1"/>
          <w:iCs w:val="1"/>
          <w:color w:val="auto"/>
        </w:rPr>
        <w:t xml:space="preserve"> Charge and Credits</w:t>
      </w:r>
      <w:r>
        <w:rPr>
          <w:rFonts w:ascii="Arial" w:cs="Arial" w:eastAsia="Arial" w:hAnsi="Arial"/>
          <w:sz w:val="18"/>
          <w:szCs w:val="18"/>
          <w:color w:val="auto"/>
        </w:rPr>
        <w:t>.</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Second Quarter 2020 Compared to First Quarter 2020</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8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3"/>
          </w:tcPr>
          <w:p>
            <w:pPr>
              <w:jc w:val="center"/>
              <w:ind w:right="80"/>
              <w:spacing w:after="0"/>
              <w:rPr>
                <w:sz w:val="20"/>
                <w:szCs w:val="20"/>
                <w:color w:val="auto"/>
              </w:rPr>
            </w:pPr>
            <w:r>
              <w:rPr>
                <w:rFonts w:ascii="Arial" w:cs="Arial" w:eastAsia="Arial" w:hAnsi="Arial"/>
                <w:sz w:val="14"/>
                <w:szCs w:val="14"/>
                <w:i w:val="1"/>
                <w:iCs w:val="1"/>
                <w:color w:val="auto"/>
                <w:w w:val="95"/>
              </w:rPr>
              <w:t>(Stated in millions)</w:t>
            </w:r>
          </w:p>
        </w:tc>
      </w:tr>
      <w:tr>
        <w:trPr>
          <w:trHeight w:val="444"/>
        </w:trPr>
        <w:tc>
          <w:tcPr>
            <w:tcW w:w="38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2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Second Quarter 2020</w:t>
            </w:r>
          </w:p>
        </w:tc>
        <w:tc>
          <w:tcPr>
            <w:tcW w:w="180" w:type="dxa"/>
            <w:vAlign w:val="bottom"/>
          </w:tcPr>
          <w:p>
            <w:pPr>
              <w:spacing w:after="0"/>
              <w:rPr>
                <w:sz w:val="24"/>
                <w:szCs w:val="24"/>
                <w:color w:val="auto"/>
              </w:rPr>
            </w:pPr>
          </w:p>
        </w:tc>
        <w:tc>
          <w:tcPr>
            <w:tcW w:w="2500" w:type="dxa"/>
            <w:vAlign w:val="bottom"/>
            <w:gridSpan w:val="5"/>
          </w:tcPr>
          <w:p>
            <w:pPr>
              <w:jc w:val="right"/>
              <w:ind w:right="740"/>
              <w:spacing w:after="0"/>
              <w:rPr>
                <w:sz w:val="20"/>
                <w:szCs w:val="20"/>
                <w:color w:val="auto"/>
              </w:rPr>
            </w:pPr>
            <w:r>
              <w:rPr>
                <w:rFonts w:ascii="Arial" w:cs="Arial" w:eastAsia="Arial" w:hAnsi="Arial"/>
                <w:sz w:val="18"/>
                <w:szCs w:val="18"/>
                <w:color w:val="auto"/>
              </w:rPr>
              <w:t>First Quarter 2020</w:t>
            </w:r>
          </w:p>
        </w:tc>
      </w:tr>
      <w:tr>
        <w:trPr>
          <w:trHeight w:val="218"/>
        </w:trPr>
        <w:tc>
          <w:tcPr>
            <w:tcW w:w="38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Income (Loss)</w:t>
            </w: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1"/>
              </w:rPr>
              <w:t>Income (Loss)</w:t>
            </w:r>
          </w:p>
        </w:tc>
        <w:tc>
          <w:tcPr>
            <w:tcW w:w="100" w:type="dxa"/>
            <w:vAlign w:val="bottom"/>
          </w:tcPr>
          <w:p>
            <w:pPr>
              <w:spacing w:after="0"/>
              <w:rPr>
                <w:sz w:val="18"/>
                <w:szCs w:val="18"/>
                <w:color w:val="auto"/>
              </w:rPr>
            </w:pPr>
          </w:p>
        </w:tc>
      </w:tr>
      <w:tr>
        <w:trPr>
          <w:trHeight w:val="230"/>
        </w:trPr>
        <w:tc>
          <w:tcPr>
            <w:tcW w:w="38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7"/>
              </w:rPr>
              <w:t>Before</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Before</w:t>
            </w:r>
          </w:p>
        </w:tc>
      </w:tr>
      <w:tr>
        <w:trPr>
          <w:trHeight w:val="234"/>
        </w:trPr>
        <w:tc>
          <w:tcPr>
            <w:tcW w:w="38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3"/>
              </w:rPr>
              <w:t>Revenue</w:t>
            </w:r>
          </w:p>
        </w:tc>
        <w:tc>
          <w:tcPr>
            <w:tcW w:w="200" w:type="dxa"/>
            <w:vAlign w:val="bottom"/>
          </w:tcPr>
          <w:p>
            <w:pPr>
              <w:spacing w:after="0"/>
              <w:rPr>
                <w:sz w:val="20"/>
                <w:szCs w:val="20"/>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6"/>
              </w:rPr>
              <w:t>Taxes</w:t>
            </w:r>
          </w:p>
        </w:tc>
        <w:tc>
          <w:tcPr>
            <w:tcW w:w="18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w w:val="97"/>
              </w:rPr>
              <w:t>Revenue</w:t>
            </w:r>
          </w:p>
        </w:tc>
        <w:tc>
          <w:tcPr>
            <w:tcW w:w="200" w:type="dxa"/>
            <w:vAlign w:val="bottom"/>
          </w:tcPr>
          <w:p>
            <w:pPr>
              <w:spacing w:after="0"/>
              <w:rPr>
                <w:sz w:val="20"/>
                <w:szCs w:val="20"/>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Taxes</w:t>
            </w:r>
          </w:p>
        </w:tc>
      </w:tr>
      <w:tr>
        <w:trPr>
          <w:trHeight w:val="223"/>
        </w:trPr>
        <w:tc>
          <w:tcPr>
            <w:tcW w:w="3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Reservoir Characterization</w:t>
            </w:r>
          </w:p>
        </w:tc>
        <w:tc>
          <w:tcPr>
            <w:tcW w:w="19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1,052</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185</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1,311</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Drilling</w:t>
            </w: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1,731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165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2,289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19"/>
                <w:szCs w:val="19"/>
                <w:color w:val="auto"/>
              </w:rPr>
            </w:pPr>
          </w:p>
        </w:tc>
      </w:tr>
      <w:tr>
        <w:trPr>
          <w:trHeight w:val="229"/>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Production</w:t>
            </w:r>
          </w:p>
        </w:tc>
        <w:tc>
          <w:tcPr>
            <w:tcW w:w="1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1,615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2,703</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FF0FC"/>
          </w:tcPr>
          <w:p>
            <w:pPr>
              <w:spacing w:after="0"/>
              <w:rPr>
                <w:sz w:val="19"/>
                <w:szCs w:val="19"/>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Cameron</w:t>
            </w: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1,015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80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1,254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r>
      <w:tr>
        <w:trPr>
          <w:trHeight w:val="229"/>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1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(57)</w:t>
            </w: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(59)</w:t>
            </w: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(102)</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w:t>
            </w:r>
          </w:p>
        </w:tc>
      </w:tr>
      <w:tr>
        <w:trPr>
          <w:trHeight w:val="223"/>
        </w:trPr>
        <w:tc>
          <w:tcPr>
            <w:tcW w:w="38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396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19"/>
                <w:szCs w:val="19"/>
                <w:color w:val="auto"/>
              </w:rPr>
            </w:pPr>
          </w:p>
        </w:tc>
      </w:tr>
      <w:tr>
        <w:trPr>
          <w:trHeight w:val="229"/>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1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(169)</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(228)</w:t>
            </w:r>
          </w:p>
        </w:tc>
      </w:tr>
      <w:tr>
        <w:trPr>
          <w:trHeight w:val="229"/>
        </w:trPr>
        <w:tc>
          <w:tcPr>
            <w:tcW w:w="3860" w:type="dxa"/>
            <w:vAlign w:val="bottom"/>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1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(137)</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(129)</w:t>
            </w:r>
          </w:p>
        </w:tc>
      </w:tr>
      <w:tr>
        <w:trPr>
          <w:trHeight w:val="229"/>
        </w:trPr>
        <w:tc>
          <w:tcPr>
            <w:tcW w:w="3860" w:type="dxa"/>
            <w:vAlign w:val="bottom"/>
          </w:tcPr>
          <w:p>
            <w:pPr>
              <w:spacing w:after="0"/>
              <w:rPr>
                <w:sz w:val="20"/>
                <w:szCs w:val="20"/>
                <w:color w:val="auto"/>
              </w:rPr>
            </w:pPr>
            <w:r>
              <w:rPr>
                <w:rFonts w:ascii="Arial" w:cs="Arial" w:eastAsia="Arial" w:hAnsi="Arial"/>
                <w:sz w:val="18"/>
                <w:szCs w:val="18"/>
                <w:color w:val="auto"/>
              </w:rPr>
              <w:t xml:space="preserve">Charges and credits </w:t>
            </w:r>
            <w:r>
              <w:rPr>
                <w:rFonts w:ascii="Arial" w:cs="Arial" w:eastAsia="Arial" w:hAnsi="Arial"/>
                <w:sz w:val="15"/>
                <w:szCs w:val="15"/>
                <w:color w:val="auto"/>
              </w:rPr>
              <w:t>(4)</w:t>
            </w: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(3,724)</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(8,523)</w:t>
            </w:r>
          </w:p>
        </w:tc>
      </w:tr>
      <w:tr>
        <w:trPr>
          <w:trHeight w:val="223"/>
        </w:trPr>
        <w:tc>
          <w:tcPr>
            <w:tcW w:w="3860" w:type="dxa"/>
            <w:vAlign w:val="bottom"/>
            <w:tcBorders>
              <w:top w:val="single" w:sz="8" w:color="CFF0FC"/>
              <w:bottom w:val="single" w:sz="8" w:color="CFF0FC"/>
            </w:tcBorders>
            <w:shd w:val="clear" w:color="auto" w:fill="CFF0FC"/>
          </w:tcPr>
          <w:p>
            <w:pPr>
              <w:spacing w:after="0"/>
              <w:rPr>
                <w:sz w:val="19"/>
                <w:szCs w:val="19"/>
                <w:color w:val="auto"/>
              </w:rPr>
            </w:pPr>
          </w:p>
        </w:tc>
        <w:tc>
          <w:tcPr>
            <w:tcW w:w="19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5,356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(3,627)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7,455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(8,089)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8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7" w:lineRule="exact"/>
        <w:rPr>
          <w:sz w:val="20"/>
          <w:szCs w:val="20"/>
          <w:color w:val="auto"/>
        </w:rPr>
      </w:pPr>
    </w:p>
    <w:p>
      <w:pPr>
        <w:ind w:left="500" w:right="20" w:hanging="492"/>
        <w:spacing w:after="0" w:line="193" w:lineRule="auto"/>
        <w:tabs>
          <w:tab w:leader="none" w:pos="500" w:val="left"/>
        </w:tabs>
        <w:numPr>
          <w:ilvl w:val="0"/>
          <w:numId w:val="19"/>
        </w:numPr>
        <w:rPr>
          <w:rFonts w:ascii="Arial" w:cs="Arial" w:eastAsia="Arial" w:hAnsi="Arial"/>
          <w:sz w:val="28"/>
          <w:szCs w:val="28"/>
          <w:color w:val="auto"/>
          <w:vertAlign w:val="superscript"/>
        </w:rPr>
      </w:pPr>
      <w:r>
        <w:rPr>
          <w:rFonts w:ascii="Arial" w:cs="Arial" w:eastAsia="Arial" w:hAnsi="Arial"/>
          <w:sz w:val="16"/>
          <w:szCs w:val="16"/>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1" w:lineRule="exact"/>
        <w:rPr>
          <w:rFonts w:ascii="Arial" w:cs="Arial" w:eastAsia="Arial" w:hAnsi="Arial"/>
          <w:sz w:val="28"/>
          <w:szCs w:val="28"/>
          <w:color w:val="auto"/>
          <w:vertAlign w:val="superscript"/>
        </w:rPr>
      </w:pPr>
    </w:p>
    <w:p>
      <w:pPr>
        <w:ind w:left="500" w:hanging="492"/>
        <w:spacing w:after="0" w:line="231" w:lineRule="auto"/>
        <w:tabs>
          <w:tab w:leader="none" w:pos="500" w:val="left"/>
        </w:tabs>
        <w:numPr>
          <w:ilvl w:val="0"/>
          <w:numId w:val="19"/>
        </w:numPr>
        <w:rPr>
          <w:rFonts w:ascii="Arial" w:cs="Arial" w:eastAsia="Arial" w:hAnsi="Arial"/>
          <w:sz w:val="28"/>
          <w:szCs w:val="28"/>
          <w:color w:val="auto"/>
          <w:vertAlign w:val="superscript"/>
        </w:rPr>
      </w:pPr>
      <w:r>
        <w:rPr>
          <w:rFonts w:ascii="Arial" w:cs="Arial" w:eastAsia="Arial" w:hAnsi="Arial"/>
          <w:sz w:val="16"/>
          <w:szCs w:val="16"/>
          <w:color w:val="auto"/>
        </w:rPr>
        <w:t>Interest income excludes amounts which are included in the segments’ income ($- million in Q2 2020; $- million in Q1 2020).</w:t>
      </w:r>
    </w:p>
    <w:p>
      <w:pPr>
        <w:spacing w:after="0" w:line="118" w:lineRule="exact"/>
        <w:rPr>
          <w:rFonts w:ascii="Arial" w:cs="Arial" w:eastAsia="Arial" w:hAnsi="Arial"/>
          <w:sz w:val="28"/>
          <w:szCs w:val="28"/>
          <w:color w:val="auto"/>
          <w:vertAlign w:val="superscript"/>
        </w:rPr>
      </w:pPr>
    </w:p>
    <w:p>
      <w:pPr>
        <w:ind w:left="500" w:hanging="492"/>
        <w:spacing w:after="0" w:line="182" w:lineRule="auto"/>
        <w:tabs>
          <w:tab w:leader="none" w:pos="500" w:val="left"/>
        </w:tabs>
        <w:numPr>
          <w:ilvl w:val="0"/>
          <w:numId w:val="19"/>
        </w:numPr>
        <w:rPr>
          <w:rFonts w:ascii="Arial" w:cs="Arial" w:eastAsia="Arial" w:hAnsi="Arial"/>
          <w:sz w:val="22"/>
          <w:szCs w:val="22"/>
          <w:color w:val="auto"/>
          <w:vertAlign w:val="superscript"/>
        </w:rPr>
      </w:pPr>
      <w:r>
        <w:rPr>
          <w:rFonts w:ascii="Arial" w:cs="Arial" w:eastAsia="Arial" w:hAnsi="Arial"/>
          <w:sz w:val="14"/>
          <w:szCs w:val="14"/>
          <w:color w:val="auto"/>
        </w:rPr>
        <w:t>Interest expense excludes amounts which are included in the segments’ income ($7 million in Q2 2020; $7 million in Q1 2020).</w:t>
      </w:r>
    </w:p>
    <w:p>
      <w:pPr>
        <w:spacing w:after="0" w:line="118" w:lineRule="exact"/>
        <w:rPr>
          <w:rFonts w:ascii="Arial" w:cs="Arial" w:eastAsia="Arial" w:hAnsi="Arial"/>
          <w:sz w:val="22"/>
          <w:szCs w:val="22"/>
          <w:color w:val="auto"/>
          <w:vertAlign w:val="superscript"/>
        </w:rPr>
      </w:pPr>
    </w:p>
    <w:p>
      <w:pPr>
        <w:ind w:left="500" w:hanging="492"/>
        <w:spacing w:after="0" w:line="182" w:lineRule="auto"/>
        <w:tabs>
          <w:tab w:leader="none" w:pos="500" w:val="left"/>
        </w:tabs>
        <w:numPr>
          <w:ilvl w:val="0"/>
          <w:numId w:val="19"/>
        </w:numPr>
        <w:rPr>
          <w:rFonts w:ascii="Arial" w:cs="Arial" w:eastAsia="Arial" w:hAnsi="Arial"/>
          <w:sz w:val="22"/>
          <w:szCs w:val="22"/>
          <w:color w:val="auto"/>
          <w:vertAlign w:val="superscript"/>
        </w:rPr>
      </w:pPr>
      <w:r>
        <w:rPr>
          <w:rFonts w:ascii="Arial" w:cs="Arial" w:eastAsia="Arial" w:hAnsi="Arial"/>
          <w:sz w:val="14"/>
          <w:szCs w:val="14"/>
          <w:color w:val="auto"/>
        </w:rPr>
        <w:t xml:space="preserve">Charges and credits are described in detail in Note 2 to the </w:t>
      </w:r>
      <w:r>
        <w:rPr>
          <w:rFonts w:ascii="Arial" w:cs="Arial" w:eastAsia="Arial" w:hAnsi="Arial"/>
          <w:sz w:val="14"/>
          <w:szCs w:val="14"/>
          <w:i w:val="1"/>
          <w:iCs w:val="1"/>
          <w:color w:val="auto"/>
        </w:rPr>
        <w:t>Consolidated Financial Statements.</w:t>
      </w: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second quarter of 2020 was probably the most challenging quarter in past decades. Second-quarter revenue of $5.4 billion declined 28% sequentially, caused by the significant decrease in North America activity, and international activity drop due to downward revisions to customer budgets accentuated by COVID-19 disruptions. The entire oil and gas industry was confronted with historic oil demand and supply imbalances caused by demand destruction from the global COVID-19 containment effort.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North America revenue declined 48% sequentially with land revenue falling 60% as customers dramatically cut back spending. International revenue declined 19% sequentially with Latin America and Africa experiencing the largest revenue declines due to COVID-19-related restrictions and the drop in deepwater activity. In addition, there was a production interruption in the Asset Performance Solutions (“APS”) projects in Ecuador caused by a major landslide that led to the rupture of the main pipeline.</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Schlumberger has worked to protect its liquidity and cash positions and sustained resilient international margins while navigating the trough of this downcycle.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Despite the severe drop in international revenue and the effect of the APS production interruption in Ecuador, international margin was essentially flat compared to the previous quarter, due to Schlumberger’s swift and decisive actions to reduce operating costs, restructure, and rationalize its asset base. Schlumberger is working to permanently remove $1.5 billion of structural costs annually by reorganizing into a leaner and more responsive company that is better aligned with its customers’ workflows.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Looking at the macro view in the near-term, during the beginning of the third quarter of 2020 oil demand slowly started to normalize and is expected to continue to improve as government measures support consumption. However, subsequent waves of potential COVID-19 resurgence pose a negative risk to this outlook.</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conditions are set in the third quarter for a modest frac completion activity increase in North America, though from a very low base. Internationally, markets may continue to be disrupted by the pandemic and will continue to adjust to budget levels set during the second quarter, but this is expected to be mostly offset if there is a seasonal return of activity in the Northern Hemisphere and a rebound of Latin America from its second-quarter weakness. However, any further material COVID-19 disruption or significant setback in oil demand arising from a slower economic recovery could present downside risks to this outlook. Absent these risks, Schlumberger anticipates flat sequential revenue in the third quarter. Schlumberger expects its third quarter pretax segment operating income and margin to expand as a result of its restructuring efforts, improved activity mix, and sustained benefits from technology adoption, including digital.</w:t>
      </w:r>
    </w:p>
    <w:p>
      <w:pPr>
        <w:sectPr>
          <w:pgSz w:w="11900" w:h="16838" w:orient="portrait"/>
          <w:cols w:equalWidth="0" w:num="1">
            <w:col w:w="11240"/>
          </w:cols>
          <w:pgMar w:left="320" w:top="121" w:right="339" w:bottom="1440" w:gutter="0" w:footer="0" w:header="0"/>
        </w:sectPr>
      </w:pP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Reservoir Characterization</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Reservoir Characterization revenue of $1.1 billion decreased 20% sequentially. This was mainly due to lower Wireline activity in North America land and the Eastern Middle East and Sub-Sahara Africa GeoMarkets. Testing Services revenue was also lower mainly in the Sub-Sahara Africa GeoMarket as a result of projects that were completed in the prior quarter, as well as delayed and cancelled activities due to COVID-19.</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Reservoir Characterization pretax operating margin of 18% rebounded 357 bps sequentially despite the significant revenue decline. This margin expansion was driven by prompt cost reduction measures through headcount rationalization and furloughs.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Drilling revenue of $1.7 billion decreased 24% sequentially. This was primarily due to the activity decline in US land as rig count dropped more than 50%, while COVID-19 disruptions caused drilling activities to be cancelled or suspended in several international GeoMarkets.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Drilling pretax operating margin of 10% contracted by 289 bps sequentially. Drilling &amp; Measurements and M-I SWACO accounted for most of the margin decline and experienced the largest drop in activity due to their sizeable footprint in North America land.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Production revenue of $1.6 billion decreased 40% sequentially. This was driven by the sharp drop in OneStim</w:t>
      </w:r>
      <w:r>
        <w:rPr>
          <w:rFonts w:ascii="Arial" w:cs="Arial" w:eastAsia="Arial" w:hAnsi="Arial"/>
          <w:sz w:val="15"/>
          <w:szCs w:val="15"/>
          <w:color w:val="auto"/>
        </w:rPr>
        <w:t>®</w:t>
      </w:r>
      <w:r>
        <w:rPr>
          <w:rFonts w:ascii="Arial" w:cs="Arial" w:eastAsia="Arial" w:hAnsi="Arial"/>
          <w:sz w:val="18"/>
          <w:szCs w:val="18"/>
          <w:color w:val="auto"/>
        </w:rPr>
        <w:t xml:space="preserve"> pressure-pumping activity in North America land, lower APS revenue due primarily to the significant production interruption in Ecuador and COVID-19 disruptions.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Production pretax operating margin of 2% contracted by 630 bps sequentially. The margin decline was due to reduced profitability in North America land from the dramatic fall in activity, which mostly impacted the OneStim margin, as well as the drop in APS revenue in Ecuador.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Cameron</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Cameron revenue of $1.0 billion decreased 19% sequentially. The decline was driven by lower Surface Systems and Valves &amp; Process Systems revenues in North America and lower Drilling Systems sales.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Cameron pretax operating margin of 8% declined by 180 bps sequentially primarily due to the significant revenue decline.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u w:val="single" w:color="auto"/>
          <w:color w:val="auto"/>
        </w:rPr>
        <w:t>Second Quarter 2020 Compared to Second Quarter 2019</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8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w w:val="97"/>
              </w:rPr>
              <w:t>(Stated in millions)</w:t>
            </w:r>
          </w:p>
        </w:tc>
      </w:tr>
      <w:tr>
        <w:trPr>
          <w:trHeight w:val="444"/>
        </w:trPr>
        <w:tc>
          <w:tcPr>
            <w:tcW w:w="38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2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Second Quarter 2020</w:t>
            </w:r>
          </w:p>
        </w:tc>
        <w:tc>
          <w:tcPr>
            <w:tcW w:w="180" w:type="dxa"/>
            <w:vAlign w:val="bottom"/>
          </w:tcPr>
          <w:p>
            <w:pPr>
              <w:spacing w:after="0"/>
              <w:rPr>
                <w:sz w:val="24"/>
                <w:szCs w:val="24"/>
                <w:color w:val="auto"/>
              </w:rPr>
            </w:pPr>
          </w:p>
        </w:tc>
        <w:tc>
          <w:tcPr>
            <w:tcW w:w="2040" w:type="dxa"/>
            <w:vAlign w:val="bottom"/>
            <w:gridSpan w:val="3"/>
          </w:tcPr>
          <w:p>
            <w:pPr>
              <w:jc w:val="right"/>
              <w:ind w:right="99"/>
              <w:spacing w:after="0"/>
              <w:rPr>
                <w:sz w:val="20"/>
                <w:szCs w:val="20"/>
                <w:color w:val="auto"/>
              </w:rPr>
            </w:pPr>
            <w:r>
              <w:rPr>
                <w:rFonts w:ascii="Arial" w:cs="Arial" w:eastAsia="Arial" w:hAnsi="Arial"/>
                <w:sz w:val="18"/>
                <w:szCs w:val="18"/>
                <w:color w:val="auto"/>
              </w:rPr>
              <w:t>Second Quarter 2019</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38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Income (Loss)</w:t>
            </w: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1"/>
              </w:rPr>
              <w:t>Income (Loss)</w:t>
            </w:r>
          </w:p>
        </w:tc>
        <w:tc>
          <w:tcPr>
            <w:tcW w:w="100" w:type="dxa"/>
            <w:vAlign w:val="bottom"/>
          </w:tcPr>
          <w:p>
            <w:pPr>
              <w:spacing w:after="0"/>
              <w:rPr>
                <w:sz w:val="18"/>
                <w:szCs w:val="18"/>
                <w:color w:val="auto"/>
              </w:rPr>
            </w:pPr>
          </w:p>
        </w:tc>
      </w:tr>
      <w:tr>
        <w:trPr>
          <w:trHeight w:val="229"/>
        </w:trPr>
        <w:tc>
          <w:tcPr>
            <w:tcW w:w="38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7"/>
              </w:rPr>
              <w:t>Before</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center"/>
              <w:ind w:left="239"/>
              <w:spacing w:after="0"/>
              <w:rPr>
                <w:sz w:val="20"/>
                <w:szCs w:val="20"/>
                <w:color w:val="auto"/>
              </w:rPr>
            </w:pPr>
            <w:r>
              <w:rPr>
                <w:rFonts w:ascii="Arial" w:cs="Arial" w:eastAsia="Arial" w:hAnsi="Arial"/>
                <w:sz w:val="18"/>
                <w:szCs w:val="18"/>
                <w:color w:val="auto"/>
                <w:w w:val="90"/>
              </w:rPr>
              <w:t>Before</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38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3"/>
              </w:rPr>
              <w:t>Revenue</w:t>
            </w:r>
          </w:p>
        </w:tc>
        <w:tc>
          <w:tcPr>
            <w:tcW w:w="200" w:type="dxa"/>
            <w:vAlign w:val="bottom"/>
          </w:tcPr>
          <w:p>
            <w:pPr>
              <w:spacing w:after="0"/>
              <w:rPr>
                <w:sz w:val="20"/>
                <w:szCs w:val="20"/>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6"/>
              </w:rPr>
              <w:t>Taxes</w:t>
            </w:r>
          </w:p>
        </w:tc>
        <w:tc>
          <w:tcPr>
            <w:tcW w:w="18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w w:val="97"/>
              </w:rPr>
              <w:t>Revenue</w:t>
            </w:r>
          </w:p>
        </w:tc>
        <w:tc>
          <w:tcPr>
            <w:tcW w:w="800" w:type="dxa"/>
            <w:vAlign w:val="bottom"/>
          </w:tcPr>
          <w:p>
            <w:pPr>
              <w:jc w:val="center"/>
              <w:ind w:left="259"/>
              <w:spacing w:after="0"/>
              <w:rPr>
                <w:sz w:val="20"/>
                <w:szCs w:val="20"/>
                <w:color w:val="auto"/>
              </w:rPr>
            </w:pPr>
            <w:r>
              <w:rPr>
                <w:rFonts w:ascii="Arial" w:cs="Arial" w:eastAsia="Arial" w:hAnsi="Arial"/>
                <w:sz w:val="18"/>
                <w:szCs w:val="18"/>
                <w:color w:val="auto"/>
                <w:w w:val="85"/>
              </w:rPr>
              <w:t>Taxes</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Reservoir Characterization</w:t>
            </w:r>
          </w:p>
        </w:tc>
        <w:tc>
          <w:tcPr>
            <w:tcW w:w="19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1,052</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185</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1,558</w:t>
            </w:r>
          </w:p>
        </w:tc>
        <w:tc>
          <w:tcPr>
            <w:tcW w:w="26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ind w:right="639"/>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3860" w:type="dxa"/>
            <w:vAlign w:val="bottom"/>
          </w:tcPr>
          <w:p>
            <w:pPr>
              <w:spacing w:after="0"/>
              <w:rPr>
                <w:sz w:val="20"/>
                <w:szCs w:val="20"/>
                <w:color w:val="auto"/>
              </w:rPr>
            </w:pPr>
            <w:r>
              <w:rPr>
                <w:rFonts w:ascii="Arial" w:cs="Arial" w:eastAsia="Arial" w:hAnsi="Arial"/>
                <w:sz w:val="18"/>
                <w:szCs w:val="18"/>
                <w:color w:val="auto"/>
              </w:rPr>
              <w:t>Drilling</w:t>
            </w: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1,731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165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2,420</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9"/>
                <w:szCs w:val="19"/>
                <w:color w:val="auto"/>
              </w:rPr>
            </w:pPr>
          </w:p>
        </w:tc>
      </w:t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Production</w:t>
            </w:r>
          </w:p>
        </w:tc>
        <w:tc>
          <w:tcPr>
            <w:tcW w:w="1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1,615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3,077</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FF0FC"/>
          </w:tcPr>
          <w:p>
            <w:pPr>
              <w:spacing w:after="0"/>
              <w:rPr>
                <w:sz w:val="19"/>
                <w:szCs w:val="19"/>
                <w:color w:val="auto"/>
              </w:rPr>
            </w:pPr>
          </w:p>
        </w:tc>
      </w:tr>
      <w:tr>
        <w:trPr>
          <w:trHeight w:val="229"/>
        </w:trPr>
        <w:tc>
          <w:tcPr>
            <w:tcW w:w="3860" w:type="dxa"/>
            <w:vAlign w:val="bottom"/>
          </w:tcPr>
          <w:p>
            <w:pPr>
              <w:spacing w:after="0"/>
              <w:rPr>
                <w:sz w:val="20"/>
                <w:szCs w:val="20"/>
                <w:color w:val="auto"/>
              </w:rPr>
            </w:pPr>
            <w:r>
              <w:rPr>
                <w:rFonts w:ascii="Arial" w:cs="Arial" w:eastAsia="Arial" w:hAnsi="Arial"/>
                <w:sz w:val="18"/>
                <w:szCs w:val="18"/>
                <w:color w:val="auto"/>
              </w:rPr>
              <w:t>Cameron</w:t>
            </w: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1,015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80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1,328</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9"/>
                <w:szCs w:val="19"/>
                <w:color w:val="auto"/>
              </w:rPr>
            </w:pPr>
          </w:p>
        </w:tc>
      </w:tr>
      <w:tr>
        <w:trPr>
          <w:trHeight w:val="229"/>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1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(57)</w:t>
            </w: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(59)</w:t>
            </w: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(114)</w:t>
            </w:r>
          </w:p>
        </w:tc>
        <w:tc>
          <w:tcPr>
            <w:tcW w:w="8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w:t>
            </w:r>
          </w:p>
        </w:tc>
      </w:tr>
      <w:tr>
        <w:trPr>
          <w:trHeight w:val="223"/>
        </w:trPr>
        <w:tc>
          <w:tcPr>
            <w:tcW w:w="38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396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968</w:t>
            </w:r>
          </w:p>
        </w:tc>
        <w:tc>
          <w:tcPr>
            <w:tcW w:w="100" w:type="dxa"/>
            <w:vAlign w:val="bottom"/>
          </w:tcPr>
          <w:p>
            <w:pPr>
              <w:spacing w:after="0"/>
              <w:rPr>
                <w:sz w:val="19"/>
                <w:szCs w:val="19"/>
                <w:color w:val="auto"/>
              </w:rPr>
            </w:pPr>
          </w:p>
        </w:tc>
      </w:tr>
      <w:tr>
        <w:trPr>
          <w:trHeight w:val="229"/>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1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(169)</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5"/>
              </w:rPr>
              <w:t>(238)</w:t>
            </w: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r>
      <w:tr>
        <w:trPr>
          <w:trHeight w:val="229"/>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1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(137)</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5"/>
              </w:rPr>
              <w:t>(146)</w:t>
            </w:r>
          </w:p>
        </w:tc>
      </w:tr>
      <w:tr>
        <w:trPr>
          <w:trHeight w:val="229"/>
        </w:trPr>
        <w:tc>
          <w:tcPr>
            <w:tcW w:w="3860" w:type="dxa"/>
            <w:vAlign w:val="bottom"/>
          </w:tcPr>
          <w:p>
            <w:pPr>
              <w:spacing w:after="0"/>
              <w:rPr>
                <w:sz w:val="20"/>
                <w:szCs w:val="20"/>
                <w:color w:val="auto"/>
              </w:rPr>
            </w:pPr>
            <w:r>
              <w:rPr>
                <w:rFonts w:ascii="Arial" w:cs="Arial" w:eastAsia="Arial" w:hAnsi="Arial"/>
                <w:sz w:val="18"/>
                <w:szCs w:val="18"/>
                <w:color w:val="auto"/>
              </w:rPr>
              <w:t xml:space="preserve">Charges and credits </w:t>
            </w:r>
            <w:r>
              <w:rPr>
                <w:rFonts w:ascii="Arial" w:cs="Arial" w:eastAsia="Arial" w:hAnsi="Arial"/>
                <w:sz w:val="15"/>
                <w:szCs w:val="15"/>
                <w:color w:val="auto"/>
              </w:rPr>
              <w:t>(4)</w:t>
            </w: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(3,724)</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3"/>
        </w:trPr>
        <w:tc>
          <w:tcPr>
            <w:tcW w:w="3860" w:type="dxa"/>
            <w:vAlign w:val="bottom"/>
            <w:tcBorders>
              <w:top w:val="single" w:sz="8" w:color="CFF0FC"/>
              <w:bottom w:val="single" w:sz="8" w:color="CFF0FC"/>
            </w:tcBorders>
            <w:shd w:val="clear" w:color="auto" w:fill="CFF0FC"/>
          </w:tcPr>
          <w:p>
            <w:pPr>
              <w:spacing w:after="0"/>
              <w:rPr>
                <w:sz w:val="19"/>
                <w:szCs w:val="19"/>
                <w:color w:val="auto"/>
              </w:rPr>
            </w:pPr>
          </w:p>
        </w:tc>
        <w:tc>
          <w:tcPr>
            <w:tcW w:w="19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5,356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(3,627)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8,269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ind w:right="639"/>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8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3" w:lineRule="exact"/>
        <w:rPr>
          <w:sz w:val="20"/>
          <w:szCs w:val="20"/>
          <w:color w:val="auto"/>
        </w:rPr>
      </w:pPr>
    </w:p>
    <w:p>
      <w:pPr>
        <w:ind w:left="500" w:right="20" w:hanging="492"/>
        <w:spacing w:after="0" w:line="193" w:lineRule="auto"/>
        <w:tabs>
          <w:tab w:leader="none" w:pos="500" w:val="left"/>
        </w:tabs>
        <w:numPr>
          <w:ilvl w:val="0"/>
          <w:numId w:val="20"/>
        </w:numPr>
        <w:rPr>
          <w:rFonts w:ascii="Arial" w:cs="Arial" w:eastAsia="Arial" w:hAnsi="Arial"/>
          <w:sz w:val="28"/>
          <w:szCs w:val="28"/>
          <w:color w:val="auto"/>
          <w:vertAlign w:val="superscript"/>
        </w:rPr>
      </w:pPr>
      <w:r>
        <w:rPr>
          <w:rFonts w:ascii="Arial" w:cs="Arial" w:eastAsia="Arial" w:hAnsi="Arial"/>
          <w:sz w:val="16"/>
          <w:szCs w:val="16"/>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3" w:lineRule="exact"/>
        <w:rPr>
          <w:rFonts w:ascii="Arial" w:cs="Arial" w:eastAsia="Arial" w:hAnsi="Arial"/>
          <w:sz w:val="28"/>
          <w:szCs w:val="28"/>
          <w:color w:val="auto"/>
          <w:vertAlign w:val="superscript"/>
        </w:rPr>
      </w:pPr>
    </w:p>
    <w:p>
      <w:pPr>
        <w:ind w:left="500" w:hanging="492"/>
        <w:spacing w:after="0"/>
        <w:tabs>
          <w:tab w:leader="none" w:pos="500" w:val="left"/>
        </w:tabs>
        <w:numPr>
          <w:ilvl w:val="0"/>
          <w:numId w:val="20"/>
        </w:numPr>
        <w:rPr>
          <w:rFonts w:ascii="Arial" w:cs="Arial" w:eastAsia="Arial" w:hAnsi="Arial"/>
          <w:sz w:val="28"/>
          <w:szCs w:val="28"/>
          <w:color w:val="auto"/>
          <w:vertAlign w:val="superscript"/>
        </w:rPr>
      </w:pPr>
      <w:r>
        <w:rPr>
          <w:rFonts w:ascii="Arial" w:cs="Arial" w:eastAsia="Arial" w:hAnsi="Arial"/>
          <w:sz w:val="16"/>
          <w:szCs w:val="16"/>
          <w:color w:val="auto"/>
        </w:rPr>
        <w:t>Interest income excludes amounts which are included in the segments’ income ($- million in 2020; $2 million in 2019).</w:t>
      </w:r>
    </w:p>
    <w:p>
      <w:pPr>
        <w:spacing w:after="0" w:line="118" w:lineRule="exact"/>
        <w:rPr>
          <w:rFonts w:ascii="Arial" w:cs="Arial" w:eastAsia="Arial" w:hAnsi="Arial"/>
          <w:sz w:val="28"/>
          <w:szCs w:val="28"/>
          <w:color w:val="auto"/>
          <w:vertAlign w:val="superscript"/>
        </w:rPr>
      </w:pPr>
    </w:p>
    <w:p>
      <w:pPr>
        <w:ind w:left="500" w:hanging="492"/>
        <w:spacing w:after="0" w:line="182" w:lineRule="auto"/>
        <w:tabs>
          <w:tab w:leader="none" w:pos="500" w:val="left"/>
        </w:tabs>
        <w:numPr>
          <w:ilvl w:val="0"/>
          <w:numId w:val="20"/>
        </w:numPr>
        <w:rPr>
          <w:rFonts w:ascii="Arial" w:cs="Arial" w:eastAsia="Arial" w:hAnsi="Arial"/>
          <w:sz w:val="22"/>
          <w:szCs w:val="22"/>
          <w:color w:val="auto"/>
          <w:vertAlign w:val="superscript"/>
        </w:rPr>
      </w:pPr>
      <w:r>
        <w:rPr>
          <w:rFonts w:ascii="Arial" w:cs="Arial" w:eastAsia="Arial" w:hAnsi="Arial"/>
          <w:sz w:val="14"/>
          <w:szCs w:val="14"/>
          <w:color w:val="auto"/>
        </w:rPr>
        <w:t>Interest expense excludes amounts which are included in the segments’ income ($7 million in 2020; $10 million in 2019).</w:t>
      </w:r>
    </w:p>
    <w:p>
      <w:pPr>
        <w:spacing w:after="0" w:line="118" w:lineRule="exact"/>
        <w:rPr>
          <w:rFonts w:ascii="Arial" w:cs="Arial" w:eastAsia="Arial" w:hAnsi="Arial"/>
          <w:sz w:val="22"/>
          <w:szCs w:val="22"/>
          <w:color w:val="auto"/>
          <w:vertAlign w:val="superscript"/>
        </w:rPr>
      </w:pPr>
    </w:p>
    <w:p>
      <w:pPr>
        <w:ind w:left="500" w:hanging="492"/>
        <w:spacing w:after="0" w:line="182" w:lineRule="auto"/>
        <w:tabs>
          <w:tab w:leader="none" w:pos="500" w:val="left"/>
        </w:tabs>
        <w:numPr>
          <w:ilvl w:val="0"/>
          <w:numId w:val="20"/>
        </w:numPr>
        <w:rPr>
          <w:rFonts w:ascii="Arial" w:cs="Arial" w:eastAsia="Arial" w:hAnsi="Arial"/>
          <w:sz w:val="22"/>
          <w:szCs w:val="22"/>
          <w:color w:val="auto"/>
          <w:vertAlign w:val="superscript"/>
        </w:rPr>
      </w:pPr>
      <w:r>
        <w:rPr>
          <w:rFonts w:ascii="Arial" w:cs="Arial" w:eastAsia="Arial" w:hAnsi="Arial"/>
          <w:sz w:val="14"/>
          <w:szCs w:val="14"/>
          <w:color w:val="auto"/>
        </w:rPr>
        <w:t xml:space="preserve">Charges and credits are described in detail in Note 2 to the </w:t>
      </w:r>
      <w:r>
        <w:rPr>
          <w:rFonts w:ascii="Arial" w:cs="Arial" w:eastAsia="Arial" w:hAnsi="Arial"/>
          <w:sz w:val="14"/>
          <w:szCs w:val="14"/>
          <w:i w:val="1"/>
          <w:iCs w:val="1"/>
          <w:color w:val="auto"/>
        </w:rPr>
        <w:t>Consolidated Financial Statements.</w:t>
      </w:r>
    </w:p>
    <w:p>
      <w:pPr>
        <w:spacing w:after="0" w:line="20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Second-quarter 2020 revenue of $5.4 billion was 35% lower compared to the same period last year due to the significant fall in North America activity, well as the international activity drop due to downward revisions to customer budgets accentuated by COVID-19 disruptions. With market uncertainty weighing on demand outlook, North America revenue declined 58% reflecting the continued capital discipline of North America operators, who reduced drilling and frac activity. International revenue decreased 24%. This decline was most prominent in Latin America and Africa due to COVID-19-related restrictions and the drop in deepwater activity, as well as the effect of the APS production interruption in Ecuador.</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Characterization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Second-quarter 2020 revenue of $1.1 billion decreased 32% year-on-year. This was mainly due to lower Wireline and WesternGeco revenue as customers pulled back activity due to COVID-19 and cut discretionary spending and exploration in several international GeoMarkets.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Year-on-year, pretax operating margin decreased 273 bps to 18% due to reduced profitability, largely in Wireline and WesternGeco.</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Second-quarter 2020 revenue of $1.7 billion decreased 28% year-on-year. This was primarily due to the activity decline in US land as rig count significantly decreased, while COVID-19 disruptions caused drilling activities to be cancelled or suspended in several international GeoMarkets. Revenue was also lower due to the divestiture of the Drilling Tools businesses at the end of the fourth quarter of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Year-on-year, pretax operating margin decreased 288 bps to 10% due to the significant reduction in activity in North America.</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Second-quarter 2020 revenue of $1.6 billion decreased 48% year-on-year. This revenue decrease was driven by the sharp drop in OneStim pressure pumping activity in North America land, lower APS revenue due primarily to the significant production interruption in Ecuador and COVID-19 disruptions.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Year-on-year, pretax operating margin decreased 612 bps to 2% due primarily to reduced profitability in OneStim in North America land.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Cameron</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Second-quarter 2020 revenue of $1.0 billion decreased 24% year-on-year. The decline was driven primarily by lower Valves &amp; Process Systems and Surface Systems revenue in North America.</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Year-on-year, pretax operating margin decreased 453 bps to 8% due to the significant revenue decline.</w:t>
      </w:r>
    </w:p>
    <w:p>
      <w:pPr>
        <w:spacing w:after="0" w:line="140" w:lineRule="exact"/>
        <w:rPr>
          <w:sz w:val="20"/>
          <w:szCs w:val="20"/>
          <w:color w:val="auto"/>
        </w:rPr>
      </w:pPr>
    </w:p>
    <w:p>
      <w:pPr>
        <w:ind w:left="3800"/>
        <w:spacing w:after="0"/>
        <w:rPr>
          <w:sz w:val="20"/>
          <w:szCs w:val="20"/>
          <w:color w:val="auto"/>
        </w:rPr>
      </w:pPr>
      <w:r>
        <w:rPr>
          <w:rFonts w:ascii="Arial" w:cs="Arial" w:eastAsia="Arial" w:hAnsi="Arial"/>
          <w:sz w:val="18"/>
          <w:szCs w:val="18"/>
          <w:b w:val="1"/>
          <w:bCs w:val="1"/>
          <w:u w:val="single" w:color="auto"/>
          <w:color w:val="auto"/>
        </w:rPr>
        <w:t>Six Months 2020 Compared to Six Months 2019</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8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3"/>
          </w:tcPr>
          <w:p>
            <w:pPr>
              <w:jc w:val="center"/>
              <w:ind w:right="80"/>
              <w:spacing w:after="0"/>
              <w:rPr>
                <w:sz w:val="20"/>
                <w:szCs w:val="20"/>
                <w:color w:val="auto"/>
              </w:rPr>
            </w:pPr>
            <w:r>
              <w:rPr>
                <w:rFonts w:ascii="Arial" w:cs="Arial" w:eastAsia="Arial" w:hAnsi="Arial"/>
                <w:sz w:val="14"/>
                <w:szCs w:val="14"/>
                <w:i w:val="1"/>
                <w:iCs w:val="1"/>
                <w:color w:val="auto"/>
                <w:w w:val="95"/>
              </w:rPr>
              <w:t>(Stated in millions)</w:t>
            </w:r>
          </w:p>
        </w:tc>
      </w:tr>
      <w:tr>
        <w:trPr>
          <w:trHeight w:val="444"/>
        </w:trPr>
        <w:tc>
          <w:tcPr>
            <w:tcW w:w="38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2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Six Months 2020</w:t>
            </w:r>
          </w:p>
        </w:tc>
        <w:tc>
          <w:tcPr>
            <w:tcW w:w="180" w:type="dxa"/>
            <w:vAlign w:val="bottom"/>
          </w:tcPr>
          <w:p>
            <w:pPr>
              <w:spacing w:after="0"/>
              <w:rPr>
                <w:sz w:val="24"/>
                <w:szCs w:val="24"/>
                <w:color w:val="auto"/>
              </w:rPr>
            </w:pPr>
          </w:p>
        </w:tc>
        <w:tc>
          <w:tcPr>
            <w:tcW w:w="2500" w:type="dxa"/>
            <w:vAlign w:val="bottom"/>
            <w:gridSpan w:val="5"/>
          </w:tcPr>
          <w:p>
            <w:pPr>
              <w:jc w:val="right"/>
              <w:ind w:right="780"/>
              <w:spacing w:after="0"/>
              <w:rPr>
                <w:sz w:val="20"/>
                <w:szCs w:val="20"/>
                <w:color w:val="auto"/>
              </w:rPr>
            </w:pPr>
            <w:r>
              <w:rPr>
                <w:rFonts w:ascii="Arial" w:cs="Arial" w:eastAsia="Arial" w:hAnsi="Arial"/>
                <w:sz w:val="18"/>
                <w:szCs w:val="18"/>
                <w:color w:val="auto"/>
              </w:rPr>
              <w:t>Six Months 2019</w:t>
            </w:r>
          </w:p>
        </w:tc>
      </w:tr>
      <w:tr>
        <w:trPr>
          <w:trHeight w:val="218"/>
        </w:trPr>
        <w:tc>
          <w:tcPr>
            <w:tcW w:w="38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Income (Loss)</w:t>
            </w: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1"/>
              </w:rPr>
              <w:t>Income (Loss)</w:t>
            </w:r>
          </w:p>
        </w:tc>
        <w:tc>
          <w:tcPr>
            <w:tcW w:w="100" w:type="dxa"/>
            <w:vAlign w:val="bottom"/>
          </w:tcPr>
          <w:p>
            <w:pPr>
              <w:spacing w:after="0"/>
              <w:rPr>
                <w:sz w:val="18"/>
                <w:szCs w:val="18"/>
                <w:color w:val="auto"/>
              </w:rPr>
            </w:pPr>
          </w:p>
        </w:tc>
      </w:tr>
      <w:tr>
        <w:trPr>
          <w:trHeight w:val="229"/>
        </w:trPr>
        <w:tc>
          <w:tcPr>
            <w:tcW w:w="38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7"/>
              </w:rPr>
              <w:t>Before</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Before</w:t>
            </w:r>
          </w:p>
        </w:tc>
      </w:tr>
      <w:tr>
        <w:trPr>
          <w:trHeight w:val="234"/>
        </w:trPr>
        <w:tc>
          <w:tcPr>
            <w:tcW w:w="38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3"/>
              </w:rPr>
              <w:t>Revenue</w:t>
            </w:r>
          </w:p>
        </w:tc>
        <w:tc>
          <w:tcPr>
            <w:tcW w:w="200" w:type="dxa"/>
            <w:vAlign w:val="bottom"/>
          </w:tcPr>
          <w:p>
            <w:pPr>
              <w:spacing w:after="0"/>
              <w:rPr>
                <w:sz w:val="20"/>
                <w:szCs w:val="20"/>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6"/>
              </w:rPr>
              <w:t>Taxes</w:t>
            </w:r>
          </w:p>
        </w:tc>
        <w:tc>
          <w:tcPr>
            <w:tcW w:w="18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w w:val="97"/>
              </w:rPr>
              <w:t>Revenue</w:t>
            </w:r>
          </w:p>
        </w:tc>
        <w:tc>
          <w:tcPr>
            <w:tcW w:w="200" w:type="dxa"/>
            <w:vAlign w:val="bottom"/>
          </w:tcPr>
          <w:p>
            <w:pPr>
              <w:spacing w:after="0"/>
              <w:rPr>
                <w:sz w:val="20"/>
                <w:szCs w:val="20"/>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Taxes</w:t>
            </w:r>
          </w:p>
        </w:tc>
      </w:tr>
      <w:tr>
        <w:trPr>
          <w:trHeight w:val="223"/>
        </w:trPr>
        <w:tc>
          <w:tcPr>
            <w:tcW w:w="3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Reservoir Characterization</w:t>
            </w:r>
          </w:p>
        </w:tc>
        <w:tc>
          <w:tcPr>
            <w:tcW w:w="19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2,363</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369</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3,017</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3860" w:type="dxa"/>
            <w:vAlign w:val="bottom"/>
          </w:tcPr>
          <w:p>
            <w:pPr>
              <w:spacing w:after="0"/>
              <w:rPr>
                <w:sz w:val="20"/>
                <w:szCs w:val="20"/>
                <w:color w:val="auto"/>
              </w:rPr>
            </w:pPr>
            <w:r>
              <w:rPr>
                <w:rFonts w:ascii="Arial" w:cs="Arial" w:eastAsia="Arial" w:hAnsi="Arial"/>
                <w:sz w:val="18"/>
                <w:szCs w:val="18"/>
                <w:color w:val="auto"/>
              </w:rPr>
              <w:t>Drilling</w:t>
            </w: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4,020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450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4,806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19"/>
                <w:szCs w:val="19"/>
                <w:color w:val="auto"/>
              </w:rPr>
            </w:pPr>
          </w:p>
        </w:tc>
      </w:t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Production</w:t>
            </w:r>
          </w:p>
        </w:tc>
        <w:tc>
          <w:tcPr>
            <w:tcW w:w="1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4,318</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237</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5,967</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w:t>
            </w:r>
          </w:p>
        </w:tc>
        <w:tc>
          <w:tcPr>
            <w:tcW w:w="100" w:type="dxa"/>
            <w:vAlign w:val="bottom"/>
            <w:shd w:val="clear" w:color="auto" w:fill="CFF0FC"/>
          </w:tcPr>
          <w:p>
            <w:pPr>
              <w:spacing w:after="0"/>
              <w:rPr>
                <w:sz w:val="19"/>
                <w:szCs w:val="19"/>
                <w:color w:val="auto"/>
              </w:rPr>
            </w:pPr>
          </w:p>
        </w:tc>
      </w:tr>
      <w:tr>
        <w:trPr>
          <w:trHeight w:val="229"/>
        </w:trPr>
        <w:tc>
          <w:tcPr>
            <w:tcW w:w="3860" w:type="dxa"/>
            <w:vAlign w:val="bottom"/>
          </w:tcPr>
          <w:p>
            <w:pPr>
              <w:spacing w:after="0"/>
              <w:rPr>
                <w:sz w:val="20"/>
                <w:szCs w:val="20"/>
                <w:color w:val="auto"/>
              </w:rPr>
            </w:pPr>
            <w:r>
              <w:rPr>
                <w:rFonts w:ascii="Arial" w:cs="Arial" w:eastAsia="Arial" w:hAnsi="Arial"/>
                <w:sz w:val="18"/>
                <w:szCs w:val="18"/>
                <w:color w:val="auto"/>
              </w:rPr>
              <w:t>Cameron</w:t>
            </w: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2,270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2,586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9"/>
                <w:szCs w:val="19"/>
                <w:color w:val="auto"/>
              </w:rPr>
            </w:pPr>
          </w:p>
        </w:tc>
      </w:tr>
      <w:tr>
        <w:trPr>
          <w:trHeight w:val="229"/>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1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(160)</w:t>
            </w: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(85)</w:t>
            </w: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(227)</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(96)</w:t>
            </w:r>
          </w:p>
        </w:tc>
      </w:tr>
      <w:tr>
        <w:trPr>
          <w:trHeight w:val="223"/>
        </w:trPr>
        <w:tc>
          <w:tcPr>
            <w:tcW w:w="38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1,172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1,876</w:t>
            </w:r>
          </w:p>
        </w:tc>
        <w:tc>
          <w:tcPr>
            <w:tcW w:w="100" w:type="dxa"/>
            <w:vAlign w:val="bottom"/>
          </w:tcPr>
          <w:p>
            <w:pPr>
              <w:spacing w:after="0"/>
              <w:rPr>
                <w:sz w:val="19"/>
                <w:szCs w:val="19"/>
                <w:color w:val="auto"/>
              </w:rPr>
            </w:pPr>
          </w:p>
        </w:tc>
      </w:tr>
      <w:tr>
        <w:trPr>
          <w:trHeight w:val="229"/>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1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(397)</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(511)</w:t>
            </w: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r>
      <w:tr>
        <w:trPr>
          <w:trHeight w:val="229"/>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1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(266)</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(282)</w:t>
            </w:r>
          </w:p>
        </w:tc>
      </w:tr>
      <w:tr>
        <w:trPr>
          <w:trHeight w:val="229"/>
        </w:trPr>
        <w:tc>
          <w:tcPr>
            <w:tcW w:w="3860" w:type="dxa"/>
            <w:vAlign w:val="bottom"/>
          </w:tcPr>
          <w:p>
            <w:pPr>
              <w:spacing w:after="0"/>
              <w:rPr>
                <w:sz w:val="20"/>
                <w:szCs w:val="20"/>
                <w:color w:val="auto"/>
              </w:rPr>
            </w:pPr>
            <w:r>
              <w:rPr>
                <w:rFonts w:ascii="Arial" w:cs="Arial" w:eastAsia="Arial" w:hAnsi="Arial"/>
                <w:sz w:val="18"/>
                <w:szCs w:val="18"/>
                <w:color w:val="auto"/>
              </w:rPr>
              <w:t xml:space="preserve">Charges and credits </w:t>
            </w:r>
            <w:r>
              <w:rPr>
                <w:rFonts w:ascii="Arial" w:cs="Arial" w:eastAsia="Arial" w:hAnsi="Arial"/>
                <w:sz w:val="15"/>
                <w:szCs w:val="15"/>
                <w:color w:val="auto"/>
              </w:rPr>
              <w:t>(4)</w:t>
            </w: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(12,247)</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3"/>
        </w:trPr>
        <w:tc>
          <w:tcPr>
            <w:tcW w:w="3860" w:type="dxa"/>
            <w:vAlign w:val="bottom"/>
            <w:tcBorders>
              <w:top w:val="single" w:sz="8" w:color="CFF0FC"/>
              <w:bottom w:val="single" w:sz="8" w:color="CFF0FC"/>
            </w:tcBorders>
            <w:shd w:val="clear" w:color="auto" w:fill="CFF0FC"/>
          </w:tcPr>
          <w:p>
            <w:pPr>
              <w:spacing w:after="0"/>
              <w:rPr>
                <w:sz w:val="19"/>
                <w:szCs w:val="19"/>
                <w:color w:val="auto"/>
              </w:rPr>
            </w:pPr>
          </w:p>
        </w:tc>
        <w:tc>
          <w:tcPr>
            <w:tcW w:w="19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12,811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(11,716)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16,149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8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0" w:lineRule="exact"/>
        <w:rPr>
          <w:sz w:val="20"/>
          <w:szCs w:val="20"/>
          <w:color w:val="auto"/>
        </w:rPr>
      </w:pPr>
    </w:p>
    <w:p>
      <w:pPr>
        <w:ind w:left="500" w:right="20" w:hanging="492"/>
        <w:spacing w:after="0" w:line="193" w:lineRule="auto"/>
        <w:tabs>
          <w:tab w:leader="none" w:pos="500" w:val="left"/>
        </w:tabs>
        <w:numPr>
          <w:ilvl w:val="0"/>
          <w:numId w:val="21"/>
        </w:numPr>
        <w:rPr>
          <w:rFonts w:ascii="Arial" w:cs="Arial" w:eastAsia="Arial" w:hAnsi="Arial"/>
          <w:sz w:val="28"/>
          <w:szCs w:val="28"/>
          <w:color w:val="auto"/>
          <w:vertAlign w:val="superscript"/>
        </w:rPr>
      </w:pPr>
      <w:r>
        <w:rPr>
          <w:rFonts w:ascii="Arial" w:cs="Arial" w:eastAsia="Arial" w:hAnsi="Arial"/>
          <w:sz w:val="16"/>
          <w:szCs w:val="16"/>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3" w:lineRule="exact"/>
        <w:rPr>
          <w:rFonts w:ascii="Arial" w:cs="Arial" w:eastAsia="Arial" w:hAnsi="Arial"/>
          <w:sz w:val="28"/>
          <w:szCs w:val="28"/>
          <w:color w:val="auto"/>
          <w:vertAlign w:val="superscript"/>
        </w:rPr>
      </w:pPr>
    </w:p>
    <w:p>
      <w:pPr>
        <w:ind w:left="500" w:hanging="492"/>
        <w:spacing w:after="0"/>
        <w:tabs>
          <w:tab w:leader="none" w:pos="500" w:val="left"/>
        </w:tabs>
        <w:numPr>
          <w:ilvl w:val="0"/>
          <w:numId w:val="21"/>
        </w:numPr>
        <w:rPr>
          <w:rFonts w:ascii="Arial" w:cs="Arial" w:eastAsia="Arial" w:hAnsi="Arial"/>
          <w:sz w:val="28"/>
          <w:szCs w:val="28"/>
          <w:color w:val="auto"/>
          <w:vertAlign w:val="superscript"/>
        </w:rPr>
      </w:pPr>
      <w:r>
        <w:rPr>
          <w:rFonts w:ascii="Arial" w:cs="Arial" w:eastAsia="Arial" w:hAnsi="Arial"/>
          <w:sz w:val="16"/>
          <w:szCs w:val="16"/>
          <w:color w:val="auto"/>
        </w:rPr>
        <w:t>Interest income excludes amounts which are included in the segments’ income ($1 million in 2020; $5 million in 2019).</w:t>
      </w:r>
    </w:p>
    <w:p>
      <w:pPr>
        <w:spacing w:after="0" w:line="118" w:lineRule="exact"/>
        <w:rPr>
          <w:rFonts w:ascii="Arial" w:cs="Arial" w:eastAsia="Arial" w:hAnsi="Arial"/>
          <w:sz w:val="28"/>
          <w:szCs w:val="28"/>
          <w:color w:val="auto"/>
          <w:vertAlign w:val="superscript"/>
        </w:rPr>
      </w:pPr>
    </w:p>
    <w:p>
      <w:pPr>
        <w:ind w:left="500" w:hanging="492"/>
        <w:spacing w:after="0" w:line="182" w:lineRule="auto"/>
        <w:tabs>
          <w:tab w:leader="none" w:pos="500" w:val="left"/>
        </w:tabs>
        <w:numPr>
          <w:ilvl w:val="0"/>
          <w:numId w:val="21"/>
        </w:numPr>
        <w:rPr>
          <w:rFonts w:ascii="Arial" w:cs="Arial" w:eastAsia="Arial" w:hAnsi="Arial"/>
          <w:sz w:val="22"/>
          <w:szCs w:val="22"/>
          <w:color w:val="auto"/>
          <w:vertAlign w:val="superscript"/>
        </w:rPr>
      </w:pPr>
      <w:r>
        <w:rPr>
          <w:rFonts w:ascii="Arial" w:cs="Arial" w:eastAsia="Arial" w:hAnsi="Arial"/>
          <w:sz w:val="14"/>
          <w:szCs w:val="14"/>
          <w:color w:val="auto"/>
        </w:rPr>
        <w:t>Interest expense excludes amounts which are included in the segments’ income ($15 million in 2020; $20 million in 2019).</w:t>
      </w:r>
    </w:p>
    <w:p>
      <w:pPr>
        <w:spacing w:after="0" w:line="118" w:lineRule="exact"/>
        <w:rPr>
          <w:rFonts w:ascii="Arial" w:cs="Arial" w:eastAsia="Arial" w:hAnsi="Arial"/>
          <w:sz w:val="22"/>
          <w:szCs w:val="22"/>
          <w:color w:val="auto"/>
          <w:vertAlign w:val="superscript"/>
        </w:rPr>
      </w:pPr>
    </w:p>
    <w:p>
      <w:pPr>
        <w:ind w:left="460" w:hanging="452"/>
        <w:spacing w:after="0" w:line="182" w:lineRule="auto"/>
        <w:tabs>
          <w:tab w:leader="none" w:pos="460" w:val="left"/>
        </w:tabs>
        <w:numPr>
          <w:ilvl w:val="0"/>
          <w:numId w:val="21"/>
        </w:numPr>
        <w:rPr>
          <w:rFonts w:ascii="Arial" w:cs="Arial" w:eastAsia="Arial" w:hAnsi="Arial"/>
          <w:sz w:val="22"/>
          <w:szCs w:val="22"/>
          <w:color w:val="auto"/>
          <w:vertAlign w:val="superscript"/>
        </w:rPr>
      </w:pPr>
      <w:r>
        <w:rPr>
          <w:rFonts w:ascii="Arial" w:cs="Arial" w:eastAsia="Arial" w:hAnsi="Arial"/>
          <w:sz w:val="14"/>
          <w:szCs w:val="14"/>
          <w:color w:val="auto"/>
        </w:rPr>
        <w:t xml:space="preserve">Charges and credits are described in detail in Note 2 to the </w:t>
      </w:r>
      <w:r>
        <w:rPr>
          <w:rFonts w:ascii="Arial" w:cs="Arial" w:eastAsia="Arial" w:hAnsi="Arial"/>
          <w:sz w:val="14"/>
          <w:szCs w:val="14"/>
          <w:i w:val="1"/>
          <w:iCs w:val="1"/>
          <w:color w:val="auto"/>
        </w:rPr>
        <w:t>Consolidated Financial Statements.</w:t>
      </w:r>
    </w:p>
    <w:p>
      <w:pPr>
        <w:spacing w:after="0" w:line="20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Six-month 2020 revenue of $12.8 billion was 21% lower compared to the same period last year due to the significant fall in North America activity, as well as the international activity drop due to downward revisions to customer budgets accentuated by COVID-19 disruptions. With market uncertainty weighing on demand outlook, North America revenue declined 37% reflecting the continued capital discipline of North America operators, who reduced drilling and frac activity. International revenue decreased 12%. The decline was most prominent in Latin America and Africa due to COVID-19 related restrictions and the drop in deepwater activity, as well as the effect of the APS production interruption in Ecuador.</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Characterization</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Six-month 2020 revenue of $2.4 billion decreased 22% year-on-year. This was mainly due to lower Wireline and WesternGeco revenue as customers pulled back activity due to COVID-19 and cut discretionary spending and exploration in several international GeoMarkets. Testing Services and Software Integrated Solutions revenue declined slightly.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Year-on-year, pretax operating margin decreased 421 bps to 16% due to reduced profitability largely in Wireline and WesternGeco.</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Six-month 2020 revenue of $4.0 billion decreased 16% year-on-year. This was primarily due to the activity decline in US land as rig count significantly decreased while COVID-19 disruptions caused drilling activities to be cancelled or suspended in several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color w:val="auto"/>
        </w:rPr>
        <w:t>international GeoMarkets. Revenue was also lower due to the divestiture of the Drilling Tools businesses at the end of the fourth quarter of 2019.</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Year-on-year, pretax operating margin decreased 145 bps to 11%. Margins were lower due to the decrease in revenue and COVID-19-related disruptions.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Six-month 2020 revenue of $4.3 billion decreased 28% year-on-year. This revenue decrease was driven primarily by the sharp drop in OneStim pressure pumping activity in North America land, lower APS revenue due primarily to the significant production interruption in Ecuador and COVID-19 disruptions.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Year-on-year, pretax operating margin decreased 211 bps to 5% due primarily to reduced profitability in OneStim in North America land.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Cameron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Six-month 2020 revenue of $2.3 billion decreased 12% year-on-year. The decline was driven primarily by lower Valves &amp; Process Systems and Surface Systems revenue in North America.</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Year-on-year, pretax operating margin decreased 322 bps to 9% due to the significant revenue decline.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Interest and Other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Interest &amp; other income </w:t>
      </w:r>
      <w:r>
        <w:rPr>
          <w:rFonts w:ascii="Arial" w:cs="Arial" w:eastAsia="Arial" w:hAnsi="Arial"/>
          <w:sz w:val="18"/>
          <w:szCs w:val="18"/>
          <w:color w:val="auto"/>
        </w:rPr>
        <w:t>consisted of the following: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5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w w:val="97"/>
              </w:rPr>
              <w:t>(Stated in millions)</w:t>
            </w:r>
          </w:p>
        </w:tc>
      </w:tr>
      <w:tr>
        <w:trPr>
          <w:trHeight w:val="444"/>
        </w:trPr>
        <w:tc>
          <w:tcPr>
            <w:tcW w:w="4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4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rPr>
              <w:t>Second Quarter</w:t>
            </w:r>
          </w:p>
        </w:tc>
        <w:tc>
          <w:tcPr>
            <w:tcW w:w="3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Six Months</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4540" w:type="dxa"/>
            <w:vAlign w:val="bottom"/>
            <w:tcBorders>
              <w:bottom w:val="single" w:sz="8" w:color="CFF0FC"/>
            </w:tcBorders>
          </w:tcPr>
          <w:p>
            <w:pPr>
              <w:spacing w:after="0"/>
              <w:rPr>
                <w:sz w:val="19"/>
                <w:szCs w:val="19"/>
                <w:color w:val="auto"/>
              </w:rPr>
            </w:pPr>
          </w:p>
        </w:tc>
        <w:tc>
          <w:tcPr>
            <w:tcW w:w="124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c>
          <w:tcPr>
            <w:tcW w:w="30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4"/>
              </w:rPr>
              <w:t>2019</w:t>
            </w:r>
          </w:p>
        </w:tc>
        <w:tc>
          <w:tcPr>
            <w:tcW w:w="100" w:type="dxa"/>
            <w:vAlign w:val="bottom"/>
            <w:tcBorders>
              <w:bottom w:val="single" w:sz="8" w:color="CFF0FC"/>
            </w:tcBorders>
          </w:tcPr>
          <w:p>
            <w:pPr>
              <w:spacing w:after="0"/>
              <w:rPr>
                <w:sz w:val="19"/>
                <w:szCs w:val="19"/>
                <w:color w:val="auto"/>
              </w:rPr>
            </w:pPr>
          </w:p>
        </w:tc>
      </w:tr>
      <w:tr>
        <w:trPr>
          <w:trHeight w:val="223"/>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Equity in net earnings of affiliated companies</w:t>
            </w:r>
          </w:p>
        </w:tc>
        <w:tc>
          <w:tcPr>
            <w:tcW w:w="12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78"/>
              <w:spacing w:after="0"/>
              <w:rPr>
                <w:sz w:val="20"/>
                <w:szCs w:val="20"/>
                <w:color w:val="auto"/>
              </w:rPr>
            </w:pPr>
            <w:r>
              <w:rPr>
                <w:rFonts w:ascii="Arial" w:cs="Arial" w:eastAsia="Arial" w:hAnsi="Arial"/>
                <w:sz w:val="15"/>
                <w:szCs w:val="15"/>
                <w:b w:val="1"/>
                <w:bCs w:val="1"/>
                <w:color w:val="auto"/>
                <w:w w:val="71"/>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26</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49</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19"/>
                <w:szCs w:val="19"/>
                <w:color w:val="auto"/>
              </w:rPr>
            </w:pPr>
          </w:p>
        </w:tc>
      </w:tr>
      <w:tr>
        <w:trPr>
          <w:trHeight w:val="230"/>
        </w:trPr>
        <w:tc>
          <w:tcPr>
            <w:tcW w:w="4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income</w:t>
            </w:r>
          </w:p>
        </w:tc>
        <w:tc>
          <w:tcPr>
            <w:tcW w:w="124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24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w:t>
            </w:r>
          </w:p>
        </w:tc>
        <w:tc>
          <w:tcPr>
            <w:tcW w:w="2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FF0FC"/>
            </w:tcBorders>
          </w:tcPr>
          <w:p>
            <w:pPr>
              <w:spacing w:after="0"/>
              <w:rPr>
                <w:sz w:val="19"/>
                <w:szCs w:val="19"/>
                <w:color w:val="auto"/>
              </w:rPr>
            </w:pPr>
          </w:p>
        </w:tc>
      </w:tr>
      <w:tr>
        <w:trPr>
          <w:trHeight w:val="223"/>
        </w:trPr>
        <w:tc>
          <w:tcPr>
            <w:tcW w:w="454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678"/>
              <w:spacing w:after="0"/>
              <w:rPr>
                <w:sz w:val="20"/>
                <w:szCs w:val="20"/>
                <w:color w:val="auto"/>
              </w:rPr>
            </w:pPr>
            <w:r>
              <w:rPr>
                <w:rFonts w:ascii="Arial" w:cs="Arial" w:eastAsia="Arial" w:hAnsi="Arial"/>
                <w:sz w:val="15"/>
                <w:szCs w:val="15"/>
                <w:b w:val="1"/>
                <w:bCs w:val="1"/>
                <w:color w:val="auto"/>
                <w:w w:val="71"/>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33</w:t>
            </w:r>
          </w:p>
        </w:tc>
        <w:tc>
          <w:tcPr>
            <w:tcW w:w="24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72</w:t>
            </w:r>
          </w:p>
        </w:tc>
        <w:tc>
          <w:tcPr>
            <w:tcW w:w="2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increases in earnings from equity method investments primarily relates to higher income associated with Schlumberger's equity investments in rig- and seismic-related businesses.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Research &amp; engineering </w:t>
      </w:r>
      <w:r>
        <w:rPr>
          <w:rFonts w:ascii="Arial" w:cs="Arial" w:eastAsia="Arial" w:hAnsi="Arial"/>
          <w:sz w:val="18"/>
          <w:szCs w:val="18"/>
          <w:color w:val="auto"/>
        </w:rPr>
        <w:t>and</w:t>
      </w:r>
      <w:r>
        <w:rPr>
          <w:rFonts w:ascii="Arial" w:cs="Arial" w:eastAsia="Arial" w:hAnsi="Arial"/>
          <w:sz w:val="18"/>
          <w:szCs w:val="18"/>
          <w:i w:val="1"/>
          <w:iCs w:val="1"/>
          <w:color w:val="auto"/>
        </w:rPr>
        <w:t xml:space="preserve"> General &amp; administrative </w:t>
      </w:r>
      <w:r>
        <w:rPr>
          <w:rFonts w:ascii="Arial" w:cs="Arial" w:eastAsia="Arial" w:hAnsi="Arial"/>
          <w:sz w:val="18"/>
          <w:szCs w:val="18"/>
          <w:color w:val="auto"/>
        </w:rPr>
        <w:t>expenses, as a percentage of</w:t>
      </w:r>
      <w:r>
        <w:rPr>
          <w:rFonts w:ascii="Arial" w:cs="Arial" w:eastAsia="Arial" w:hAnsi="Arial"/>
          <w:sz w:val="18"/>
          <w:szCs w:val="18"/>
          <w:i w:val="1"/>
          <w:iCs w:val="1"/>
          <w:color w:val="auto"/>
        </w:rPr>
        <w:t xml:space="preserve"> Revenue</w:t>
      </w:r>
      <w:r>
        <w:rPr>
          <w:rFonts w:ascii="Arial" w:cs="Arial" w:eastAsia="Arial" w:hAnsi="Arial"/>
          <w:sz w:val="18"/>
          <w:szCs w:val="18"/>
          <w:color w:val="auto"/>
        </w:rPr>
        <w:t>, for the second quarter and six months ended June 30, 2020</w:t>
      </w:r>
      <w:r>
        <w:rPr>
          <w:rFonts w:ascii="Arial" w:cs="Arial" w:eastAsia="Arial" w:hAnsi="Arial"/>
          <w:sz w:val="18"/>
          <w:szCs w:val="18"/>
          <w:i w:val="1"/>
          <w:iCs w:val="1"/>
          <w:color w:val="auto"/>
        </w:rPr>
        <w:t xml:space="preserve"> </w:t>
      </w:r>
      <w:r>
        <w:rPr>
          <w:rFonts w:ascii="Arial" w:cs="Arial" w:eastAsia="Arial" w:hAnsi="Arial"/>
          <w:sz w:val="18"/>
          <w:szCs w:val="18"/>
          <w:color w:val="auto"/>
        </w:rPr>
        <w:t>and 2019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p>
        </w:tc>
        <w:tc>
          <w:tcPr>
            <w:tcW w:w="230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8"/>
                <w:szCs w:val="18"/>
                <w:b w:val="1"/>
                <w:bCs w:val="1"/>
                <w:color w:val="auto"/>
              </w:rPr>
              <w:t>Second Quarter</w:t>
            </w:r>
          </w:p>
        </w:tc>
        <w:tc>
          <w:tcPr>
            <w:tcW w:w="3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w w:val="95"/>
              </w:rPr>
              <w:t>Six Months</w:t>
            </w:r>
          </w:p>
        </w:tc>
        <w:tc>
          <w:tcPr>
            <w:tcW w:w="8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554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300" w:type="dxa"/>
            <w:vAlign w:val="bottom"/>
            <w:tcBorders>
              <w:bottom w:val="single" w:sz="8" w:color="auto"/>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auto"/>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2019</w:t>
            </w:r>
          </w:p>
        </w:tc>
        <w:tc>
          <w:tcPr>
            <w:tcW w:w="180" w:type="dxa"/>
            <w:vAlign w:val="bottom"/>
            <w:tcBorders>
              <w:bottom w:val="single" w:sz="8" w:color="CFF0FC"/>
            </w:tcBorders>
          </w:tcPr>
          <w:p>
            <w:pPr>
              <w:spacing w:after="0"/>
              <w:rPr>
                <w:sz w:val="19"/>
                <w:szCs w:val="19"/>
                <w:color w:val="auto"/>
              </w:rPr>
            </w:pPr>
          </w:p>
        </w:tc>
      </w:tr>
      <w:tr>
        <w:trPr>
          <w:trHeight w:val="223"/>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Research &amp; engineering</w:t>
            </w:r>
          </w:p>
        </w:tc>
        <w:tc>
          <w:tcPr>
            <w:tcW w:w="8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2.6%</w:t>
            </w:r>
          </w:p>
        </w:tc>
        <w:tc>
          <w:tcPr>
            <w:tcW w:w="8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2.2%</w:t>
            </w:r>
          </w:p>
        </w:tc>
        <w:tc>
          <w:tcPr>
            <w:tcW w:w="8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2.5%</w:t>
            </w:r>
          </w:p>
        </w:tc>
        <w:tc>
          <w:tcPr>
            <w:tcW w:w="3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w:t>
            </w:r>
          </w:p>
        </w:tc>
      </w:tr>
      <w:tr>
        <w:trPr>
          <w:trHeight w:val="234"/>
        </w:trPr>
        <w:tc>
          <w:tcPr>
            <w:tcW w:w="6360" w:type="dxa"/>
            <w:vAlign w:val="bottom"/>
            <w:gridSpan w:val="2"/>
          </w:tcPr>
          <w:p>
            <w:pPr>
              <w:spacing w:after="0"/>
              <w:rPr>
                <w:sz w:val="20"/>
                <w:szCs w:val="20"/>
                <w:color w:val="auto"/>
              </w:rPr>
            </w:pPr>
            <w:r>
              <w:rPr>
                <w:rFonts w:ascii="Arial" w:cs="Arial" w:eastAsia="Arial" w:hAnsi="Arial"/>
                <w:sz w:val="18"/>
                <w:szCs w:val="18"/>
                <w:color w:val="auto"/>
              </w:rPr>
              <w:t>General &amp; administrative</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1.5%</w:t>
            </w:r>
          </w:p>
        </w:tc>
        <w:tc>
          <w:tcPr>
            <w:tcW w:w="820" w:type="dxa"/>
            <w:vAlign w:val="bottom"/>
          </w:tcPr>
          <w:p>
            <w:pPr>
              <w:spacing w:after="0"/>
              <w:rPr>
                <w:sz w:val="20"/>
                <w:szCs w:val="20"/>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80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1.6%</w:t>
            </w:r>
          </w:p>
        </w:tc>
        <w:tc>
          <w:tcPr>
            <w:tcW w:w="32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r>
    </w:tbl>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effective tax rate for the second quarter of 2020 was 6%, as compared to 17% for the same period of 2019. The charges described in Note 2 to the </w:t>
      </w:r>
      <w:r>
        <w:rPr>
          <w:rFonts w:ascii="Arial" w:cs="Arial" w:eastAsia="Arial" w:hAnsi="Arial"/>
          <w:sz w:val="18"/>
          <w:szCs w:val="18"/>
          <w:i w:val="1"/>
          <w:iCs w:val="1"/>
          <w:color w:val="auto"/>
        </w:rPr>
        <w:t xml:space="preserve">Consolidated Financial Statements </w:t>
      </w:r>
      <w:r>
        <w:rPr>
          <w:rFonts w:ascii="Arial" w:cs="Arial" w:eastAsia="Arial" w:hAnsi="Arial"/>
          <w:sz w:val="18"/>
          <w:szCs w:val="18"/>
          <w:color w:val="auto"/>
        </w:rPr>
        <w:t>reduced the effective tax rate for the second quarter of 2020 by 17 percentage points as a significant portion of these</w:t>
      </w:r>
      <w:r>
        <w:rPr>
          <w:rFonts w:ascii="Arial" w:cs="Arial" w:eastAsia="Arial" w:hAnsi="Arial"/>
          <w:sz w:val="18"/>
          <w:szCs w:val="18"/>
          <w:i w:val="1"/>
          <w:iCs w:val="1"/>
          <w:color w:val="auto"/>
        </w:rPr>
        <w:t xml:space="preserve"> </w:t>
      </w:r>
      <w:r>
        <w:rPr>
          <w:rFonts w:ascii="Arial" w:cs="Arial" w:eastAsia="Arial" w:hAnsi="Arial"/>
          <w:sz w:val="18"/>
          <w:szCs w:val="18"/>
          <w:color w:val="auto"/>
        </w:rPr>
        <w:t>charges were not tax-effective. Changes in the geographic mix of pretax earnings increased the effective tax rate for the second quarter of 2020 by six percentage points as compared to the same period of 2019.</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effective tax rate for first six months of 2020 was 8% as compared to 16% for the same period of 2019. The charges described in Note 2 to the </w:t>
      </w:r>
      <w:r>
        <w:rPr>
          <w:rFonts w:ascii="Arial" w:cs="Arial" w:eastAsia="Arial" w:hAnsi="Arial"/>
          <w:sz w:val="18"/>
          <w:szCs w:val="18"/>
          <w:i w:val="1"/>
          <w:iCs w:val="1"/>
          <w:color w:val="auto"/>
        </w:rPr>
        <w:t xml:space="preserve">Consolidated Financial Statements </w:t>
      </w:r>
      <w:r>
        <w:rPr>
          <w:rFonts w:ascii="Arial" w:cs="Arial" w:eastAsia="Arial" w:hAnsi="Arial"/>
          <w:sz w:val="18"/>
          <w:szCs w:val="18"/>
          <w:color w:val="auto"/>
        </w:rPr>
        <w:t>reduced the effective tax rate for the first six months of 2020 by 10 percentage points as a significant portion of these</w:t>
      </w:r>
      <w:r>
        <w:rPr>
          <w:rFonts w:ascii="Arial" w:cs="Arial" w:eastAsia="Arial" w:hAnsi="Arial"/>
          <w:sz w:val="18"/>
          <w:szCs w:val="18"/>
          <w:i w:val="1"/>
          <w:iCs w:val="1"/>
          <w:color w:val="auto"/>
        </w:rPr>
        <w:t xml:space="preserve"> </w:t>
      </w:r>
      <w:r>
        <w:rPr>
          <w:rFonts w:ascii="Arial" w:cs="Arial" w:eastAsia="Arial" w:hAnsi="Arial"/>
          <w:sz w:val="18"/>
          <w:szCs w:val="18"/>
          <w:color w:val="auto"/>
        </w:rPr>
        <w:t>charges were not tax-effective.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u w:val="single" w:color="auto"/>
          <w:color w:val="auto"/>
        </w:rPr>
        <w:t>Charges and Credits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Schlumberger recorded the following charges and credits during 2020, which are fully described in Note 2 to the </w:t>
      </w:r>
      <w:r>
        <w:rPr>
          <w:rFonts w:ascii="Arial" w:cs="Arial" w:eastAsia="Arial" w:hAnsi="Arial"/>
          <w:sz w:val="17"/>
          <w:szCs w:val="17"/>
          <w:i w:val="1"/>
          <w:iCs w:val="1"/>
          <w:color w:val="auto"/>
        </w:rPr>
        <w:t>Consolidated Financial Statements</w:t>
      </w:r>
      <w:r>
        <w:rPr>
          <w:rFonts w:ascii="Arial" w:cs="Arial" w:eastAsia="Arial" w:hAnsi="Arial"/>
          <w:sz w:val="17"/>
          <w:szCs w:val="17"/>
          <w:color w:val="auto"/>
        </w:rPr>
        <w:t>:</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444"/>
        </w:trPr>
        <w:tc>
          <w:tcPr>
            <w:tcW w:w="6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right"/>
              <w:ind w:right="700"/>
              <w:spacing w:after="0"/>
              <w:rPr>
                <w:sz w:val="20"/>
                <w:szCs w:val="20"/>
                <w:color w:val="auto"/>
              </w:rPr>
            </w:pPr>
            <w:r>
              <w:rPr>
                <w:rFonts w:ascii="Arial" w:cs="Arial" w:eastAsia="Arial" w:hAnsi="Arial"/>
                <w:sz w:val="18"/>
                <w:szCs w:val="18"/>
                <w:color w:val="auto"/>
              </w:rPr>
              <w:t>Pretax</w:t>
            </w:r>
          </w:p>
        </w:tc>
        <w:tc>
          <w:tcPr>
            <w:tcW w:w="320" w:type="dxa"/>
            <w:vAlign w:val="bottom"/>
          </w:tcPr>
          <w:p>
            <w:pPr>
              <w:spacing w:after="0"/>
              <w:rPr>
                <w:sz w:val="24"/>
                <w:szCs w:val="24"/>
                <w:color w:val="auto"/>
              </w:rPr>
            </w:pPr>
          </w:p>
        </w:tc>
        <w:tc>
          <w:tcPr>
            <w:tcW w:w="1280" w:type="dxa"/>
            <w:vAlign w:val="bottom"/>
            <w:gridSpan w:val="2"/>
          </w:tcPr>
          <w:p>
            <w:pPr>
              <w:jc w:val="right"/>
              <w:ind w:right="800"/>
              <w:spacing w:after="0"/>
              <w:rPr>
                <w:sz w:val="20"/>
                <w:szCs w:val="20"/>
                <w:color w:val="auto"/>
              </w:rPr>
            </w:pPr>
            <w:r>
              <w:rPr>
                <w:rFonts w:ascii="Arial" w:cs="Arial" w:eastAsia="Arial" w:hAnsi="Arial"/>
                <w:sz w:val="18"/>
                <w:szCs w:val="18"/>
                <w:color w:val="auto"/>
              </w:rPr>
              <w:t>Tax</w:t>
            </w:r>
          </w:p>
        </w:tc>
        <w:tc>
          <w:tcPr>
            <w:tcW w:w="160" w:type="dxa"/>
            <w:vAlign w:val="bottom"/>
          </w:tcPr>
          <w:p>
            <w:pPr>
              <w:spacing w:after="0"/>
              <w:rPr>
                <w:sz w:val="24"/>
                <w:szCs w:val="24"/>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Net</w:t>
            </w:r>
          </w:p>
        </w:tc>
      </w:tr>
      <w:tr>
        <w:trPr>
          <w:trHeight w:val="223"/>
        </w:trPr>
        <w:tc>
          <w:tcPr>
            <w:tcW w:w="6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First quarter:</w:t>
            </w:r>
          </w:p>
        </w:tc>
        <w:tc>
          <w:tcPr>
            <w:tcW w:w="2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Goodwill</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3,070</w:t>
            </w:r>
          </w:p>
        </w:tc>
        <w:tc>
          <w:tcPr>
            <w:tcW w:w="2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3,070</w:t>
            </w:r>
          </w:p>
        </w:tc>
        <w:tc>
          <w:tcPr>
            <w:tcW w:w="100" w:type="dxa"/>
            <w:vAlign w:val="bottom"/>
          </w:tcPr>
          <w:p>
            <w:pPr>
              <w:spacing w:after="0"/>
              <w:rPr>
                <w:sz w:val="19"/>
                <w:szCs w:val="19"/>
                <w:color w:val="auto"/>
              </w:rPr>
            </w:pPr>
          </w:p>
        </w:tc>
      </w:tr>
      <w:tr>
        <w:trPr>
          <w:trHeight w:val="229"/>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Intangible asset impairments</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3,321</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(815)</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2,506</w:t>
            </w:r>
          </w:p>
        </w:tc>
        <w:tc>
          <w:tcPr>
            <w:tcW w:w="100" w:type="dxa"/>
            <w:vAlign w:val="bottom"/>
            <w:shd w:val="clear" w:color="auto" w:fill="CFF0FC"/>
          </w:tcPr>
          <w:p>
            <w:pPr>
              <w:spacing w:after="0"/>
              <w:rPr>
                <w:sz w:val="19"/>
                <w:szCs w:val="19"/>
                <w:color w:val="auto"/>
              </w:rPr>
            </w:pP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Asset Performance Solutions investments</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1,264</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1,268</w:t>
            </w:r>
          </w:p>
        </w:tc>
        <w:tc>
          <w:tcPr>
            <w:tcW w:w="100" w:type="dxa"/>
            <w:vAlign w:val="bottom"/>
          </w:tcPr>
          <w:p>
            <w:pPr>
              <w:spacing w:after="0"/>
              <w:rPr>
                <w:sz w:val="19"/>
                <w:szCs w:val="19"/>
                <w:color w:val="auto"/>
              </w:rPr>
            </w:pPr>
          </w:p>
        </w:tc>
      </w:tr>
      <w:tr>
        <w:trPr>
          <w:trHeight w:val="229"/>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North America pressure pumping impairment</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(133)</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w:t>
            </w:r>
          </w:p>
        </w:tc>
        <w:tc>
          <w:tcPr>
            <w:tcW w:w="100" w:type="dxa"/>
            <w:vAlign w:val="bottom"/>
            <w:shd w:val="clear" w:color="auto" w:fill="CFF0FC"/>
          </w:tcPr>
          <w:p>
            <w:pPr>
              <w:spacing w:after="0"/>
              <w:rPr>
                <w:sz w:val="19"/>
                <w:szCs w:val="19"/>
                <w:color w:val="auto"/>
              </w:rPr>
            </w:pPr>
          </w:p>
        </w:tc>
      </w:tr>
      <w:tr>
        <w:trPr>
          <w:trHeight w:val="229"/>
        </w:trPr>
        <w:tc>
          <w:tcPr>
            <w:tcW w:w="6600" w:type="dxa"/>
            <w:vAlign w:val="bottom"/>
          </w:tcPr>
          <w:p>
            <w:pPr>
              <w:ind w:left="260"/>
              <w:spacing w:after="0"/>
              <w:rPr>
                <w:sz w:val="20"/>
                <w:szCs w:val="20"/>
                <w:color w:val="auto"/>
              </w:rPr>
            </w:pPr>
            <w:r>
              <w:rPr>
                <w:rFonts w:ascii="Arial" w:cs="Arial" w:eastAsia="Arial" w:hAnsi="Arial"/>
                <w:sz w:val="18"/>
                <w:szCs w:val="18"/>
                <w:color w:val="auto"/>
              </w:rPr>
              <w:t>Workforce reductions</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FF0FC"/>
          </w:tcPr>
          <w:p>
            <w:pPr>
              <w:spacing w:after="0"/>
              <w:rPr>
                <w:sz w:val="19"/>
                <w:szCs w:val="19"/>
                <w:color w:val="auto"/>
              </w:rPr>
            </w:pPr>
          </w:p>
        </w:tc>
      </w:tr>
      <w:tr>
        <w:trPr>
          <w:trHeight w:val="229"/>
        </w:trPr>
        <w:tc>
          <w:tcPr>
            <w:tcW w:w="6600" w:type="dxa"/>
            <w:vAlign w:val="bottom"/>
          </w:tcPr>
          <w:p>
            <w:pPr>
              <w:ind w:left="260"/>
              <w:spacing w:after="0"/>
              <w:rPr>
                <w:sz w:val="20"/>
                <w:szCs w:val="20"/>
                <w:color w:val="auto"/>
              </w:rPr>
            </w:pPr>
            <w:r>
              <w:rPr>
                <w:rFonts w:ascii="Arial" w:cs="Arial" w:eastAsia="Arial" w:hAnsi="Arial"/>
                <w:sz w:val="18"/>
                <w:szCs w:val="18"/>
                <w:color w:val="auto"/>
              </w:rPr>
              <w:t>Valuation allowance</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164</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Second quarter:</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600" w:type="dxa"/>
            <w:vAlign w:val="bottom"/>
          </w:tcPr>
          <w:p>
            <w:pPr>
              <w:ind w:left="260"/>
              <w:spacing w:after="0"/>
              <w:rPr>
                <w:sz w:val="20"/>
                <w:szCs w:val="20"/>
                <w:color w:val="auto"/>
              </w:rPr>
            </w:pPr>
            <w:r>
              <w:rPr>
                <w:rFonts w:ascii="Arial" w:cs="Arial" w:eastAsia="Arial" w:hAnsi="Arial"/>
                <w:sz w:val="18"/>
                <w:szCs w:val="18"/>
                <w:color w:val="auto"/>
              </w:rPr>
              <w:t>Workforce reductions</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19"/>
                <w:szCs w:val="19"/>
                <w:color w:val="auto"/>
              </w:rPr>
            </w:pPr>
          </w:p>
        </w:tc>
      </w:tr>
      <w:tr>
        <w:trPr>
          <w:trHeight w:val="229"/>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Asset Performance Solutions investments</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730</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w:t>
            </w:r>
          </w:p>
        </w:tc>
        <w:tc>
          <w:tcPr>
            <w:tcW w:w="100" w:type="dxa"/>
            <w:vAlign w:val="bottom"/>
            <w:shd w:val="clear" w:color="auto" w:fill="CFF0FC"/>
          </w:tcPr>
          <w:p>
            <w:pPr>
              <w:spacing w:after="0"/>
              <w:rPr>
                <w:sz w:val="19"/>
                <w:szCs w:val="19"/>
                <w:color w:val="auto"/>
              </w:rPr>
            </w:pP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Fixed asset impairments</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19"/>
                <w:szCs w:val="19"/>
                <w:color w:val="auto"/>
              </w:rPr>
            </w:pPr>
          </w:p>
        </w:tc>
      </w:tr>
      <w:tr>
        <w:trPr>
          <w:trHeight w:val="229"/>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Inventory write-downs</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w:t>
            </w:r>
          </w:p>
        </w:tc>
        <w:tc>
          <w:tcPr>
            <w:tcW w:w="100" w:type="dxa"/>
            <w:vAlign w:val="bottom"/>
            <w:shd w:val="clear" w:color="auto" w:fill="CFF0FC"/>
          </w:tcPr>
          <w:p>
            <w:pPr>
              <w:spacing w:after="0"/>
              <w:rPr>
                <w:sz w:val="19"/>
                <w:szCs w:val="19"/>
                <w:color w:val="auto"/>
              </w:rPr>
            </w:pPr>
          </w:p>
        </w:tc>
      </w:tr>
      <w:tr>
        <w:trPr>
          <w:trHeight w:val="229"/>
        </w:trPr>
        <w:tc>
          <w:tcPr>
            <w:tcW w:w="6600" w:type="dxa"/>
            <w:vAlign w:val="bottom"/>
          </w:tcPr>
          <w:p>
            <w:pPr>
              <w:ind w:left="260"/>
              <w:spacing w:after="0"/>
              <w:rPr>
                <w:sz w:val="20"/>
                <w:szCs w:val="20"/>
                <w:color w:val="auto"/>
              </w:rPr>
            </w:pPr>
            <w:r>
              <w:rPr>
                <w:rFonts w:ascii="Arial" w:cs="Arial" w:eastAsia="Arial" w:hAnsi="Arial"/>
                <w:sz w:val="18"/>
                <w:szCs w:val="18"/>
                <w:color w:val="auto"/>
              </w:rPr>
              <w:t>Right-of-use asset impairments</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(67)</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9"/>
                <w:szCs w:val="19"/>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Costs associated with exiting certain activities</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FF0FC"/>
          </w:tcPr>
          <w:p>
            <w:pPr>
              <w:spacing w:after="0"/>
              <w:rPr>
                <w:sz w:val="19"/>
                <w:szCs w:val="19"/>
                <w:color w:val="auto"/>
              </w:rPr>
            </w:pPr>
          </w:p>
        </w:tc>
      </w:tr>
      <w:tr>
        <w:trPr>
          <w:trHeight w:val="229"/>
        </w:trPr>
        <w:tc>
          <w:tcPr>
            <w:tcW w:w="6600" w:type="dxa"/>
            <w:vAlign w:val="bottom"/>
          </w:tcPr>
          <w:p>
            <w:pPr>
              <w:ind w:left="260"/>
              <w:spacing w:after="0"/>
              <w:rPr>
                <w:sz w:val="20"/>
                <w:szCs w:val="20"/>
                <w:color w:val="auto"/>
              </w:rPr>
            </w:pPr>
            <w:r>
              <w:rPr>
                <w:rFonts w:ascii="Arial" w:cs="Arial" w:eastAsia="Arial" w:hAnsi="Arial"/>
                <w:sz w:val="18"/>
                <w:szCs w:val="18"/>
                <w:color w:val="auto"/>
              </w:rPr>
              <w:t>Multiclient seismic data impairment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Repurchase of bonds</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FF0FC"/>
          </w:tcPr>
          <w:p>
            <w:pPr>
              <w:spacing w:after="0"/>
              <w:rPr>
                <w:sz w:val="19"/>
                <w:szCs w:val="19"/>
                <w:color w:val="auto"/>
              </w:rPr>
            </w:pPr>
          </w:p>
        </w:tc>
      </w:tr>
      <w:tr>
        <w:trPr>
          <w:trHeight w:val="229"/>
        </w:trPr>
        <w:tc>
          <w:tcPr>
            <w:tcW w:w="6600" w:type="dxa"/>
            <w:vAlign w:val="bottom"/>
          </w:tcPr>
          <w:p>
            <w:pPr>
              <w:ind w:left="260"/>
              <w:spacing w:after="0"/>
              <w:rPr>
                <w:sz w:val="20"/>
                <w:szCs w:val="20"/>
                <w:color w:val="auto"/>
              </w:rPr>
            </w:pPr>
            <w:r>
              <w:rPr>
                <w:rFonts w:ascii="Arial" w:cs="Arial" w:eastAsia="Arial" w:hAnsi="Arial"/>
                <w:sz w:val="18"/>
                <w:szCs w:val="18"/>
                <w:color w:val="auto"/>
              </w:rPr>
              <w:t>Postretirement benefits curtailment gain</w:t>
            </w:r>
          </w:p>
        </w:tc>
        <w:tc>
          <w:tcPr>
            <w:tcW w:w="2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(69)</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r>
      <w:tr>
        <w:trPr>
          <w:trHeight w:val="229"/>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FF0FC"/>
          </w:tcPr>
          <w:p>
            <w:pPr>
              <w:spacing w:after="0"/>
              <w:rPr>
                <w:sz w:val="19"/>
                <w:szCs w:val="19"/>
                <w:color w:val="auto"/>
              </w:rPr>
            </w:pPr>
          </w:p>
        </w:tc>
      </w:tr>
      <w:tr>
        <w:trPr>
          <w:trHeight w:val="223"/>
        </w:trPr>
        <w:tc>
          <w:tcPr>
            <w:tcW w:w="66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12,247</w:t>
            </w:r>
          </w:p>
        </w:tc>
        <w:tc>
          <w:tcPr>
            <w:tcW w:w="2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(1,017)</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11,230</w:t>
            </w:r>
          </w:p>
        </w:tc>
        <w:tc>
          <w:tcPr>
            <w:tcW w:w="10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first quarter 2020 results did not include any benefit from reduced depreciation and amortization expense as a result of the first quarter impairment charges. However, commencing with the second quarter of 2020, depreciation and amortization expense was reduced by approximately $95 million on a quarterly basis as a result of the first quarter impairment charges. Approximately $45 million of this quarterly reduction is reflected in the Production segment, with the remaining $50 million reflected in the “Corporate &amp; other” line item.</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second quarter 2020 results did not include any benefit from reduced expenses associated with the second quarter restructuring and impairment charges. However, going forward depreciation and amortization expense will be reduced by approximately $80 million and lease expense will be reduced by $25 million, on a quarterly basis. Approximately $70 million of this quarterly reduction will be reflected in the Production Segment, with the remaining $35 million reflected amongst the Reservoir Characterization, Drilling and Cameron segments.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charges or credits recorded during the first six months of 2019.</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Liquidity and Capital Resources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effects of the COVID-19 pandemic have resulted in a significant and swift reduction in international and U.S. economic activity. These effects have adversely affected the demand for oil and natural gas, as well as for Schlumberger’s products and services, and caused significant volatility and disruption of the financial markets. This period of extreme economic disruption, low oil prices and reduced demand for Schlumberger’s products and services has had, and is likely to continue to have, a material adverse impact on Schlumberger’s business, results of operations, financial condition and, at times, access to sources of liquidity.</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view of the uncertainty of the depth and extent of the contraction in oil demand due to the COVID-19 pandemic combined with the weaker commodity price environment, Schlumberger has turned its strategic focus to cash conservation and protecting its balance sheet. As a result, in April 2020 Schlumberger announced a 75% reduction to its quarterly dividend. The revised dividend supports Schlumberger’s value proposition through a balanced approach of shareholder distributions and organic investment, while providing the flexibility to weather the uncertain environment. This decision reflects the Company’s focus on its capital stewardship program as well as its commitment to maintain both a strong liquidity position and a strong investment grade credit rating that provides privileged access to the financial markets.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Details of the components of liquidity as well as changes in liquidity follow:</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439"/>
        </w:trPr>
        <w:tc>
          <w:tcPr>
            <w:tcW w:w="6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89"/>
              </w:rPr>
              <w:t>Jun. 30,</w:t>
            </w:r>
          </w:p>
        </w:tc>
        <w:tc>
          <w:tcPr>
            <w:tcW w:w="100" w:type="dxa"/>
            <w:vAlign w:val="bottom"/>
          </w:tcPr>
          <w:p>
            <w:pPr>
              <w:spacing w:after="0"/>
              <w:rPr>
                <w:sz w:val="24"/>
                <w:szCs w:val="24"/>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Jun. 30,</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Dec. 31,</w:t>
            </w:r>
          </w:p>
        </w:tc>
      </w:tr>
      <w:tr>
        <w:trPr>
          <w:trHeight w:val="234"/>
        </w:trPr>
        <w:tc>
          <w:tcPr>
            <w:tcW w:w="66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Components of Liquidity:</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bottom w:val="single" w:sz="8" w:color="auto"/>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2019</w:t>
            </w:r>
          </w:p>
        </w:tc>
        <w:tc>
          <w:tcPr>
            <w:tcW w:w="260" w:type="dxa"/>
            <w:vAlign w:val="bottom"/>
            <w:tcBorders>
              <w:bottom w:val="single" w:sz="8" w:color="auto"/>
            </w:tcBorders>
          </w:tcPr>
          <w:p>
            <w:pPr>
              <w:spacing w:after="0"/>
              <w:rPr>
                <w:sz w:val="20"/>
                <w:szCs w:val="20"/>
                <w:color w:val="auto"/>
              </w:rPr>
            </w:pPr>
          </w:p>
        </w:tc>
        <w:tc>
          <w:tcPr>
            <w:tcW w:w="4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FF0FC"/>
            </w:tcBorders>
          </w:tcPr>
          <w:p>
            <w:pPr>
              <w:spacing w:after="0"/>
              <w:rPr>
                <w:sz w:val="20"/>
                <w:szCs w:val="20"/>
                <w:color w:val="auto"/>
              </w:rPr>
            </w:pPr>
          </w:p>
        </w:tc>
      </w:tr>
      <w:tr>
        <w:trPr>
          <w:trHeight w:val="223"/>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1,462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1,466</w:t>
            </w: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1,137</w:t>
            </w:r>
          </w:p>
        </w:tc>
        <w:tc>
          <w:tcPr>
            <w:tcW w:w="100" w:type="dxa"/>
            <w:vAlign w:val="bottom"/>
            <w:shd w:val="clear" w:color="auto" w:fill="CFF0FC"/>
          </w:tcPr>
          <w:p>
            <w:pPr>
              <w:spacing w:after="0"/>
              <w:rPr>
                <w:sz w:val="19"/>
                <w:szCs w:val="19"/>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2,127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882</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1,030</w:t>
            </w:r>
          </w:p>
        </w:tc>
        <w:tc>
          <w:tcPr>
            <w:tcW w:w="100" w:type="dxa"/>
            <w:vAlign w:val="bottom"/>
          </w:tcPr>
          <w:p>
            <w:pPr>
              <w:spacing w:after="0"/>
              <w:rPr>
                <w:sz w:val="19"/>
                <w:szCs w:val="19"/>
                <w:color w:val="auto"/>
              </w:rPr>
            </w:pP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Short-term borrowings and current portion of long-term debt</w:t>
            </w:r>
          </w:p>
        </w:tc>
        <w:tc>
          <w:tcPr>
            <w:tcW w:w="220" w:type="dxa"/>
            <w:vAlign w:val="bottom"/>
            <w:shd w:val="clear" w:color="auto" w:fill="CFF0FC"/>
          </w:tcPr>
          <w:p>
            <w:pPr>
              <w:spacing w:after="0"/>
              <w:rPr>
                <w:sz w:val="19"/>
                <w:szCs w:val="19"/>
                <w:color w:val="auto"/>
              </w:rPr>
            </w:pPr>
          </w:p>
        </w:tc>
        <w:tc>
          <w:tcPr>
            <w:tcW w:w="136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(603)</w:t>
            </w:r>
          </w:p>
        </w:tc>
        <w:tc>
          <w:tcPr>
            <w:tcW w:w="100" w:type="dxa"/>
            <w:vAlign w:val="bottom"/>
            <w:shd w:val="clear" w:color="auto" w:fill="CFF0FC"/>
          </w:tcPr>
          <w:p>
            <w:pPr>
              <w:spacing w:after="0"/>
              <w:rPr>
                <w:sz w:val="19"/>
                <w:szCs w:val="19"/>
                <w:color w:val="auto"/>
              </w:rPr>
            </w:pPr>
          </w:p>
        </w:tc>
        <w:tc>
          <w:tcPr>
            <w:tcW w:w="1500" w:type="dxa"/>
            <w:vAlign w:val="bottom"/>
            <w:gridSpan w:val="5"/>
            <w:shd w:val="clear" w:color="auto" w:fill="CFF0FC"/>
          </w:tcPr>
          <w:p>
            <w:pPr>
              <w:jc w:val="right"/>
              <w:ind w:right="149"/>
              <w:spacing w:after="0"/>
              <w:rPr>
                <w:sz w:val="20"/>
                <w:szCs w:val="20"/>
                <w:color w:val="auto"/>
              </w:rPr>
            </w:pPr>
            <w:r>
              <w:rPr>
                <w:rFonts w:ascii="Arial" w:cs="Arial" w:eastAsia="Arial" w:hAnsi="Arial"/>
                <w:sz w:val="18"/>
                <w:szCs w:val="18"/>
                <w:color w:val="auto"/>
              </w:rPr>
              <w:t>(98)</w:t>
            </w: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(524)</w:t>
            </w: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19"/>
                <w:szCs w:val="19"/>
                <w:color w:val="auto"/>
              </w:rPr>
            </w:pPr>
          </w:p>
        </w:tc>
        <w:tc>
          <w:tcPr>
            <w:tcW w:w="13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(16,763)</w:t>
            </w:r>
          </w:p>
        </w:tc>
        <w:tc>
          <w:tcPr>
            <w:tcW w:w="100" w:type="dxa"/>
            <w:vAlign w:val="bottom"/>
          </w:tcPr>
          <w:p>
            <w:pPr>
              <w:spacing w:after="0"/>
              <w:rPr>
                <w:sz w:val="19"/>
                <w:szCs w:val="19"/>
                <w:color w:val="auto"/>
              </w:rPr>
            </w:pPr>
          </w:p>
        </w:tc>
        <w:tc>
          <w:tcPr>
            <w:tcW w:w="1500" w:type="dxa"/>
            <w:vAlign w:val="bottom"/>
            <w:gridSpan w:val="5"/>
          </w:tcPr>
          <w:p>
            <w:pPr>
              <w:jc w:val="right"/>
              <w:ind w:right="149"/>
              <w:spacing w:after="0"/>
              <w:rPr>
                <w:sz w:val="20"/>
                <w:szCs w:val="20"/>
                <w:color w:val="auto"/>
              </w:rPr>
            </w:pPr>
            <w:r>
              <w:rPr>
                <w:rFonts w:ascii="Arial" w:cs="Arial" w:eastAsia="Arial" w:hAnsi="Arial"/>
                <w:sz w:val="18"/>
                <w:szCs w:val="18"/>
                <w:color w:val="auto"/>
              </w:rPr>
              <w:t>(16,978)</w:t>
            </w:r>
          </w:p>
        </w:tc>
        <w:tc>
          <w:tcPr>
            <w:tcW w:w="1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(14,770)</w:t>
            </w:r>
          </w:p>
        </w:tc>
      </w:tr>
      <w:tr>
        <w:trPr>
          <w:trHeight w:val="223"/>
        </w:trPr>
        <w:tc>
          <w:tcPr>
            <w:tcW w:w="66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Net debt </w:t>
            </w:r>
            <w:r>
              <w:rPr>
                <w:rFonts w:ascii="Arial" w:cs="Arial" w:eastAsia="Arial" w:hAnsi="Arial"/>
                <w:sz w:val="15"/>
                <w:szCs w:val="15"/>
                <w:color w:val="auto"/>
              </w:rPr>
              <w:t>(1)</w:t>
            </w: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(13,777)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(14,728)</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(13,127)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9"/>
        </w:trPr>
        <w:tc>
          <w:tcPr>
            <w:tcW w:w="6600" w:type="dxa"/>
            <w:vAlign w:val="bottom"/>
          </w:tcPr>
          <w:p>
            <w:pPr>
              <w:spacing w:after="0"/>
              <w:rPr>
                <w:sz w:val="20"/>
                <w:szCs w:val="20"/>
                <w:color w:val="auto"/>
              </w:rPr>
            </w:pPr>
            <w:r>
              <w:rPr>
                <w:rFonts w:ascii="Arial" w:cs="Arial" w:eastAsia="Arial" w:hAnsi="Arial"/>
                <w:sz w:val="18"/>
                <w:szCs w:val="18"/>
                <w:b w:val="1"/>
                <w:bCs w:val="1"/>
                <w:color w:val="auto"/>
              </w:rPr>
              <w:t>Changes in Liquidity:</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gridSpan w:val="8"/>
          </w:tcPr>
          <w:p>
            <w:pPr>
              <w:jc w:val="right"/>
              <w:ind w:right="800"/>
              <w:spacing w:after="0"/>
              <w:rPr>
                <w:sz w:val="20"/>
                <w:szCs w:val="20"/>
                <w:color w:val="auto"/>
              </w:rPr>
            </w:pPr>
            <w:r>
              <w:rPr>
                <w:rFonts w:ascii="Arial" w:cs="Arial" w:eastAsia="Arial" w:hAnsi="Arial"/>
                <w:sz w:val="18"/>
                <w:szCs w:val="18"/>
                <w:b w:val="1"/>
                <w:bCs w:val="1"/>
                <w:color w:val="auto"/>
                <w:w w:val="93"/>
              </w:rPr>
              <w:t>Six Months Ended Jun. 30,</w:t>
            </w:r>
          </w:p>
        </w:tc>
      </w:tr>
      <w:tr>
        <w:trPr>
          <w:trHeight w:val="223"/>
        </w:trPr>
        <w:tc>
          <w:tcPr>
            <w:tcW w:w="66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86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89"/>
              </w:rPr>
              <w:t>2020</w:t>
            </w:r>
          </w:p>
        </w:tc>
        <w:tc>
          <w:tcPr>
            <w:tcW w:w="260" w:type="dxa"/>
            <w:vAlign w:val="bottom"/>
            <w:tcBorders>
              <w:top w:val="single" w:sz="8" w:color="auto"/>
              <w:bottom w:val="single" w:sz="8" w:color="CFF0FC"/>
            </w:tcBorders>
          </w:tcPr>
          <w:p>
            <w:pPr>
              <w:spacing w:after="0"/>
              <w:rPr>
                <w:sz w:val="19"/>
                <w:szCs w:val="19"/>
                <w:color w:val="auto"/>
              </w:rPr>
            </w:pPr>
          </w:p>
        </w:tc>
        <w:tc>
          <w:tcPr>
            <w:tcW w:w="40" w:type="dxa"/>
            <w:vAlign w:val="bottom"/>
            <w:tcBorders>
              <w:top w:val="single" w:sz="8" w:color="auto"/>
              <w:bottom w:val="single" w:sz="8" w:color="CFF0FC"/>
            </w:tcBorders>
          </w:tcPr>
          <w:p>
            <w:pPr>
              <w:spacing w:after="0"/>
              <w:rPr>
                <w:sz w:val="19"/>
                <w:szCs w:val="19"/>
                <w:color w:val="auto"/>
              </w:rPr>
            </w:pPr>
          </w:p>
        </w:tc>
        <w:tc>
          <w:tcPr>
            <w:tcW w:w="20" w:type="dxa"/>
            <w:vAlign w:val="bottom"/>
            <w:tcBorders>
              <w:top w:val="single" w:sz="8" w:color="auto"/>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FF0FC"/>
            </w:tcBorders>
          </w:tcPr>
          <w:p>
            <w:pPr>
              <w:spacing w:after="0"/>
              <w:rPr>
                <w:sz w:val="19"/>
                <w:szCs w:val="19"/>
                <w:color w:val="auto"/>
              </w:rPr>
            </w:pPr>
          </w:p>
        </w:tc>
      </w:tr>
      <w:tr>
        <w:trPr>
          <w:trHeight w:val="223"/>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(10,796)</w:t>
            </w:r>
          </w:p>
        </w:tc>
        <w:tc>
          <w:tcPr>
            <w:tcW w:w="260" w:type="dxa"/>
            <w:vAlign w:val="bottom"/>
            <w:shd w:val="clear" w:color="auto" w:fill="CFF0FC"/>
          </w:tcPr>
          <w:p>
            <w:pPr>
              <w:spacing w:after="0"/>
              <w:rPr>
                <w:sz w:val="19"/>
                <w:szCs w:val="19"/>
                <w:color w:val="auto"/>
              </w:rPr>
            </w:pPr>
          </w:p>
        </w:tc>
        <w:tc>
          <w:tcPr>
            <w:tcW w:w="60" w:type="dxa"/>
            <w:vAlign w:val="bottom"/>
            <w:gridSpan w:val="2"/>
            <w:shd w:val="clear" w:color="auto" w:fill="CFF0FC"/>
          </w:tcPr>
          <w:p>
            <w:pPr>
              <w:spacing w:after="0"/>
              <w:rPr>
                <w:sz w:val="19"/>
                <w:szCs w:val="19"/>
                <w:color w:val="auto"/>
              </w:rPr>
            </w:pPr>
          </w:p>
        </w:tc>
        <w:tc>
          <w:tcPr>
            <w:tcW w:w="200" w:type="dxa"/>
            <w:vAlign w:val="bottom"/>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923</w:t>
            </w:r>
          </w:p>
        </w:tc>
        <w:tc>
          <w:tcPr>
            <w:tcW w:w="100" w:type="dxa"/>
            <w:vAlign w:val="bottom"/>
            <w:shd w:val="clear" w:color="auto" w:fill="CFF0FC"/>
          </w:tcPr>
          <w:p>
            <w:pPr>
              <w:spacing w:after="0"/>
              <w:rPr>
                <w:sz w:val="19"/>
                <w:szCs w:val="19"/>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Impairment and other charges</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12,247</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9"/>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5"/>
                <w:szCs w:val="15"/>
                <w:color w:val="auto"/>
              </w:rPr>
              <w:t>(2)</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1,396</w:t>
            </w: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1,841</w:t>
            </w:r>
          </w:p>
        </w:tc>
        <w:tc>
          <w:tcPr>
            <w:tcW w:w="100" w:type="dxa"/>
            <w:vAlign w:val="bottom"/>
            <w:shd w:val="clear" w:color="auto" w:fill="CFF0FC"/>
          </w:tcPr>
          <w:p>
            <w:pPr>
              <w:spacing w:after="0"/>
              <w:rPr>
                <w:sz w:val="19"/>
                <w:szCs w:val="19"/>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Earnings of equity method investments, less dividends received</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(26)</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9"/>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Deferred taxes</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(1,050)</w:t>
            </w: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(101)</w:t>
            </w: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213</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Increase in working capital </w:t>
            </w:r>
            <w:r>
              <w:rPr>
                <w:rFonts w:ascii="Arial" w:cs="Arial" w:eastAsia="Arial" w:hAnsi="Arial"/>
                <w:sz w:val="15"/>
                <w:szCs w:val="15"/>
                <w:color w:val="auto"/>
              </w:rPr>
              <w:t>(3)</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(423)</w:t>
            </w: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(1,460)</w:t>
            </w:r>
          </w:p>
        </w:tc>
      </w:tr>
      <w:tr>
        <w:trPr>
          <w:trHeight w:val="229"/>
        </w:trPr>
        <w:tc>
          <w:tcPr>
            <w:tcW w:w="6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FF0FC"/>
            </w:tcBorders>
          </w:tcPr>
          <w:p>
            <w:pPr>
              <w:spacing w:after="0"/>
              <w:rPr>
                <w:sz w:val="19"/>
                <w:szCs w:val="19"/>
                <w:color w:val="auto"/>
              </w:rPr>
            </w:pPr>
          </w:p>
        </w:tc>
        <w:tc>
          <w:tcPr>
            <w:tcW w:w="8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w:t>
            </w:r>
          </w:p>
        </w:tc>
        <w:tc>
          <w:tcPr>
            <w:tcW w:w="26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FF0FC"/>
            </w:tcBorders>
          </w:tcPr>
          <w:p>
            <w:pPr>
              <w:spacing w:after="0"/>
              <w:rPr>
                <w:sz w:val="19"/>
                <w:szCs w:val="19"/>
                <w:color w:val="auto"/>
              </w:rPr>
            </w:pPr>
          </w:p>
        </w:tc>
      </w:tr>
      <w:tr>
        <w:trPr>
          <w:trHeight w:val="223"/>
        </w:trPr>
        <w:tc>
          <w:tcPr>
            <w:tcW w:w="6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 from operations</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1,587</w:t>
            </w: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1,434</w:t>
            </w:r>
          </w:p>
        </w:tc>
        <w:tc>
          <w:tcPr>
            <w:tcW w:w="100" w:type="dxa"/>
            <w:vAlign w:val="bottom"/>
            <w:shd w:val="clear" w:color="auto" w:fill="CFF0FC"/>
          </w:tcPr>
          <w:p>
            <w:pPr>
              <w:spacing w:after="0"/>
              <w:rPr>
                <w:sz w:val="19"/>
                <w:szCs w:val="19"/>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8"/>
                <w:szCs w:val="18"/>
                <w:color w:val="auto"/>
              </w:rPr>
              <w:t>Capital expenditures</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(658)</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(817)</w:t>
            </w:r>
          </w:p>
        </w:tc>
        <w:tc>
          <w:tcPr>
            <w:tcW w:w="100" w:type="dxa"/>
            <w:vAlign w:val="bottom"/>
          </w:tcPr>
          <w:p>
            <w:pPr>
              <w:spacing w:after="0"/>
              <w:rPr>
                <w:sz w:val="19"/>
                <w:szCs w:val="19"/>
                <w:color w:val="auto"/>
              </w:rPr>
            </w:pP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APS investments</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(224)</w:t>
            </w: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(332)</w:t>
            </w: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Multiclient seismic data costs capitalized</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(109)</w:t>
            </w:r>
          </w:p>
        </w:tc>
      </w:tr>
      <w:tr>
        <w:trPr>
          <w:trHeight w:val="223"/>
        </w:trPr>
        <w:tc>
          <w:tcPr>
            <w:tcW w:w="6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 xml:space="preserve">Free cash flow </w:t>
            </w:r>
            <w:r>
              <w:rPr>
                <w:rFonts w:ascii="Arial" w:cs="Arial" w:eastAsia="Arial" w:hAnsi="Arial"/>
                <w:sz w:val="15"/>
                <w:szCs w:val="15"/>
                <w:b w:val="1"/>
                <w:bCs w:val="1"/>
                <w:color w:val="auto"/>
              </w:rPr>
              <w:t>(4)</w:t>
            </w:r>
          </w:p>
        </w:tc>
        <w:tc>
          <w:tcPr>
            <w:tcW w:w="2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644</w:t>
            </w:r>
          </w:p>
        </w:tc>
        <w:tc>
          <w:tcPr>
            <w:tcW w:w="2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8"/>
                <w:szCs w:val="18"/>
                <w:color w:val="auto"/>
              </w:rPr>
              <w:t>Dividends paid</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(1,386)</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(1,385)</w:t>
            </w:r>
          </w:p>
        </w:tc>
        <w:tc>
          <w:tcPr>
            <w:tcW w:w="100" w:type="dxa"/>
            <w:vAlign w:val="bottom"/>
          </w:tcPr>
          <w:p>
            <w:pPr>
              <w:spacing w:after="0"/>
              <w:rPr>
                <w:sz w:val="19"/>
                <w:szCs w:val="19"/>
                <w:color w:val="auto"/>
              </w:rPr>
            </w:pPr>
          </w:p>
        </w:tc>
      </w:tr>
      <w:tr>
        <w:trPr>
          <w:trHeight w:val="229"/>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Proceeds from employee stock plans</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69</w:t>
            </w: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FF0FC"/>
          </w:tcPr>
          <w:p>
            <w:pPr>
              <w:spacing w:after="0"/>
              <w:rPr>
                <w:sz w:val="19"/>
                <w:szCs w:val="19"/>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Stock repurchase program</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(26)</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(199)</w:t>
            </w: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Net proceeds from asset divestitures</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298</w:t>
            </w: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Business acquisitions and investments, net of cash acquired plus debt assumed</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(20)</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229"/>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(229)</w:t>
            </w: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(135)</w:t>
            </w:r>
          </w:p>
        </w:tc>
      </w:tr>
      <w:tr>
        <w:trPr>
          <w:trHeight w:val="223"/>
        </w:trPr>
        <w:tc>
          <w:tcPr>
            <w:tcW w:w="6600" w:type="dxa"/>
            <w:vAlign w:val="bottom"/>
          </w:tcPr>
          <w:p>
            <w:pPr>
              <w:spacing w:after="0"/>
              <w:rPr>
                <w:sz w:val="20"/>
                <w:szCs w:val="20"/>
                <w:color w:val="auto"/>
              </w:rPr>
            </w:pPr>
            <w:r>
              <w:rPr>
                <w:rFonts w:ascii="Arial" w:cs="Arial" w:eastAsia="Arial" w:hAnsi="Arial"/>
                <w:sz w:val="18"/>
                <w:szCs w:val="18"/>
                <w:color w:val="auto"/>
              </w:rPr>
              <w:t>Increase in net debt</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(650)</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(1,454)</w:t>
            </w:r>
          </w:p>
        </w:tc>
        <w:tc>
          <w:tcPr>
            <w:tcW w:w="100" w:type="dxa"/>
            <w:vAlign w:val="bottom"/>
          </w:tcPr>
          <w:p>
            <w:pPr>
              <w:spacing w:after="0"/>
              <w:rPr>
                <w:sz w:val="19"/>
                <w:szCs w:val="19"/>
                <w:color w:val="auto"/>
              </w:rPr>
            </w:pPr>
          </w:p>
        </w:tc>
      </w:tr>
      <w:tr>
        <w:trPr>
          <w:trHeight w:val="229"/>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Net debt, beginning of period</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(13,127)</w:t>
            </w: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(13,274)</w:t>
            </w:r>
          </w:p>
        </w:tc>
      </w:tr>
      <w:tr>
        <w:trPr>
          <w:trHeight w:val="223"/>
        </w:trPr>
        <w:tc>
          <w:tcPr>
            <w:tcW w:w="6600" w:type="dxa"/>
            <w:vAlign w:val="bottom"/>
          </w:tcPr>
          <w:p>
            <w:pPr>
              <w:spacing w:after="0"/>
              <w:rPr>
                <w:sz w:val="20"/>
                <w:szCs w:val="20"/>
                <w:color w:val="auto"/>
              </w:rPr>
            </w:pPr>
            <w:r>
              <w:rPr>
                <w:rFonts w:ascii="Arial" w:cs="Arial" w:eastAsia="Arial" w:hAnsi="Arial"/>
                <w:sz w:val="18"/>
                <w:szCs w:val="18"/>
                <w:color w:val="auto"/>
              </w:rPr>
              <w:t>Net debt, end of period</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2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(13,777)</w:t>
            </w:r>
          </w:p>
        </w:tc>
        <w:tc>
          <w:tcPr>
            <w:tcW w:w="26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200" w:type="dxa"/>
            <w:vAlign w:val="bottom"/>
            <w:tcBorders>
              <w:top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(14,728)</w:t>
            </w:r>
          </w:p>
        </w:tc>
        <w:tc>
          <w:tcPr>
            <w:tcW w:w="10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3" w:lineRule="exact"/>
        <w:rPr>
          <w:sz w:val="20"/>
          <w:szCs w:val="20"/>
          <w:color w:val="auto"/>
        </w:rPr>
      </w:pPr>
    </w:p>
    <w:p>
      <w:pPr>
        <w:jc w:val="both"/>
        <w:ind w:left="500" w:hanging="492"/>
        <w:spacing w:after="0" w:line="213" w:lineRule="auto"/>
        <w:tabs>
          <w:tab w:leader="none" w:pos="500" w:val="left"/>
        </w:tabs>
        <w:numPr>
          <w:ilvl w:val="0"/>
          <w:numId w:val="22"/>
        </w:numPr>
        <w:rPr>
          <w:rFonts w:ascii="Arial" w:cs="Arial" w:eastAsia="Arial" w:hAnsi="Arial"/>
          <w:sz w:val="28"/>
          <w:szCs w:val="28"/>
          <w:color w:val="auto"/>
          <w:vertAlign w:val="superscript"/>
        </w:rPr>
      </w:pPr>
      <w:r>
        <w:rPr>
          <w:rFonts w:ascii="Arial" w:cs="Arial" w:eastAsia="Arial" w:hAnsi="Arial"/>
          <w:sz w:val="27"/>
          <w:szCs w:val="27"/>
          <w:color w:val="auto"/>
          <w:vertAlign w:val="superscript"/>
        </w:rPr>
        <w:t>“</w:t>
      </w:r>
      <w:r>
        <w:rPr>
          <w:rFonts w:ascii="Arial" w:cs="Arial" w:eastAsia="Arial" w:hAnsi="Arial"/>
          <w:sz w:val="16"/>
          <w:szCs w:val="16"/>
          <w:color w:val="auto"/>
        </w:rPr>
        <w:t>Net debt” represents gross debt less cash and short-term investments. Management believes that Net debt provides useful information regarding the level of Schlumberger’s indebtedness by reflecting cash and investments that could be used to repay debt. Net debt is a non-GAAP financial measure that should be considered in addition to, not as a substitute for or superior to, total debt.</w:t>
      </w:r>
    </w:p>
    <w:p>
      <w:pPr>
        <w:spacing w:after="0" w:line="2" w:lineRule="exact"/>
        <w:rPr>
          <w:rFonts w:ascii="Arial" w:cs="Arial" w:eastAsia="Arial" w:hAnsi="Arial"/>
          <w:sz w:val="28"/>
          <w:szCs w:val="28"/>
          <w:color w:val="auto"/>
          <w:vertAlign w:val="superscript"/>
        </w:rPr>
      </w:pPr>
    </w:p>
    <w:p>
      <w:pPr>
        <w:ind w:left="500" w:hanging="492"/>
        <w:spacing w:after="0" w:line="181" w:lineRule="auto"/>
        <w:tabs>
          <w:tab w:leader="none" w:pos="500" w:val="left"/>
        </w:tabs>
        <w:numPr>
          <w:ilvl w:val="0"/>
          <w:numId w:val="22"/>
        </w:numPr>
        <w:rPr>
          <w:rFonts w:ascii="Arial" w:cs="Arial" w:eastAsia="Arial" w:hAnsi="Arial"/>
          <w:sz w:val="28"/>
          <w:szCs w:val="28"/>
          <w:color w:val="auto"/>
          <w:vertAlign w:val="superscript"/>
        </w:rPr>
      </w:pPr>
      <w:r>
        <w:rPr>
          <w:rFonts w:ascii="Arial" w:cs="Arial" w:eastAsia="Arial" w:hAnsi="Arial"/>
          <w:sz w:val="16"/>
          <w:szCs w:val="16"/>
          <w:color w:val="auto"/>
        </w:rPr>
        <w:t>Includes depreciation of property, plant and equipment and amortization of intangible assets, multiclient seismic data costs, and APS investments.</w:t>
      </w:r>
    </w:p>
    <w:p>
      <w:pPr>
        <w:spacing w:after="0" w:line="50" w:lineRule="exact"/>
        <w:rPr>
          <w:rFonts w:ascii="Arial" w:cs="Arial" w:eastAsia="Arial" w:hAnsi="Arial"/>
          <w:sz w:val="28"/>
          <w:szCs w:val="28"/>
          <w:color w:val="auto"/>
          <w:vertAlign w:val="superscript"/>
        </w:rPr>
      </w:pPr>
    </w:p>
    <w:p>
      <w:pPr>
        <w:ind w:left="500" w:hanging="492"/>
        <w:spacing w:after="0" w:line="182" w:lineRule="auto"/>
        <w:tabs>
          <w:tab w:leader="none" w:pos="500" w:val="left"/>
        </w:tabs>
        <w:numPr>
          <w:ilvl w:val="0"/>
          <w:numId w:val="22"/>
        </w:numPr>
        <w:rPr>
          <w:rFonts w:ascii="Arial" w:cs="Arial" w:eastAsia="Arial" w:hAnsi="Arial"/>
          <w:sz w:val="22"/>
          <w:szCs w:val="22"/>
          <w:color w:val="auto"/>
          <w:vertAlign w:val="superscript"/>
        </w:rPr>
      </w:pPr>
      <w:r>
        <w:rPr>
          <w:rFonts w:ascii="Arial" w:cs="Arial" w:eastAsia="Arial" w:hAnsi="Arial"/>
          <w:sz w:val="14"/>
          <w:szCs w:val="14"/>
          <w:color w:val="auto"/>
        </w:rPr>
        <w:t>Includes severance payments of approximately $426 million and $71 million during the six months ended June 30, 2020 and 2019, respectively.</w:t>
      </w:r>
    </w:p>
    <w:p>
      <w:pPr>
        <w:spacing w:after="0" w:line="51" w:lineRule="exact"/>
        <w:rPr>
          <w:rFonts w:ascii="Arial" w:cs="Arial" w:eastAsia="Arial" w:hAnsi="Arial"/>
          <w:sz w:val="22"/>
          <w:szCs w:val="22"/>
          <w:color w:val="auto"/>
          <w:vertAlign w:val="superscript"/>
        </w:rPr>
      </w:pPr>
    </w:p>
    <w:p>
      <w:pPr>
        <w:jc w:val="both"/>
        <w:ind w:left="500" w:hanging="492"/>
        <w:spacing w:after="0" w:line="247" w:lineRule="auto"/>
        <w:tabs>
          <w:tab w:leader="none" w:pos="500" w:val="left"/>
        </w:tabs>
        <w:numPr>
          <w:ilvl w:val="0"/>
          <w:numId w:val="22"/>
        </w:numPr>
        <w:rPr>
          <w:rFonts w:ascii="Arial" w:cs="Arial" w:eastAsia="Arial" w:hAnsi="Arial"/>
          <w:sz w:val="25"/>
          <w:szCs w:val="25"/>
          <w:color w:val="auto"/>
          <w:vertAlign w:val="superscript"/>
        </w:rPr>
      </w:pPr>
      <w:r>
        <w:rPr>
          <w:rFonts w:ascii="Arial" w:cs="Arial" w:eastAsia="Arial" w:hAnsi="Arial"/>
          <w:sz w:val="15"/>
          <w:szCs w:val="15"/>
          <w:color w:val="auto"/>
        </w:rPr>
        <w:t>“Free cash flow” represents cash flow from operations less capital expenditures, APS investments and multiclient seismic data costs capitalized. Management believes that free cash flow is an important liquidity measure for the company and that it is useful to investors and management as a measure of our ability to generate cash. Once business needs and obligations are met, this cash can be used to reinvest in the company for future growth or to return to shareholders through dividend payments or share repurchases. Free cash flow does not represent the residual cash flow available for discretionary expenditures. Free cash flow is a non-GAAP financial measure that should be considered in addition to, not as substitute for or superior to, cash flow from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Key liquidity events during the first six months of 2020 and 2019 included:</w:t>
      </w:r>
    </w:p>
    <w:p>
      <w:pPr>
        <w:spacing w:after="0" w:line="185" w:lineRule="exact"/>
        <w:rPr>
          <w:sz w:val="20"/>
          <w:szCs w:val="20"/>
          <w:color w:val="auto"/>
        </w:rPr>
      </w:pPr>
    </w:p>
    <w:p>
      <w:pPr>
        <w:jc w:val="both"/>
        <w:ind w:left="1500" w:hanging="1128"/>
        <w:spacing w:after="0" w:line="263" w:lineRule="auto"/>
        <w:tabs>
          <w:tab w:leader="none" w:pos="1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January 21, 2016, the Board approved a $10 billion share repurchase program for Schlumberger common stock. Schlumberger had repurchased $1.0 billion of Schlumberger common stock under this program as of June 30, 2020. The Company did not repurchase any Schlumberger common stock during the second quarter of 2020.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The following table summarizes the activity under the share repurchase program:</w:t>
      </w:r>
    </w:p>
    <w:p>
      <w:pPr>
        <w:spacing w:after="0" w:line="234" w:lineRule="exact"/>
        <w:rPr>
          <w:sz w:val="20"/>
          <w:szCs w:val="20"/>
          <w:color w:val="auto"/>
        </w:rPr>
      </w:pPr>
    </w:p>
    <w:tbl>
      <w:tblPr>
        <w:tblLayout w:type="fixed"/>
        <w:tblInd w:w="760" w:type="dxa"/>
        <w:tblCellMar>
          <w:top w:w="0" w:type="dxa"/>
          <w:left w:w="0" w:type="dxa"/>
          <w:bottom w:w="0" w:type="dxa"/>
          <w:right w:w="0" w:type="dxa"/>
        </w:tblCellMar>
      </w:tblPr>
      <w:tr>
        <w:trPr>
          <w:trHeight w:val="182"/>
        </w:trPr>
        <w:tc>
          <w:tcPr>
            <w:tcW w:w="40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80" w:type="dxa"/>
            <w:vAlign w:val="bottom"/>
            <w:gridSpan w:val="6"/>
          </w:tcPr>
          <w:p>
            <w:pPr>
              <w:jc w:val="right"/>
              <w:ind w:right="100"/>
              <w:spacing w:after="0"/>
              <w:rPr>
                <w:sz w:val="20"/>
                <w:szCs w:val="20"/>
                <w:color w:val="auto"/>
              </w:rPr>
            </w:pPr>
            <w:r>
              <w:rPr>
                <w:rFonts w:ascii="Arial" w:cs="Arial" w:eastAsia="Arial" w:hAnsi="Arial"/>
                <w:sz w:val="14"/>
                <w:szCs w:val="14"/>
                <w:i w:val="1"/>
                <w:iCs w:val="1"/>
                <w:color w:val="auto"/>
                <w:w w:val="96"/>
              </w:rPr>
              <w:t>(Stated in millions, except per share amounts)</w:t>
            </w:r>
          </w:p>
        </w:tc>
      </w:tr>
      <w:tr>
        <w:trPr>
          <w:trHeight w:val="425"/>
        </w:trPr>
        <w:tc>
          <w:tcPr>
            <w:tcW w:w="40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center"/>
              <w:ind w:right="95"/>
              <w:spacing w:after="0"/>
              <w:rPr>
                <w:sz w:val="20"/>
                <w:szCs w:val="20"/>
                <w:color w:val="auto"/>
              </w:rPr>
            </w:pPr>
            <w:r>
              <w:rPr>
                <w:rFonts w:ascii="Arial" w:cs="Arial" w:eastAsia="Arial" w:hAnsi="Arial"/>
                <w:sz w:val="16"/>
                <w:szCs w:val="16"/>
                <w:color w:val="auto"/>
                <w:w w:val="92"/>
              </w:rPr>
              <w:t>Total cost</w:t>
            </w:r>
          </w:p>
        </w:tc>
        <w:tc>
          <w:tcPr>
            <w:tcW w:w="240" w:type="dxa"/>
            <w:vAlign w:val="bottom"/>
          </w:tcPr>
          <w:p>
            <w:pPr>
              <w:spacing w:after="0"/>
              <w:rPr>
                <w:sz w:val="24"/>
                <w:szCs w:val="2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Total number</w:t>
            </w:r>
          </w:p>
        </w:tc>
        <w:tc>
          <w:tcPr>
            <w:tcW w:w="100" w:type="dxa"/>
            <w:vAlign w:val="bottom"/>
          </w:tcPr>
          <w:p>
            <w:pPr>
              <w:spacing w:after="0"/>
              <w:rPr>
                <w:sz w:val="24"/>
                <w:szCs w:val="2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color w:val="auto"/>
                <w:w w:val="91"/>
              </w:rPr>
              <w:t>Average price</w:t>
            </w:r>
          </w:p>
        </w:tc>
      </w:tr>
      <w:tr>
        <w:trPr>
          <w:trHeight w:val="216"/>
        </w:trPr>
        <w:tc>
          <w:tcPr>
            <w:tcW w:w="40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ind w:right="75"/>
              <w:spacing w:after="0"/>
              <w:rPr>
                <w:sz w:val="20"/>
                <w:szCs w:val="20"/>
                <w:color w:val="auto"/>
              </w:rPr>
            </w:pPr>
            <w:r>
              <w:rPr>
                <w:rFonts w:ascii="Arial" w:cs="Arial" w:eastAsia="Arial" w:hAnsi="Arial"/>
                <w:sz w:val="16"/>
                <w:szCs w:val="16"/>
                <w:color w:val="auto"/>
                <w:w w:val="88"/>
              </w:rPr>
              <w:t>of shares</w:t>
            </w:r>
          </w:p>
        </w:tc>
        <w:tc>
          <w:tcPr>
            <w:tcW w:w="2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color w:val="auto"/>
                <w:w w:val="88"/>
              </w:rPr>
              <w:t>of shares</w:t>
            </w:r>
          </w:p>
        </w:tc>
        <w:tc>
          <w:tcPr>
            <w:tcW w:w="10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color w:val="auto"/>
                <w:w w:val="89"/>
              </w:rPr>
              <w:t>paid per</w:t>
            </w:r>
          </w:p>
        </w:tc>
      </w:tr>
      <w:tr>
        <w:trPr>
          <w:trHeight w:val="219"/>
        </w:trPr>
        <w:tc>
          <w:tcPr>
            <w:tcW w:w="40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center"/>
              <w:ind w:right="95"/>
              <w:spacing w:after="0"/>
              <w:rPr>
                <w:sz w:val="20"/>
                <w:szCs w:val="20"/>
                <w:color w:val="auto"/>
              </w:rPr>
            </w:pPr>
            <w:r>
              <w:rPr>
                <w:rFonts w:ascii="Arial" w:cs="Arial" w:eastAsia="Arial" w:hAnsi="Arial"/>
                <w:sz w:val="16"/>
                <w:szCs w:val="16"/>
                <w:color w:val="auto"/>
                <w:w w:val="85"/>
              </w:rPr>
              <w:t>purchased</w:t>
            </w:r>
          </w:p>
        </w:tc>
        <w:tc>
          <w:tcPr>
            <w:tcW w:w="240" w:type="dxa"/>
            <w:vAlign w:val="bottom"/>
          </w:tcPr>
          <w:p>
            <w:pPr>
              <w:spacing w:after="0"/>
              <w:rPr>
                <w:sz w:val="19"/>
                <w:szCs w:val="19"/>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color w:val="auto"/>
                <w:w w:val="88"/>
              </w:rPr>
              <w:t>purchased</w:t>
            </w:r>
          </w:p>
        </w:tc>
        <w:tc>
          <w:tcPr>
            <w:tcW w:w="100" w:type="dxa"/>
            <w:vAlign w:val="bottom"/>
          </w:tcPr>
          <w:p>
            <w:pPr>
              <w:spacing w:after="0"/>
              <w:rPr>
                <w:sz w:val="19"/>
                <w:szCs w:val="19"/>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color w:val="auto"/>
                <w:w w:val="84"/>
              </w:rPr>
              <w:t>share</w:t>
            </w:r>
          </w:p>
        </w:tc>
      </w:tr>
      <w:tr>
        <w:trPr>
          <w:trHeight w:val="226"/>
        </w:trPr>
        <w:tc>
          <w:tcPr>
            <w:tcW w:w="4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Six months ended June 30, 2020</w:t>
            </w:r>
          </w:p>
        </w:tc>
        <w:tc>
          <w:tcPr>
            <w:tcW w:w="16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26</w:t>
            </w: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0.8</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33.81</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Six months ended June 30, 2019</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41.40</w:t>
            </w:r>
          </w:p>
        </w:tc>
        <w:tc>
          <w:tcPr>
            <w:tcW w:w="100" w:type="dxa"/>
            <w:vAlign w:val="bottom"/>
          </w:tcPr>
          <w:p>
            <w:pPr>
              <w:spacing w:after="0"/>
              <w:rPr>
                <w:sz w:val="20"/>
                <w:szCs w:val="20"/>
                <w:color w:val="auto"/>
              </w:rPr>
            </w:pPr>
          </w:p>
        </w:tc>
      </w:tr>
    </w:tbl>
    <w:p>
      <w:pPr>
        <w:spacing w:after="0" w:line="241" w:lineRule="exact"/>
        <w:rPr>
          <w:sz w:val="20"/>
          <w:szCs w:val="20"/>
          <w:color w:val="auto"/>
        </w:rPr>
      </w:pPr>
    </w:p>
    <w:p>
      <w:pPr>
        <w:jc w:val="both"/>
        <w:ind w:left="740" w:hanging="368"/>
        <w:spacing w:after="0" w:line="263"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Capital expenditures were $0.7 billion during the first six months of 2020 compared to $0.8 billion during the first six months of 2019, respectively. Capital expenditures for full-year 2020 are expected to be approximately $1.1 billion, representing a 35% decrease as compared to 2019.</w:t>
      </w:r>
    </w:p>
    <w:p>
      <w:pPr>
        <w:spacing w:after="0" w:line="183" w:lineRule="exact"/>
        <w:rPr>
          <w:rFonts w:ascii="Arial" w:cs="Arial" w:eastAsia="Arial" w:hAnsi="Arial"/>
          <w:sz w:val="18"/>
          <w:szCs w:val="18"/>
          <w:color w:val="auto"/>
        </w:rPr>
      </w:pPr>
    </w:p>
    <w:p>
      <w:pPr>
        <w:ind w:left="740" w:hanging="368"/>
        <w:spacing w:after="0" w:line="277"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During the second quarter of 2020, Schlumberger issued €1.0 billion of 1.375% Guaranteed Notes due 2026, $900 million of 2.650% Senior Notes due 2030 and €1.0 billion of 2.00% Guaranteed Notes due 2032.</w:t>
      </w:r>
    </w:p>
    <w:p>
      <w:pPr>
        <w:spacing w:after="0" w:line="170" w:lineRule="exact"/>
        <w:rPr>
          <w:rFonts w:ascii="Arial" w:cs="Arial" w:eastAsia="Arial" w:hAnsi="Arial"/>
          <w:sz w:val="18"/>
          <w:szCs w:val="18"/>
          <w:color w:val="auto"/>
        </w:rPr>
      </w:pPr>
    </w:p>
    <w:p>
      <w:pPr>
        <w:jc w:val="both"/>
        <w:ind w:left="740" w:hanging="368"/>
        <w:spacing w:after="0" w:line="286" w:lineRule="auto"/>
        <w:tabs>
          <w:tab w:leader="none" w:pos="7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 xml:space="preserve">During the second quarter of 2020, Schlumberger repurchased all $600 million of its 4.20% Senior Notes due 2021 and $935 million of its 3.30% Senior Notes due 2021. Schlumberger paid a premium of approximately $40 million in connection with these repurchases. This premium was classified in </w:t>
      </w:r>
      <w:r>
        <w:rPr>
          <w:rFonts w:ascii="Arial" w:cs="Arial" w:eastAsia="Arial" w:hAnsi="Arial"/>
          <w:sz w:val="17"/>
          <w:szCs w:val="17"/>
          <w:i w:val="1"/>
          <w:iCs w:val="1"/>
          <w:color w:val="auto"/>
        </w:rPr>
        <w:t>Impairments &amp; other</w:t>
      </w:r>
      <w:r>
        <w:rPr>
          <w:rFonts w:ascii="Arial" w:cs="Arial" w:eastAsia="Arial" w:hAnsi="Arial"/>
          <w:sz w:val="17"/>
          <w:szCs w:val="17"/>
          <w:color w:val="auto"/>
        </w:rPr>
        <w:t xml:space="preserve"> in the </w:t>
      </w:r>
      <w:r>
        <w:rPr>
          <w:rFonts w:ascii="Arial" w:cs="Arial" w:eastAsia="Arial" w:hAnsi="Arial"/>
          <w:sz w:val="17"/>
          <w:szCs w:val="17"/>
          <w:i w:val="1"/>
          <w:iCs w:val="1"/>
          <w:color w:val="auto"/>
        </w:rPr>
        <w:t>Consolidated Statement of Income (Loss)</w:t>
      </w:r>
      <w:r>
        <w:rPr>
          <w:rFonts w:ascii="Arial" w:cs="Arial" w:eastAsia="Arial" w:hAnsi="Arial"/>
          <w:sz w:val="17"/>
          <w:szCs w:val="17"/>
          <w:color w:val="auto"/>
        </w:rPr>
        <w:t xml:space="preserve">. See Note 2 – </w:t>
      </w:r>
      <w:r>
        <w:rPr>
          <w:rFonts w:ascii="Arial" w:cs="Arial" w:eastAsia="Arial" w:hAnsi="Arial"/>
          <w:sz w:val="17"/>
          <w:szCs w:val="17"/>
          <w:i w:val="1"/>
          <w:iCs w:val="1"/>
          <w:color w:val="auto"/>
        </w:rPr>
        <w:t>Charge and Credits</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jc w:val="both"/>
        <w:ind w:left="740" w:hanging="368"/>
        <w:spacing w:after="0" w:line="263"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During the second quarter of 2020, Schlumberger established a €5.0 billion Guaranteed Euro Medium Term Note program that provides for the issuance of various types of debt instruments such as fixed or floating rate notes in euro, US dollar or other currencies. Schlumberger has not issued any debt under this program.</w:t>
      </w:r>
    </w:p>
    <w:p>
      <w:pPr>
        <w:spacing w:after="0" w:line="183" w:lineRule="exact"/>
        <w:rPr>
          <w:rFonts w:ascii="Arial" w:cs="Arial" w:eastAsia="Arial" w:hAnsi="Arial"/>
          <w:sz w:val="18"/>
          <w:szCs w:val="18"/>
          <w:color w:val="auto"/>
        </w:rPr>
      </w:pPr>
    </w:p>
    <w:p>
      <w:pPr>
        <w:ind w:left="740" w:hanging="368"/>
        <w:spacing w:after="0"/>
        <w:tabs>
          <w:tab w:leader="none" w:pos="7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During the first quarter of 2020, Schlumberger issued €400 million of 0.25% Notes due 2027 and €400 million of 0.50% Notes due 2031.</w:t>
      </w:r>
    </w:p>
    <w:p>
      <w:pPr>
        <w:spacing w:after="0" w:line="236" w:lineRule="exact"/>
        <w:rPr>
          <w:rFonts w:ascii="Arial" w:cs="Arial" w:eastAsia="Arial" w:hAnsi="Arial"/>
          <w:sz w:val="17"/>
          <w:szCs w:val="17"/>
          <w:color w:val="auto"/>
        </w:rPr>
      </w:pPr>
    </w:p>
    <w:p>
      <w:pPr>
        <w:ind w:left="740" w:hanging="368"/>
        <w:spacing w:after="0" w:line="342" w:lineRule="auto"/>
        <w:tabs>
          <w:tab w:leader="none" w:pos="7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During the first quarter of 2020, Schlumberger completed the sale of its 49% interest in the Bandurria Sur Block in Argentina. The net cash proceeds from this transaction, combined with the proceeds received from the divestiture of a smaller APS project, amounted to $298 million.</w:t>
      </w:r>
    </w:p>
    <w:p>
      <w:pPr>
        <w:spacing w:after="0" w:line="123" w:lineRule="exact"/>
        <w:rPr>
          <w:rFonts w:ascii="Arial" w:cs="Arial" w:eastAsia="Arial" w:hAnsi="Arial"/>
          <w:sz w:val="16"/>
          <w:szCs w:val="16"/>
          <w:color w:val="auto"/>
        </w:rPr>
      </w:pPr>
    </w:p>
    <w:p>
      <w:pPr>
        <w:ind w:left="740" w:hanging="368"/>
        <w:spacing w:after="0" w:line="277"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During the first quarter of 2019, Schlumberger issued $750 million of 3.75% Senior Notes due 2024 and $850 million of 4.30% Senior Notes due 2029.</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Schlumberger recorded a $1.0 billion charge relating to severance during the second quarter of 2020. The vast majority of this charge is expected to be paid during the second half of 2020.</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Schlumberger generates revenue in more than 120 countries. As of June 30, 2020, six of those countries individually accounted for greater than 5% of Schlumberger’s net receivables balance, of which only the United States accounted for greater than 10% of such receivables.</w:t>
      </w:r>
    </w:p>
    <w:p>
      <w:pPr>
        <w:spacing w:after="0" w:line="1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As of June 30, 2020, Schlumberger had $3.6 billion of cash and short-term investments on hand. Schlumberger had separate committed debt facility agreements aggregating $8.0 billion that support commercial paper programs, of which $6.2 billion was available and unused. Schlumberger believes these amounts are sufficient to meet future business requirements for at least the next 12 months.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the commercial paper programs at June 30, 2020 were $1.8 billion.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second-quarter 2020 Form 10-Q, as well as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its segments (and for specified products or geographic areas within each segment); oil and natural gas demand and production growth; oil and natural gas prices; pricing; Schlumberger’s response to, and preparedness for, the COVID-19 pandemic; access to raw materials; improvements in operating procedures and technology; capital expenditures by Schlumberger and the oil and gas industry; the business strategies of Schlumberger and Schlumberger’s customers; Schlumberger’s digital strategy; Schlumberger’s restructuring efforts and charges recorded as a result of such efforts; our</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8" w:name="page29"/>
    <w:bookmarkEnd w:id="28"/>
    <w:p>
      <w:pPr>
        <w:jc w:val="both"/>
        <w:spacing w:after="0" w:line="286" w:lineRule="auto"/>
        <w:rPr>
          <w:sz w:val="20"/>
          <w:szCs w:val="20"/>
          <w:color w:val="auto"/>
        </w:rPr>
      </w:pPr>
      <w:r>
        <w:rPr>
          <w:rFonts w:ascii="Arial" w:cs="Arial" w:eastAsia="Arial" w:hAnsi="Arial"/>
          <w:sz w:val="16"/>
          <w:szCs w:val="16"/>
          <w:color w:val="auto"/>
        </w:rPr>
        <w:t>effective tax rate; Schlumberger’s APS projects, joint ventures, and alliances; future global economic and geopolitical conditions; and future results of operations. These statements are subject to risks and uncertainties, including, but not limited to, changing global economic conditions; changes in exploration and production spending by Schlumberger’s customers and changes in the level of oil and natural gas exploration and development; the results of operations and financial condition of Schlumberger’s customers and suppliers, particularly during extended periods of low prices for crude oil and natural gas; Schlumberger’s inability to sufficiently monetize assets; the extent of future charges; general economic, geopolitical, and business conditions in key regions of the world; foreign currency risk; pricing pressure; weather and seasonal factors; unfavorable effects of health pandemics; availability and cost of raw materials; operational modifications, delays or cancellations; challenges in Schlumberger’s supply chain; production declines; Schlumberger’s inability to recognize intended benefits from its business strategies and initiatives, such as digital or new energy, as well as our restructuring and structural cost reduction plans;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the competitiveness of alternative energy sources or product substitutes; and other risks and uncertainties detailed in this Form 10-Q and our most recent Form 10-K and Forms 8-K filed with or furnished to the SEC. If one or more of these or other risks or uncertainties materialize (or the consequences of any such development changes), or should our underlying assumptions prove incorrect, actual outcomes may vary materially from those reflected in our forward-looking statements. Statements in this second-quarter 2020 Form 10-Q are made as of July 29, 2020, and Schlumberger disclaims any intention or obligation to update publicly or revise such statements, whether as a result of new information, future events or otherwise.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quantitative and qualitative disclosures about market risk affecting Schlumberger, see Item 7A, “Quantitative and Qualitative Disclosures about Market Risk,” of the Schlumberger Annual Report on Form 10-K for the fiscal year ended December 31, 2019. Schlumberger’s exposure to market risk has not changed materially since December 31, 2019.</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Schlumberger has carried out an evaluation under the supervision and with the participation of Schlumberger’s management, including the Chief Executive Officer (“CEO”) and the Chief Financial Officer (“CFO”), of the effectiveness of Schlumberger’s “disclosure controls and procedures” (as such term is defined in Rules 13a-15(e) and 15d-15(e) under the Securities Exchange Act of 1934 (the “Exchange Act”)) as of the end of the period covered by this report. Based on this evaluation, the CEO and the CFO have concluded that, as of the end of the period covered by this report, Schlumberger’s disclosure controls and procedures were effective to provide reasonable assurance that information required to be disclosed in the reports that Schlumberger files or submits under the Exchange Act is recorded, processed, summarized and reported within the time periods specified in the Securities and Exchange Commission’s rules and forms. Schlumberger’s disclosure controls and procedures include controls and procedures designed to ensure that information required to be disclosed in reports filed or submitted under the Exchange Act is accumulated and communicated to its management, including the CEO and the CFO, as appropriate, to allow timely decisions regarding required disclosure. There was no change in Schlumberger’s internal control over financial reporting during the quarter to which this report relates that has materially affected, or is reasonably likely to materially affect, Schlumberger’s internal control over financial reporting.</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auto"/>
        </w:rPr>
        <w:t>PART II. OTHER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with respect to this Item 1 is set forth under Note 11—</w:t>
      </w:r>
      <w:r>
        <w:rPr>
          <w:rFonts w:ascii="Arial" w:cs="Arial" w:eastAsia="Arial" w:hAnsi="Arial"/>
          <w:sz w:val="17"/>
          <w:szCs w:val="17"/>
          <w:i w:val="1"/>
          <w:iCs w:val="1"/>
          <w:color w:val="auto"/>
        </w:rPr>
        <w:t>Contingencies,</w:t>
      </w:r>
      <w:r>
        <w:rPr>
          <w:rFonts w:ascii="Arial" w:cs="Arial" w:eastAsia="Arial" w:hAnsi="Arial"/>
          <w:sz w:val="17"/>
          <w:szCs w:val="17"/>
          <w:color w:val="auto"/>
        </w:rPr>
        <w:t xml:space="preserve"> in the accompanying </w:t>
      </w:r>
      <w:r>
        <w:rPr>
          <w:rFonts w:ascii="Arial" w:cs="Arial" w:eastAsia="Arial" w:hAnsi="Arial"/>
          <w:sz w:val="17"/>
          <w:szCs w:val="17"/>
          <w:i w:val="1"/>
          <w:iCs w:val="1"/>
          <w:color w:val="auto"/>
        </w:rPr>
        <w:t>Consolidated Financial Statements</w:t>
      </w:r>
      <w:r>
        <w:rPr>
          <w:rFonts w:ascii="Arial" w:cs="Arial" w:eastAsia="Arial" w:hAnsi="Arial"/>
          <w:sz w:val="17"/>
          <w:szCs w:val="17"/>
          <w:color w:val="auto"/>
        </w:rPr>
        <w:t>.</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3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the date of this filing, there have been no material changes from the risk factors disclosed in Part 1, Item 1A, of Schlumberger’s Annual Report on Form 10-K for the fiscal year ended December 31, 2019, other than the risk factor disclosed in Item 8.01 of Schlumberger’s Current Report on Form 8-K filed on April 17, 2020, which is hereby incorporated by reference into this Quarterly Report on Form 10-Q.</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Unregistered Sales of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Issuer Repurchases of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As of June 30, 2020, Schlumberger had repurchased $1.0 billion of Schlumberger common stock under its $10 billion share repurchase program.</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Schlumberger did not repurchase any of its common stock during the second quarter of 2020.</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Defaults Upon Senior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r>
        <w:rPr>
          <w:rFonts w:ascii="Arial" w:cs="Arial" w:eastAsia="Arial" w:hAnsi="Arial"/>
          <w:sz w:val="18"/>
          <w:szCs w:val="18"/>
          <w:b w:val="1"/>
          <w:bCs w:val="1"/>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mining operations are subject to regulation by the federal Mine Safety and Health Administration under the Federal Mine Safety and Health Act of 1977. Information concerning mine safety violations or other regulatory matters required by section 1503(a) of the Dodd-Frank Wall Street Reform and Consumer Protection Act and Item 104 of Regulation S-K is included in Exhibit 95 to this report.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Other Information.</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2013, Schlumberger completed the wind down of its service operations in Iran. Prior to this, certain non-US subsidiaries provided oilfield services to the National Iranian Oil Company and certain of its affiliates (“NIOC”).</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Schlumberger’s residual transactions or dealings with the government of Iran during the second quarter of 2020 consisted of payments of taxes and other typical governmental charges. Certain non-US subsidiaries of Schlumberger maintain depository accounts at the Dubai branch of Bank Saderat Iran (“Saderat”), and at Bank Tejarat (“Tejarat”) in Tehran and in Kish for the deposit by NIOC of amounts owed to non-US subsidiaries of Schlumberger for prior services rendered in Iran and for the maintenance of such amounts previously received. One non-US subsidiary also maintained an account at Tejarat for payment of local expenses such as taxes. Schlumberger anticipates that it will discontinue dealings with Saderat and Tejarat following the receipt of all amounts owed to Schlumberger for prior services rendered in Iran.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202" w:lineRule="exact"/>
        <w:rPr>
          <w:sz w:val="20"/>
          <w:szCs w:val="20"/>
          <w:color w:val="auto"/>
        </w:rPr>
      </w:pPr>
    </w:p>
    <w:p>
      <w:pPr>
        <w:ind w:left="440" w:right="280"/>
        <w:spacing w:after="0" w:line="277" w:lineRule="auto"/>
        <w:rPr>
          <w:rFonts w:ascii="Arial" w:cs="Arial" w:eastAsia="Arial" w:hAnsi="Arial"/>
          <w:sz w:val="18"/>
          <w:szCs w:val="18"/>
          <w:u w:val="single" w:color="auto"/>
          <w:color w:val="0000EE"/>
        </w:rPr>
      </w:pPr>
      <w:hyperlink r:id="rId48">
        <w:r>
          <w:rPr>
            <w:rFonts w:ascii="Arial" w:cs="Arial" w:eastAsia="Arial" w:hAnsi="Arial"/>
            <w:sz w:val="18"/>
            <w:szCs w:val="18"/>
            <w:color w:val="auto"/>
          </w:rPr>
          <w:t>Exhibit 3.1—</w:t>
        </w:r>
        <w:r>
          <w:rPr>
            <w:rFonts w:ascii="Arial" w:cs="Arial" w:eastAsia="Arial" w:hAnsi="Arial"/>
            <w:sz w:val="18"/>
            <w:szCs w:val="18"/>
            <w:u w:val="single" w:color="auto"/>
            <w:color w:val="0000EE"/>
          </w:rPr>
          <w:t>Articles of Incorporation of Schlumberger Limited (Schlumberger N.V.) (incorporated by reference to Exhibit 3.1 to Schlumberger’s</w:t>
        </w:r>
      </w:hyperlink>
      <w:r>
        <w:rPr>
          <w:rFonts w:ascii="Arial" w:cs="Arial" w:eastAsia="Arial" w:hAnsi="Arial"/>
          <w:sz w:val="18"/>
          <w:szCs w:val="18"/>
          <w:color w:val="auto"/>
        </w:rPr>
        <w:t xml:space="preserve"> </w:t>
      </w:r>
      <w:hyperlink r:id="rId48">
        <w:r>
          <w:rPr>
            <w:rFonts w:ascii="Arial" w:cs="Arial" w:eastAsia="Arial" w:hAnsi="Arial"/>
            <w:sz w:val="18"/>
            <w:szCs w:val="18"/>
            <w:u w:val="single" w:color="auto"/>
            <w:color w:val="0000EE"/>
          </w:rPr>
          <w:t>Current Report on Form 8-K filed on April 6, 2016)</w:t>
        </w:r>
      </w:hyperlink>
    </w:p>
    <w:p>
      <w:pPr>
        <w:spacing w:after="0" w:line="76" w:lineRule="exact"/>
        <w:rPr>
          <w:sz w:val="20"/>
          <w:szCs w:val="20"/>
          <w:color w:val="auto"/>
        </w:rPr>
      </w:pPr>
    </w:p>
    <w:p>
      <w:pPr>
        <w:ind w:left="440" w:right="1060"/>
        <w:spacing w:after="0" w:line="277" w:lineRule="auto"/>
        <w:rPr>
          <w:rFonts w:ascii="Arial" w:cs="Arial" w:eastAsia="Arial" w:hAnsi="Arial"/>
          <w:sz w:val="18"/>
          <w:szCs w:val="18"/>
          <w:u w:val="single" w:color="auto"/>
          <w:color w:val="0000EE"/>
        </w:rPr>
      </w:pPr>
      <w:hyperlink r:id="rId49">
        <w:r>
          <w:rPr>
            <w:rFonts w:ascii="Arial" w:cs="Arial" w:eastAsia="Arial" w:hAnsi="Arial"/>
            <w:sz w:val="18"/>
            <w:szCs w:val="18"/>
            <w:color w:val="auto"/>
          </w:rPr>
          <w:t>Exhibit 3.2—</w:t>
        </w:r>
        <w:r>
          <w:rPr>
            <w:rFonts w:ascii="Arial" w:cs="Arial" w:eastAsia="Arial" w:hAnsi="Arial"/>
            <w:sz w:val="18"/>
            <w:szCs w:val="18"/>
            <w:u w:val="single" w:color="auto"/>
            <w:color w:val="0000EE"/>
          </w:rPr>
          <w:t>Amended and Restated By-laws of Schlumberger Limited (Schlumberger N.V.) (incorporated by reference to Exhibit 3 to</w:t>
        </w:r>
      </w:hyperlink>
      <w:r>
        <w:rPr>
          <w:rFonts w:ascii="Arial" w:cs="Arial" w:eastAsia="Arial" w:hAnsi="Arial"/>
          <w:sz w:val="18"/>
          <w:szCs w:val="18"/>
          <w:color w:val="auto"/>
        </w:rPr>
        <w:t xml:space="preserve"> </w:t>
      </w:r>
      <w:hyperlink r:id="rId49">
        <w:r>
          <w:rPr>
            <w:rFonts w:ascii="Arial" w:cs="Arial" w:eastAsia="Arial" w:hAnsi="Arial"/>
            <w:sz w:val="18"/>
            <w:szCs w:val="18"/>
            <w:u w:val="single" w:color="auto"/>
            <w:color w:val="0000EE"/>
          </w:rPr>
          <w:t>Schlumberger’s Current Report on Form 8-K filed on July 22, 2019)</w:t>
        </w:r>
      </w:hyperlink>
    </w:p>
    <w:p>
      <w:pPr>
        <w:spacing w:after="0" w:line="76" w:lineRule="exact"/>
        <w:rPr>
          <w:sz w:val="20"/>
          <w:szCs w:val="20"/>
          <w:color w:val="auto"/>
        </w:rPr>
      </w:pPr>
    </w:p>
    <w:p>
      <w:pPr>
        <w:jc w:val="both"/>
        <w:ind w:left="440" w:right="20"/>
        <w:spacing w:after="0" w:line="263" w:lineRule="auto"/>
        <w:rPr>
          <w:rFonts w:ascii="Arial" w:cs="Arial" w:eastAsia="Arial" w:hAnsi="Arial"/>
          <w:sz w:val="18"/>
          <w:szCs w:val="18"/>
          <w:u w:val="single" w:color="auto"/>
          <w:color w:val="0000EE"/>
        </w:rPr>
      </w:pPr>
      <w:hyperlink r:id="rId50">
        <w:r>
          <w:rPr>
            <w:rFonts w:ascii="Arial" w:cs="Arial" w:eastAsia="Arial" w:hAnsi="Arial"/>
            <w:sz w:val="18"/>
            <w:szCs w:val="18"/>
            <w:color w:val="auto"/>
          </w:rPr>
          <w:t>Exhibit 4.1—</w:t>
        </w:r>
        <w:r>
          <w:rPr>
            <w:rFonts w:ascii="Arial" w:cs="Arial" w:eastAsia="Arial" w:hAnsi="Arial"/>
            <w:sz w:val="18"/>
            <w:szCs w:val="18"/>
            <w:u w:val="single" w:color="auto"/>
            <w:color w:val="0000EE"/>
          </w:rPr>
          <w:t>Indenture dated as of December 3, 2013, by and among Schlumberger Investment SA, as issuer, Schlumberger Limited, as guarantor,</w:t>
        </w:r>
      </w:hyperlink>
      <w:r>
        <w:rPr>
          <w:rFonts w:ascii="Arial" w:cs="Arial" w:eastAsia="Arial" w:hAnsi="Arial"/>
          <w:sz w:val="18"/>
          <w:szCs w:val="18"/>
          <w:color w:val="auto"/>
        </w:rPr>
        <w:t xml:space="preserve"> </w:t>
      </w:r>
      <w:hyperlink r:id="rId50">
        <w:r>
          <w:rPr>
            <w:rFonts w:ascii="Arial" w:cs="Arial" w:eastAsia="Arial" w:hAnsi="Arial"/>
            <w:sz w:val="18"/>
            <w:szCs w:val="18"/>
            <w:u w:val="single" w:color="auto"/>
            <w:color w:val="0000EE"/>
          </w:rPr>
          <w:t>and The Bank of New York Mellon, as trustee (incorporated by reference to Exhibit 4.1 to Schlumberger’s Current Report on Form 8-K filed on</w:t>
        </w:r>
      </w:hyperlink>
      <w:r>
        <w:rPr>
          <w:rFonts w:ascii="Arial" w:cs="Arial" w:eastAsia="Arial" w:hAnsi="Arial"/>
          <w:sz w:val="18"/>
          <w:szCs w:val="18"/>
          <w:u w:val="single" w:color="auto"/>
          <w:color w:val="0000EE"/>
        </w:rPr>
        <w:t xml:space="preserve"> </w:t>
      </w:r>
      <w:hyperlink r:id="rId50">
        <w:r>
          <w:rPr>
            <w:rFonts w:ascii="Arial" w:cs="Arial" w:eastAsia="Arial" w:hAnsi="Arial"/>
            <w:sz w:val="18"/>
            <w:szCs w:val="18"/>
            <w:u w:val="single" w:color="auto"/>
            <w:color w:val="0000EE"/>
          </w:rPr>
          <w:t>December 3, 2013)</w:t>
        </w:r>
      </w:hyperlink>
    </w:p>
    <w:p>
      <w:pPr>
        <w:spacing w:after="0" w:line="89" w:lineRule="exact"/>
        <w:rPr>
          <w:rFonts w:ascii="Arial" w:cs="Arial" w:eastAsia="Arial" w:hAnsi="Arial"/>
          <w:sz w:val="18"/>
          <w:szCs w:val="18"/>
          <w:color w:val="auto"/>
        </w:rPr>
      </w:pPr>
    </w:p>
    <w:p>
      <w:pPr>
        <w:jc w:val="both"/>
        <w:ind w:left="440"/>
        <w:spacing w:after="0" w:line="286" w:lineRule="auto"/>
        <w:rPr>
          <w:rFonts w:ascii="Arial" w:cs="Arial" w:eastAsia="Arial" w:hAnsi="Arial"/>
          <w:sz w:val="17"/>
          <w:szCs w:val="17"/>
          <w:u w:val="single" w:color="auto"/>
          <w:color w:val="0000EE"/>
        </w:rPr>
      </w:pPr>
      <w:hyperlink r:id="rId51">
        <w:r>
          <w:rPr>
            <w:rFonts w:ascii="Arial" w:cs="Arial" w:eastAsia="Arial" w:hAnsi="Arial"/>
            <w:sz w:val="17"/>
            <w:szCs w:val="17"/>
            <w:color w:val="auto"/>
          </w:rPr>
          <w:t>Exhibit 4.2—</w:t>
        </w:r>
        <w:r>
          <w:rPr>
            <w:rFonts w:ascii="Arial" w:cs="Arial" w:eastAsia="Arial" w:hAnsi="Arial"/>
            <w:sz w:val="17"/>
            <w:szCs w:val="17"/>
            <w:u w:val="single" w:color="auto"/>
            <w:color w:val="0000EE"/>
          </w:rPr>
          <w:t>Second Supplemental Indenture dated as of June 26, 2020, by and among Schlumberger Investment SA, as issuer, Schlumberger</w:t>
        </w:r>
      </w:hyperlink>
      <w:r>
        <w:rPr>
          <w:rFonts w:ascii="Arial" w:cs="Arial" w:eastAsia="Arial" w:hAnsi="Arial"/>
          <w:sz w:val="17"/>
          <w:szCs w:val="17"/>
          <w:color w:val="auto"/>
        </w:rPr>
        <w:t xml:space="preserve"> </w:t>
      </w:r>
      <w:hyperlink r:id="rId51">
        <w:r>
          <w:rPr>
            <w:rFonts w:ascii="Arial" w:cs="Arial" w:eastAsia="Arial" w:hAnsi="Arial"/>
            <w:sz w:val="17"/>
            <w:szCs w:val="17"/>
            <w:u w:val="single" w:color="auto"/>
            <w:color w:val="0000EE"/>
          </w:rPr>
          <w:t>Limited, as guarantor, and The Bank of New York Mellon, as trustee (including form of global notes representing 2.650% Senior Notes due 2030)</w:t>
        </w:r>
      </w:hyperlink>
      <w:r>
        <w:rPr>
          <w:rFonts w:ascii="Arial" w:cs="Arial" w:eastAsia="Arial" w:hAnsi="Arial"/>
          <w:sz w:val="17"/>
          <w:szCs w:val="17"/>
          <w:u w:val="single" w:color="auto"/>
          <w:color w:val="0000EE"/>
        </w:rPr>
        <w:t xml:space="preserve"> </w:t>
      </w:r>
      <w:hyperlink r:id="rId51">
        <w:r>
          <w:rPr>
            <w:rFonts w:ascii="Arial" w:cs="Arial" w:eastAsia="Arial" w:hAnsi="Arial"/>
            <w:sz w:val="17"/>
            <w:szCs w:val="17"/>
            <w:u w:val="single" w:color="auto"/>
            <w:color w:val="0000EE"/>
          </w:rPr>
          <w:t>(incorporated by reference to Exhibit 4.1 to Schlumberger’s Current Report on Form 8-K filed on June 26, 2020)</w:t>
        </w:r>
      </w:hyperlink>
    </w:p>
    <w:p>
      <w:pPr>
        <w:spacing w:after="0" w:line="71" w:lineRule="exact"/>
        <w:rPr>
          <w:rFonts w:ascii="Arial" w:cs="Arial" w:eastAsia="Arial" w:hAnsi="Arial"/>
          <w:sz w:val="17"/>
          <w:szCs w:val="17"/>
          <w:color w:val="auto"/>
        </w:rPr>
      </w:pPr>
    </w:p>
    <w:p>
      <w:pPr>
        <w:ind w:left="580" w:hanging="131"/>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Exhibit 22—</w:t>
      </w:r>
      <w:hyperlink w:anchor="page33">
        <w:r>
          <w:rPr>
            <w:rFonts w:ascii="Arial" w:cs="Arial" w:eastAsia="Arial" w:hAnsi="Arial"/>
            <w:sz w:val="18"/>
            <w:szCs w:val="18"/>
            <w:u w:val="single" w:color="auto"/>
            <w:color w:val="0000EE"/>
          </w:rPr>
          <w:t>Issuer of Registered Guaranteed Debt Securities</w:t>
        </w:r>
      </w:hyperlink>
    </w:p>
    <w:p>
      <w:pPr>
        <w:spacing w:after="0" w:line="130" w:lineRule="exact"/>
        <w:rPr>
          <w:rFonts w:ascii="Arial" w:cs="Arial" w:eastAsia="Arial" w:hAnsi="Arial"/>
          <w:sz w:val="18"/>
          <w:szCs w:val="18"/>
          <w:color w:val="auto"/>
        </w:rPr>
      </w:pPr>
    </w:p>
    <w:p>
      <w:pPr>
        <w:ind w:left="440" w:right="80" w:firstLine="9"/>
        <w:spacing w:after="0" w:line="277" w:lineRule="auto"/>
        <w:tabs>
          <w:tab w:leader="none" w:pos="575" w:val="left"/>
        </w:tabs>
        <w:numPr>
          <w:ilvl w:val="0"/>
          <w:numId w:val="25"/>
        </w:numPr>
        <w:rPr>
          <w:rFonts w:ascii="Arial" w:cs="Arial" w:eastAsia="Arial" w:hAnsi="Arial"/>
          <w:sz w:val="18"/>
          <w:szCs w:val="18"/>
          <w:u w:val="single" w:color="auto"/>
          <w:color w:val="0000EE"/>
        </w:rPr>
      </w:pPr>
      <w:hyperlink w:anchor="page34">
        <w:r>
          <w:rPr>
            <w:rFonts w:ascii="Arial" w:cs="Arial" w:eastAsia="Arial" w:hAnsi="Arial"/>
            <w:sz w:val="18"/>
            <w:szCs w:val="18"/>
            <w:color w:val="auto"/>
          </w:rPr>
          <w:t>Exhibit 31.1—</w:t>
        </w:r>
        <w:r>
          <w:rPr>
            <w:rFonts w:ascii="Arial" w:cs="Arial" w:eastAsia="Arial" w:hAnsi="Arial"/>
            <w:sz w:val="18"/>
            <w:szCs w:val="18"/>
            <w:u w:val="single" w:color="auto"/>
            <w:color w:val="0000EE"/>
          </w:rPr>
          <w:t>Certification of Chief Executive Officer pursuant to Rule 13a-14(a) of the Securities Exchange Act of 1934, as amended, as adopted</w:t>
        </w:r>
      </w:hyperlink>
      <w:r>
        <w:rPr>
          <w:rFonts w:ascii="Arial" w:cs="Arial" w:eastAsia="Arial" w:hAnsi="Arial"/>
          <w:sz w:val="18"/>
          <w:szCs w:val="18"/>
          <w:color w:val="auto"/>
        </w:rPr>
        <w:t xml:space="preserve"> </w:t>
      </w:r>
      <w:hyperlink w:anchor="page34">
        <w:r>
          <w:rPr>
            <w:rFonts w:ascii="Arial" w:cs="Arial" w:eastAsia="Arial" w:hAnsi="Arial"/>
            <w:sz w:val="18"/>
            <w:szCs w:val="18"/>
            <w:u w:val="single" w:color="auto"/>
            <w:color w:val="0000EE"/>
          </w:rPr>
          <w:t>pursuant to Section 302 of the Sarbanes-Oxley Act of 2002</w:t>
        </w:r>
      </w:hyperlink>
    </w:p>
    <w:p>
      <w:pPr>
        <w:spacing w:after="0" w:line="75" w:lineRule="exact"/>
        <w:rPr>
          <w:rFonts w:ascii="Arial" w:cs="Arial" w:eastAsia="Arial" w:hAnsi="Arial"/>
          <w:sz w:val="18"/>
          <w:szCs w:val="18"/>
          <w:u w:val="single" w:color="auto"/>
          <w:color w:val="0000EE"/>
        </w:rPr>
      </w:pPr>
    </w:p>
    <w:p>
      <w:pPr>
        <w:ind w:left="440" w:right="120" w:firstLine="9"/>
        <w:spacing w:after="0" w:line="277" w:lineRule="auto"/>
        <w:tabs>
          <w:tab w:leader="none" w:pos="575" w:val="left"/>
        </w:tabs>
        <w:numPr>
          <w:ilvl w:val="0"/>
          <w:numId w:val="25"/>
        </w:numPr>
        <w:rPr>
          <w:rFonts w:ascii="Arial" w:cs="Arial" w:eastAsia="Arial" w:hAnsi="Arial"/>
          <w:sz w:val="18"/>
          <w:szCs w:val="18"/>
          <w:u w:val="single" w:color="auto"/>
          <w:color w:val="0000EE"/>
        </w:rPr>
      </w:pPr>
      <w:hyperlink w:anchor="page35">
        <w:r>
          <w:rPr>
            <w:rFonts w:ascii="Arial" w:cs="Arial" w:eastAsia="Arial" w:hAnsi="Arial"/>
            <w:sz w:val="18"/>
            <w:szCs w:val="18"/>
            <w:color w:val="auto"/>
          </w:rPr>
          <w:t>Exhibit 31.2—</w:t>
        </w:r>
        <w:r>
          <w:rPr>
            <w:rFonts w:ascii="Arial" w:cs="Arial" w:eastAsia="Arial" w:hAnsi="Arial"/>
            <w:sz w:val="18"/>
            <w:szCs w:val="18"/>
            <w:u w:val="single" w:color="auto"/>
            <w:color w:val="0000EE"/>
          </w:rPr>
          <w:t>Certification of Chief Financial Officer pursuant to Rule 13a-14(a) of the Securities Exchange Act of 1934, as amended, as adopted</w:t>
        </w:r>
      </w:hyperlink>
      <w:r>
        <w:rPr>
          <w:rFonts w:ascii="Arial" w:cs="Arial" w:eastAsia="Arial" w:hAnsi="Arial"/>
          <w:sz w:val="18"/>
          <w:szCs w:val="18"/>
          <w:color w:val="auto"/>
        </w:rPr>
        <w:t xml:space="preserve"> </w:t>
      </w:r>
      <w:hyperlink w:anchor="page35">
        <w:r>
          <w:rPr>
            <w:rFonts w:ascii="Arial" w:cs="Arial" w:eastAsia="Arial" w:hAnsi="Arial"/>
            <w:sz w:val="18"/>
            <w:szCs w:val="18"/>
            <w:u w:val="single" w:color="auto"/>
            <w:color w:val="0000EE"/>
          </w:rPr>
          <w:t>pursuant to Section 302 of the Sarbanes-Oxley Act of 2002</w:t>
        </w:r>
      </w:hyperlink>
    </w:p>
    <w:p>
      <w:pPr>
        <w:spacing w:after="0" w:line="76" w:lineRule="exact"/>
        <w:rPr>
          <w:rFonts w:ascii="Arial" w:cs="Arial" w:eastAsia="Arial" w:hAnsi="Arial"/>
          <w:sz w:val="18"/>
          <w:szCs w:val="18"/>
          <w:color w:val="auto"/>
        </w:rPr>
      </w:pPr>
    </w:p>
    <w:p>
      <w:pPr>
        <w:ind w:left="440" w:right="220" w:firstLine="9"/>
        <w:spacing w:after="0" w:line="277" w:lineRule="auto"/>
        <w:tabs>
          <w:tab w:leader="none" w:pos="665" w:val="left"/>
        </w:tabs>
        <w:numPr>
          <w:ilvl w:val="0"/>
          <w:numId w:val="26"/>
        </w:numPr>
        <w:rPr>
          <w:rFonts w:ascii="Arial" w:cs="Arial" w:eastAsia="Arial" w:hAnsi="Arial"/>
          <w:sz w:val="18"/>
          <w:szCs w:val="18"/>
          <w:u w:val="single" w:color="auto"/>
          <w:color w:val="0000EE"/>
        </w:rPr>
      </w:pPr>
      <w:hyperlink w:anchor="page36">
        <w:r>
          <w:rPr>
            <w:rFonts w:ascii="Arial" w:cs="Arial" w:eastAsia="Arial" w:hAnsi="Arial"/>
            <w:sz w:val="18"/>
            <w:szCs w:val="18"/>
            <w:color w:val="auto"/>
          </w:rPr>
          <w:t>Exhibit 32.1—</w:t>
        </w:r>
        <w:r>
          <w:rPr>
            <w:rFonts w:ascii="Arial" w:cs="Arial" w:eastAsia="Arial" w:hAnsi="Arial"/>
            <w:sz w:val="18"/>
            <w:szCs w:val="18"/>
            <w:u w:val="single" w:color="auto"/>
            <w:color w:val="0000EE"/>
          </w:rPr>
          <w:t>Certification of Chief Executive Officer pursuant to 18 U.S.C. Section 1350, as adopted pursuant to Section 906 of the Sarbanes-</w:t>
        </w:r>
      </w:hyperlink>
      <w:hyperlink w:anchor="page36">
        <w:r>
          <w:rPr>
            <w:rFonts w:ascii="Arial" w:cs="Arial" w:eastAsia="Arial" w:hAnsi="Arial"/>
            <w:sz w:val="18"/>
            <w:szCs w:val="18"/>
            <w:u w:val="single" w:color="auto"/>
            <w:color w:val="0000EE"/>
          </w:rPr>
          <w:t>Oxley Act of 2002</w:t>
        </w:r>
      </w:hyperlink>
    </w:p>
    <w:p>
      <w:pPr>
        <w:spacing w:after="0" w:line="75" w:lineRule="exact"/>
        <w:rPr>
          <w:rFonts w:ascii="Arial" w:cs="Arial" w:eastAsia="Arial" w:hAnsi="Arial"/>
          <w:sz w:val="18"/>
          <w:szCs w:val="18"/>
          <w:u w:val="single" w:color="auto"/>
          <w:color w:val="0000EE"/>
        </w:rPr>
      </w:pPr>
    </w:p>
    <w:p>
      <w:pPr>
        <w:ind w:left="440" w:right="260" w:firstLine="9"/>
        <w:spacing w:after="0" w:line="277" w:lineRule="auto"/>
        <w:tabs>
          <w:tab w:leader="none" w:pos="665" w:val="left"/>
        </w:tabs>
        <w:numPr>
          <w:ilvl w:val="0"/>
          <w:numId w:val="26"/>
        </w:numPr>
        <w:rPr>
          <w:rFonts w:ascii="Arial" w:cs="Arial" w:eastAsia="Arial" w:hAnsi="Arial"/>
          <w:sz w:val="18"/>
          <w:szCs w:val="18"/>
          <w:u w:val="single" w:color="auto"/>
          <w:color w:val="0000EE"/>
        </w:rPr>
      </w:pPr>
      <w:hyperlink w:anchor="page37">
        <w:r>
          <w:rPr>
            <w:rFonts w:ascii="Arial" w:cs="Arial" w:eastAsia="Arial" w:hAnsi="Arial"/>
            <w:sz w:val="18"/>
            <w:szCs w:val="18"/>
            <w:color w:val="auto"/>
          </w:rPr>
          <w:t>Exhibit 32.2—</w:t>
        </w:r>
        <w:r>
          <w:rPr>
            <w:rFonts w:ascii="Arial" w:cs="Arial" w:eastAsia="Arial" w:hAnsi="Arial"/>
            <w:sz w:val="18"/>
            <w:szCs w:val="18"/>
            <w:u w:val="single" w:color="auto"/>
            <w:color w:val="0000EE"/>
          </w:rPr>
          <w:t>Certification of Chief Financial Officer pursuant to 18 U.S.C. Section 1350, as adopted pursuant to Section 906 of the Sarbanes-</w:t>
        </w:r>
      </w:hyperlink>
      <w:hyperlink w:anchor="page37">
        <w:r>
          <w:rPr>
            <w:rFonts w:ascii="Arial" w:cs="Arial" w:eastAsia="Arial" w:hAnsi="Arial"/>
            <w:sz w:val="18"/>
            <w:szCs w:val="18"/>
            <w:u w:val="single" w:color="auto"/>
            <w:color w:val="0000EE"/>
          </w:rPr>
          <w:t>Oxley Act of 2002</w:t>
        </w:r>
      </w:hyperlink>
    </w:p>
    <w:p>
      <w:pPr>
        <w:spacing w:after="0" w:line="76" w:lineRule="exact"/>
        <w:rPr>
          <w:rFonts w:ascii="Arial" w:cs="Arial" w:eastAsia="Arial" w:hAnsi="Arial"/>
          <w:sz w:val="18"/>
          <w:szCs w:val="18"/>
          <w:color w:val="auto"/>
        </w:rPr>
      </w:pPr>
    </w:p>
    <w:p>
      <w:pPr>
        <w:ind w:left="580" w:hanging="131"/>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Exhibit 95—</w:t>
      </w:r>
      <w:hyperlink w:anchor="page38">
        <w:r>
          <w:rPr>
            <w:rFonts w:ascii="Arial" w:cs="Arial" w:eastAsia="Arial" w:hAnsi="Arial"/>
            <w:sz w:val="18"/>
            <w:szCs w:val="18"/>
            <w:u w:val="single" w:color="auto"/>
            <w:color w:val="0000EE"/>
          </w:rPr>
          <w:t>Mine Safety Disclosures</w:t>
        </w:r>
      </w:hyperlink>
    </w:p>
    <w:p>
      <w:pPr>
        <w:spacing w:after="0" w:line="130" w:lineRule="exact"/>
        <w:rPr>
          <w:rFonts w:ascii="Arial" w:cs="Arial" w:eastAsia="Arial" w:hAnsi="Arial"/>
          <w:sz w:val="18"/>
          <w:szCs w:val="18"/>
          <w:color w:val="auto"/>
        </w:rPr>
      </w:pPr>
    </w:p>
    <w:p>
      <w:pPr>
        <w:ind w:left="440" w:right="240" w:firstLine="9"/>
        <w:spacing w:after="0" w:line="277" w:lineRule="auto"/>
        <w:tabs>
          <w:tab w:leader="none" w:pos="575"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Exhibit 101.INS—Inline XBRL Instance Document – the instance document does not appear in the Interactive Data File because XBRL tags are embedded within the Inline XBRL document</w:t>
      </w:r>
    </w:p>
    <w:p>
      <w:pPr>
        <w:spacing w:after="0" w:line="75" w:lineRule="exact"/>
        <w:rPr>
          <w:rFonts w:ascii="Arial" w:cs="Arial" w:eastAsia="Arial" w:hAnsi="Arial"/>
          <w:sz w:val="18"/>
          <w:szCs w:val="18"/>
          <w:color w:val="auto"/>
        </w:rPr>
      </w:pPr>
    </w:p>
    <w:p>
      <w:pPr>
        <w:ind w:left="580" w:hanging="131"/>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Exhibit 101.SCH—Inline XBRL Taxonomy Extension Schema Document</w:t>
      </w:r>
    </w:p>
    <w:p>
      <w:pPr>
        <w:spacing w:after="0" w:line="130" w:lineRule="exact"/>
        <w:rPr>
          <w:rFonts w:ascii="Arial" w:cs="Arial" w:eastAsia="Arial" w:hAnsi="Arial"/>
          <w:sz w:val="18"/>
          <w:szCs w:val="18"/>
          <w:color w:val="auto"/>
        </w:rPr>
      </w:pPr>
    </w:p>
    <w:p>
      <w:pPr>
        <w:ind w:left="580" w:hanging="131"/>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Exhibit 101.CAL—Inline XBRL Taxonomy Extension Calculation Linkbase Document</w:t>
      </w:r>
    </w:p>
    <w:p>
      <w:pPr>
        <w:spacing w:after="0" w:line="130" w:lineRule="exact"/>
        <w:rPr>
          <w:rFonts w:ascii="Arial" w:cs="Arial" w:eastAsia="Arial" w:hAnsi="Arial"/>
          <w:sz w:val="18"/>
          <w:szCs w:val="18"/>
          <w:color w:val="auto"/>
        </w:rPr>
      </w:pPr>
    </w:p>
    <w:p>
      <w:pPr>
        <w:ind w:left="580" w:hanging="131"/>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Exhibit 101.DEF—Inline XBRL Taxonomy Extension Definition Linkbase Document</w:t>
      </w:r>
    </w:p>
    <w:p>
      <w:pPr>
        <w:spacing w:after="0" w:line="130" w:lineRule="exact"/>
        <w:rPr>
          <w:rFonts w:ascii="Arial" w:cs="Arial" w:eastAsia="Arial" w:hAnsi="Arial"/>
          <w:sz w:val="18"/>
          <w:szCs w:val="18"/>
          <w:color w:val="auto"/>
        </w:rPr>
      </w:pPr>
    </w:p>
    <w:p>
      <w:pPr>
        <w:ind w:left="580" w:hanging="131"/>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Exhibit 101.LAB—Inline XBRL Taxonomy Extension Label Linkbase Document</w:t>
      </w:r>
    </w:p>
    <w:p>
      <w:pPr>
        <w:spacing w:after="0" w:line="130" w:lineRule="exact"/>
        <w:rPr>
          <w:rFonts w:ascii="Arial" w:cs="Arial" w:eastAsia="Arial" w:hAnsi="Arial"/>
          <w:sz w:val="18"/>
          <w:szCs w:val="18"/>
          <w:color w:val="auto"/>
        </w:rPr>
      </w:pPr>
    </w:p>
    <w:p>
      <w:pPr>
        <w:ind w:left="580" w:hanging="131"/>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Exhibit 101.PRE—Inline XBRL Taxonomy Extension Presentation Linkbase Document</w:t>
      </w:r>
    </w:p>
    <w:p>
      <w:pPr>
        <w:spacing w:after="0" w:line="131" w:lineRule="exact"/>
        <w:rPr>
          <w:rFonts w:ascii="Arial" w:cs="Arial" w:eastAsia="Arial" w:hAnsi="Arial"/>
          <w:sz w:val="18"/>
          <w:szCs w:val="18"/>
          <w:color w:val="auto"/>
        </w:rPr>
      </w:pPr>
    </w:p>
    <w:p>
      <w:pPr>
        <w:ind w:left="440"/>
        <w:spacing w:after="0"/>
        <w:rPr>
          <w:sz w:val="20"/>
          <w:szCs w:val="20"/>
          <w:color w:val="auto"/>
        </w:rPr>
      </w:pPr>
      <w:r>
        <w:rPr>
          <w:rFonts w:ascii="Arial" w:cs="Arial" w:eastAsia="Arial" w:hAnsi="Arial"/>
          <w:sz w:val="18"/>
          <w:szCs w:val="18"/>
          <w:color w:val="auto"/>
        </w:rPr>
        <w:t>Exhibit 104—Cover Page Interactive Data File (embedded within the Inline XBRL document)</w:t>
      </w:r>
    </w:p>
    <w:p>
      <w:pPr>
        <w:spacing w:after="0" w:line="374" w:lineRule="exact"/>
        <w:rPr>
          <w:rFonts w:ascii="Arial" w:cs="Arial" w:eastAsia="Arial" w:hAnsi="Arial"/>
          <w:sz w:val="18"/>
          <w:szCs w:val="18"/>
          <w:color w:val="auto"/>
        </w:rPr>
      </w:pPr>
    </w:p>
    <w:p>
      <w:pPr>
        <w:ind w:left="440"/>
        <w:spacing w:after="0"/>
        <w:rPr>
          <w:sz w:val="20"/>
          <w:szCs w:val="20"/>
          <w:color w:val="auto"/>
        </w:rPr>
      </w:pPr>
      <w:r>
        <w:rPr>
          <w:rFonts w:ascii="Arial" w:cs="Arial" w:eastAsia="Arial" w:hAnsi="Arial"/>
          <w:sz w:val="18"/>
          <w:szCs w:val="18"/>
          <w:color w:val="auto"/>
        </w:rPr>
        <w:t>* Filed with this Form 10-Q.</w:t>
      </w:r>
    </w:p>
    <w:p>
      <w:pPr>
        <w:spacing w:after="0" w:line="23" w:lineRule="exact"/>
        <w:rPr>
          <w:rFonts w:ascii="Arial" w:cs="Arial" w:eastAsia="Arial" w:hAnsi="Arial"/>
          <w:sz w:val="18"/>
          <w:szCs w:val="18"/>
          <w:color w:val="auto"/>
        </w:rPr>
      </w:pPr>
    </w:p>
    <w:p>
      <w:pPr>
        <w:ind w:left="440"/>
        <w:spacing w:after="0"/>
        <w:rPr>
          <w:sz w:val="20"/>
          <w:szCs w:val="20"/>
          <w:color w:val="auto"/>
        </w:rPr>
      </w:pPr>
      <w:r>
        <w:rPr>
          <w:rFonts w:ascii="Arial" w:cs="Arial" w:eastAsia="Arial" w:hAnsi="Arial"/>
          <w:sz w:val="18"/>
          <w:szCs w:val="18"/>
          <w:color w:val="auto"/>
        </w:rPr>
        <w:t>** Furnished with this Form 10-Q.</w:t>
      </w:r>
    </w:p>
    <w:p>
      <w:pPr>
        <w:spacing w:after="0" w:line="211" w:lineRule="exact"/>
        <w:rPr>
          <w:rFonts w:ascii="Arial" w:cs="Arial" w:eastAsia="Arial" w:hAnsi="Arial"/>
          <w:sz w:val="18"/>
          <w:szCs w:val="18"/>
          <w:color w:val="auto"/>
        </w:rPr>
      </w:pPr>
    </w:p>
    <w:p>
      <w:pPr>
        <w:jc w:val="both"/>
        <w:ind w:left="420"/>
        <w:spacing w:after="0" w:line="259" w:lineRule="auto"/>
        <w:rPr>
          <w:sz w:val="20"/>
          <w:szCs w:val="20"/>
          <w:color w:val="auto"/>
        </w:rPr>
      </w:pPr>
      <w:r>
        <w:rPr>
          <w:rFonts w:ascii="Arial" w:cs="Arial" w:eastAsia="Arial" w:hAnsi="Arial"/>
          <w:sz w:val="18"/>
          <w:szCs w:val="18"/>
          <w:color w:val="auto"/>
        </w:rPr>
        <w:t>The Exhibits filed herewith do not include certain instruments with respect to long-term debt of Schlumberger Limited and its subsidiaries, inasmuch as the total amount of debt authorized under any such instrument does not exceed 10 percent of the total assets of Schlumberger Limited and its subsidiaries on a consolidated basis. Schlumberger agrees, pursuant to Item 601(b)(4)(iii) of Regulation S-K, that it will furnish a copy of any such instrument to the SEC upon request.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6"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and in his capacity as Chief Accounting Officer.</w:t>
      </w:r>
    </w:p>
    <w:p>
      <w:pPr>
        <w:spacing w:after="0" w:line="170"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Schlumberger Limited</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780" w:val="left"/>
          <w:tab w:leader="none" w:pos="61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29, 2020</w:t>
      </w:r>
      <w:r>
        <w:rPr>
          <w:sz w:val="20"/>
          <w:szCs w:val="20"/>
          <w:color w:val="auto"/>
        </w:rPr>
        <w:tab/>
      </w:r>
      <w:r>
        <w:rPr>
          <w:rFonts w:ascii="Arial" w:cs="Arial" w:eastAsia="Arial" w:hAnsi="Arial"/>
          <w:sz w:val="16"/>
          <w:szCs w:val="16"/>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14605</wp:posOffset>
            </wp:positionV>
            <wp:extent cx="28543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17" w:lineRule="exact"/>
        <w:rPr>
          <w:sz w:val="20"/>
          <w:szCs w:val="20"/>
          <w:color w:val="auto"/>
        </w:rPr>
      </w:pPr>
    </w:p>
    <w:p>
      <w:pPr>
        <w:ind w:left="6180"/>
        <w:spacing w:after="0"/>
        <w:rPr>
          <w:sz w:val="20"/>
          <w:szCs w:val="20"/>
          <w:color w:val="auto"/>
        </w:rPr>
      </w:pPr>
      <w:r>
        <w:rPr>
          <w:rFonts w:ascii="Arial" w:cs="Arial" w:eastAsia="Arial" w:hAnsi="Arial"/>
          <w:sz w:val="16"/>
          <w:szCs w:val="16"/>
          <w:b w:val="1"/>
          <w:bCs w:val="1"/>
          <w:color w:val="auto"/>
        </w:rPr>
        <w:t>Howard Guild</w:t>
      </w:r>
    </w:p>
    <w:p>
      <w:pPr>
        <w:spacing w:after="0" w:line="26" w:lineRule="exact"/>
        <w:rPr>
          <w:sz w:val="20"/>
          <w:szCs w:val="20"/>
          <w:color w:val="auto"/>
        </w:rPr>
      </w:pPr>
    </w:p>
    <w:p>
      <w:pPr>
        <w:ind w:left="6180"/>
        <w:spacing w:after="0"/>
        <w:rPr>
          <w:sz w:val="20"/>
          <w:szCs w:val="20"/>
          <w:color w:val="auto"/>
        </w:rPr>
      </w:pPr>
      <w:r>
        <w:rPr>
          <w:rFonts w:ascii="Arial" w:cs="Arial" w:eastAsia="Arial" w:hAnsi="Arial"/>
          <w:sz w:val="16"/>
          <w:szCs w:val="16"/>
          <w:b w:val="1"/>
          <w:bCs w:val="1"/>
          <w:color w:val="auto"/>
        </w:rPr>
        <w:t>Chief Accounting Officer and Duly Authorized Signatory</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25"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u w:val="single" w:color="auto"/>
          <w:color w:val="auto"/>
        </w:rPr>
        <w:t>Exhibit 22</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b w:val="1"/>
          <w:bCs w:val="1"/>
          <w:u w:val="single" w:color="auto"/>
          <w:color w:val="auto"/>
        </w:rPr>
        <w:t>Issuer of Registered Guaranteed Debt Securities</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 xml:space="preserve">Schlumberger Investment SA, a </w:t>
      </w:r>
      <w:r>
        <w:rPr>
          <w:rFonts w:ascii="Arial" w:cs="Arial" w:eastAsia="Arial" w:hAnsi="Arial"/>
          <w:sz w:val="18"/>
          <w:szCs w:val="18"/>
          <w:i w:val="1"/>
          <w:iCs w:val="1"/>
          <w:color w:val="auto"/>
        </w:rPr>
        <w:t>société anonyme</w:t>
      </w:r>
      <w:r>
        <w:rPr>
          <w:rFonts w:ascii="Arial" w:cs="Arial" w:eastAsia="Arial" w:hAnsi="Arial"/>
          <w:sz w:val="18"/>
          <w:szCs w:val="18"/>
          <w:color w:val="auto"/>
        </w:rPr>
        <w:t xml:space="preserve"> incorporated under the laws of the Grand Duchy of Luxembourg (“SISA”), is an indirect wholly-owned subsidiary of Schlumberger Limited (the “Guarantor”).</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June 30, 2020, SISA was the issuer of its 3.650% Senior Notes due 2023 and 2.650% Senior Notes due 2030 (together, the “Notes”). The Guarantor fully and unconditionally guarantees the Notes on a senior unsecured basis.</w:t>
      </w:r>
    </w:p>
    <w:p>
      <w:pPr>
        <w:sectPr>
          <w:pgSz w:w="11900" w:h="16838" w:orient="portrait"/>
          <w:cols w:equalWidth="0" w:num="1">
            <w:col w:w="10380"/>
          </w:cols>
          <w:pgMar w:left="320" w:top="337" w:right="119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Olivier Le Peuch, certify that:</w:t>
      </w:r>
    </w:p>
    <w:p>
      <w:pPr>
        <w:spacing w:after="0" w:line="117" w:lineRule="exact"/>
        <w:rPr>
          <w:sz w:val="20"/>
          <w:szCs w:val="20"/>
          <w:color w:val="auto"/>
        </w:rPr>
      </w:pPr>
    </w:p>
    <w:p>
      <w:pPr>
        <w:ind w:left="560" w:hanging="178"/>
        <w:spacing w:after="0"/>
        <w:tabs>
          <w:tab w:leader="none" w:pos="5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N.V. (Schlumberger Limited);</w:t>
      </w:r>
    </w:p>
    <w:p>
      <w:pPr>
        <w:spacing w:after="0" w:line="117" w:lineRule="exact"/>
        <w:rPr>
          <w:rFonts w:ascii="Arial" w:cs="Arial" w:eastAsia="Arial" w:hAnsi="Arial"/>
          <w:sz w:val="18"/>
          <w:szCs w:val="18"/>
          <w:color w:val="auto"/>
        </w:rPr>
      </w:pPr>
    </w:p>
    <w:p>
      <w:pPr>
        <w:ind w:firstLine="382"/>
        <w:spacing w:after="0" w:line="342" w:lineRule="auto"/>
        <w:tabs>
          <w:tab w:leader="none" w:pos="561"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firstLine="382"/>
        <w:spacing w:after="0" w:line="277" w:lineRule="auto"/>
        <w:tabs>
          <w:tab w:leader="none" w:pos="562"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firstLine="382"/>
        <w:spacing w:after="0" w:line="263" w:lineRule="auto"/>
        <w:tabs>
          <w:tab w:leader="none" w:pos="573"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100" w:hanging="498"/>
        <w:spacing w:after="0" w:line="263" w:lineRule="auto"/>
        <w:tabs>
          <w:tab w:leader="none" w:pos="11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100" w:hanging="498"/>
        <w:spacing w:after="0" w:line="263" w:lineRule="auto"/>
        <w:tabs>
          <w:tab w:leader="none" w:pos="11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100" w:hanging="498"/>
        <w:spacing w:after="0" w:line="342" w:lineRule="auto"/>
        <w:tabs>
          <w:tab w:leader="none" w:pos="11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100" w:hanging="498"/>
        <w:spacing w:after="0" w:line="263" w:lineRule="auto"/>
        <w:tabs>
          <w:tab w:leader="none" w:pos="11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firstLine="382"/>
        <w:spacing w:after="0" w:line="308" w:lineRule="auto"/>
        <w:tabs>
          <w:tab w:leader="none" w:pos="558"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00" w:hanging="498"/>
        <w:spacing w:after="0" w:line="308" w:lineRule="auto"/>
        <w:tabs>
          <w:tab w:leader="none" w:pos="1100" w:val="left"/>
        </w:tabs>
        <w:numPr>
          <w:ilvl w:val="1"/>
          <w:numId w:val="2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100" w:hanging="498"/>
        <w:spacing w:after="0" w:line="277" w:lineRule="auto"/>
        <w:tabs>
          <w:tab w:leader="none" w:pos="11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Date: July 29, 2020</w:t>
            </w: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Olivier Le Peuch</w:t>
            </w:r>
          </w:p>
        </w:tc>
      </w:tr>
      <w:tr>
        <w:trPr>
          <w:trHeight w:val="195"/>
        </w:trPr>
        <w:tc>
          <w:tcPr>
            <w:tcW w:w="6740" w:type="dxa"/>
            <w:vAlign w:val="bottom"/>
          </w:tcPr>
          <w:p>
            <w:pPr>
              <w:spacing w:after="0"/>
              <w:rPr>
                <w:sz w:val="16"/>
                <w:szCs w:val="16"/>
                <w:color w:val="auto"/>
              </w:rPr>
            </w:pPr>
          </w:p>
        </w:tc>
        <w:tc>
          <w:tcPr>
            <w:tcW w:w="4500" w:type="dxa"/>
            <w:vAlign w:val="bottom"/>
          </w:tcPr>
          <w:p>
            <w:pPr>
              <w:spacing w:after="0" w:line="195" w:lineRule="exact"/>
              <w:rPr>
                <w:sz w:val="20"/>
                <w:szCs w:val="20"/>
                <w:color w:val="auto"/>
              </w:rPr>
            </w:pPr>
            <w:r>
              <w:rPr>
                <w:rFonts w:ascii="Arial" w:cs="Arial" w:eastAsia="Arial" w:hAnsi="Arial"/>
                <w:sz w:val="18"/>
                <w:szCs w:val="18"/>
                <w:color w:val="auto"/>
              </w:rPr>
              <w:t>Olivier Le Peuch</w:t>
            </w:r>
          </w:p>
        </w:tc>
      </w:tr>
      <w:tr>
        <w:trPr>
          <w:trHeight w:val="230"/>
        </w:trPr>
        <w:tc>
          <w:tcPr>
            <w:tcW w:w="674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553"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Stephane Biguet, certify that:</w:t>
      </w:r>
    </w:p>
    <w:p>
      <w:pPr>
        <w:spacing w:after="0" w:line="117" w:lineRule="exact"/>
        <w:rPr>
          <w:sz w:val="20"/>
          <w:szCs w:val="20"/>
          <w:color w:val="auto"/>
        </w:rPr>
      </w:pPr>
    </w:p>
    <w:p>
      <w:pPr>
        <w:ind w:left="560" w:hanging="178"/>
        <w:spacing w:after="0"/>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N.V. (Schlumberger Limited);</w:t>
      </w:r>
    </w:p>
    <w:p>
      <w:pPr>
        <w:spacing w:after="0" w:line="117" w:lineRule="exact"/>
        <w:rPr>
          <w:rFonts w:ascii="Arial" w:cs="Arial" w:eastAsia="Arial" w:hAnsi="Arial"/>
          <w:sz w:val="18"/>
          <w:szCs w:val="18"/>
          <w:color w:val="auto"/>
        </w:rPr>
      </w:pPr>
    </w:p>
    <w:p>
      <w:pPr>
        <w:ind w:firstLine="382"/>
        <w:spacing w:after="0" w:line="342" w:lineRule="auto"/>
        <w:tabs>
          <w:tab w:leader="none" w:pos="561"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firstLine="382"/>
        <w:spacing w:after="0" w:line="277" w:lineRule="auto"/>
        <w:tabs>
          <w:tab w:leader="none" w:pos="562"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firstLine="382"/>
        <w:spacing w:after="0" w:line="263" w:lineRule="auto"/>
        <w:tabs>
          <w:tab w:leader="none" w:pos="573"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100" w:hanging="498"/>
        <w:spacing w:after="0" w:line="263" w:lineRule="auto"/>
        <w:tabs>
          <w:tab w:leader="none" w:pos="11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100" w:hanging="498"/>
        <w:spacing w:after="0" w:line="263" w:lineRule="auto"/>
        <w:tabs>
          <w:tab w:leader="none" w:pos="11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100" w:hanging="498"/>
        <w:spacing w:after="0" w:line="342" w:lineRule="auto"/>
        <w:tabs>
          <w:tab w:leader="none" w:pos="11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100" w:hanging="498"/>
        <w:spacing w:after="0" w:line="263" w:lineRule="auto"/>
        <w:tabs>
          <w:tab w:leader="none" w:pos="11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firstLine="382"/>
        <w:spacing w:after="0" w:line="308" w:lineRule="auto"/>
        <w:tabs>
          <w:tab w:leader="none" w:pos="558"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00" w:hanging="498"/>
        <w:spacing w:after="0" w:line="308" w:lineRule="auto"/>
        <w:tabs>
          <w:tab w:leader="none" w:pos="1100" w:val="left"/>
        </w:tabs>
        <w:numPr>
          <w:ilvl w:val="1"/>
          <w:numId w:val="2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100" w:hanging="498"/>
        <w:spacing w:after="0" w:line="277" w:lineRule="auto"/>
        <w:tabs>
          <w:tab w:leader="none" w:pos="11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Date: July 29, 2020</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Stephane Biguet</w:t>
            </w:r>
          </w:p>
        </w:tc>
      </w:tr>
      <w:tr>
        <w:trPr>
          <w:trHeight w:val="195"/>
        </w:trPr>
        <w:tc>
          <w:tcPr>
            <w:tcW w:w="6760" w:type="dxa"/>
            <w:vAlign w:val="bottom"/>
          </w:tcPr>
          <w:p>
            <w:pPr>
              <w:spacing w:after="0"/>
              <w:rPr>
                <w:sz w:val="16"/>
                <w:szCs w:val="16"/>
                <w:color w:val="auto"/>
              </w:rPr>
            </w:pP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Stephane Biguet</w:t>
            </w:r>
          </w:p>
        </w:tc>
      </w:tr>
      <w:tr>
        <w:trPr>
          <w:trHeight w:val="230"/>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bl>
    <w:p>
      <w:pPr>
        <w:sectPr>
          <w:pgSz w:w="11900" w:h="16838" w:orient="portrait"/>
          <w:cols w:equalWidth="0" w:num="1">
            <w:col w:w="11240"/>
          </w:cols>
          <w:pgMar w:left="320" w:top="553"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Schlumberger N.V. (Schlumberger Limited) (the “Company”) for the quarterly period ended June 30, 2020 as filed with the Securities and Exchange Commission on the date hereof (the “Report”), I, Olivier Le Peuch, Chief Executive Officer of the Company, certify, pursuant to 18 U.S.C. § 1350, as adopted pursuant to § 906 of the Sarbanes-Oxley Act of 2002, that:</w:t>
      </w:r>
    </w:p>
    <w:p>
      <w:pPr>
        <w:spacing w:after="0" w:line="57" w:lineRule="exact"/>
        <w:rPr>
          <w:sz w:val="20"/>
          <w:szCs w:val="20"/>
          <w:color w:val="auto"/>
        </w:rPr>
      </w:pPr>
    </w:p>
    <w:p>
      <w:pPr>
        <w:ind w:left="1000" w:hanging="493"/>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Date: July 29, 2020</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Olivier Le Peuch</w:t>
            </w:r>
          </w:p>
        </w:tc>
      </w:tr>
      <w:tr>
        <w:trPr>
          <w:trHeight w:val="195"/>
        </w:trPr>
        <w:tc>
          <w:tcPr>
            <w:tcW w:w="5340" w:type="dxa"/>
            <w:vAlign w:val="bottom"/>
          </w:tcPr>
          <w:p>
            <w:pPr>
              <w:spacing w:after="0"/>
              <w:rPr>
                <w:sz w:val="16"/>
                <w:szCs w:val="16"/>
                <w:color w:val="auto"/>
              </w:rPr>
            </w:pP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Olivier Le Peuch</w:t>
            </w:r>
          </w:p>
        </w:tc>
      </w:tr>
      <w:tr>
        <w:trPr>
          <w:trHeight w:val="230"/>
        </w:trPr>
        <w:tc>
          <w:tcPr>
            <w:tcW w:w="534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4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240"/>
          </w:cols>
          <w:pgMar w:left="320" w:top="553"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Quarterly Report on Form 10-Q of Schlumberger N.V. (Schlumberger Limited) (the “Company”) for the quarterly period ended June 30, 2020 as filed with the Securities and Exchange Commission on the date hereof (the “Report”), I, Stephane Biguet, Executive Vice President and Chief Financial Officer of the Company, certify, pursuant to 18 U.S.C. § 1350, as adopted pursuant to § 906 of the Sarbanes-Oxley Act of 2002, that:</w:t>
      </w:r>
    </w:p>
    <w:p>
      <w:pPr>
        <w:spacing w:after="0" w:line="41" w:lineRule="exact"/>
        <w:rPr>
          <w:sz w:val="20"/>
          <w:szCs w:val="20"/>
          <w:color w:val="auto"/>
        </w:rPr>
      </w:pPr>
    </w:p>
    <w:p>
      <w:pPr>
        <w:ind w:left="1000" w:hanging="493"/>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Date: July 29, 2020</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Stephane Biguet</w:t>
            </w:r>
          </w:p>
        </w:tc>
      </w:tr>
      <w:tr>
        <w:trPr>
          <w:trHeight w:val="195"/>
        </w:trPr>
        <w:tc>
          <w:tcPr>
            <w:tcW w:w="5340" w:type="dxa"/>
            <w:vAlign w:val="bottom"/>
          </w:tcPr>
          <w:p>
            <w:pPr>
              <w:spacing w:after="0"/>
              <w:rPr>
                <w:sz w:val="16"/>
                <w:szCs w:val="16"/>
                <w:color w:val="auto"/>
              </w:rPr>
            </w:pP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Stephane Biguet</w:t>
            </w:r>
          </w:p>
        </w:tc>
      </w:tr>
      <w:tr>
        <w:trPr>
          <w:trHeight w:val="230"/>
        </w:trPr>
        <w:tc>
          <w:tcPr>
            <w:tcW w:w="534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bl>
    <w:p>
      <w:pPr>
        <w:spacing w:after="0" w:line="24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240"/>
          </w:cols>
          <w:pgMar w:left="320" w:top="553"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u w:val="single" w:color="auto"/>
          <w:color w:val="auto"/>
        </w:rPr>
        <w:t>Exhibit 95</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w:t>
      </w:r>
    </w:p>
    <w:p>
      <w:pPr>
        <w:spacing w:after="0" w:line="256"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following disclosure is provided pursuant to Section 1503(a) of the Dodd-Frank Wall Street Reform and Consumer Protection Act, which requires certain disclosures by companies required to file periodic reports under the Securities Exchange Act of 1934, as amended, that operate mines regulated under the Federal Mine Safety and Health Act of 1977.</w:t>
      </w:r>
    </w:p>
    <w:p>
      <w:pPr>
        <w:spacing w:after="0" w:line="184"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The table that follows reflects citations, orders, violations and proposed assessments issued by the Mine Safety and Health Administration (the “MSHA”) to indirect subsidiaries of Schlumberger. The disclosure is with respect to the three months ended June 30, 2020. Due to timing and other factors, the data may not agree with the mine data retrieval system maintained by the MSHA at www.MSHA.gov.</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Three Months Ended June 30, 2020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whole dollars</w:t>
      </w:r>
      <w:r>
        <w:rPr>
          <w:rFonts w:ascii="Arial" w:cs="Arial" w:eastAsia="Arial" w:hAnsi="Arial"/>
          <w:sz w:val="18"/>
          <w:szCs w:val="18"/>
          <w:color w:val="auto"/>
        </w:rPr>
        <w:t>)</w:t>
      </w:r>
    </w:p>
    <w:p>
      <w:pPr>
        <w:spacing w:after="0" w:line="210" w:lineRule="exact"/>
        <w:rPr>
          <w:sz w:val="20"/>
          <w:szCs w:val="20"/>
          <w:color w:val="auto"/>
        </w:rPr>
      </w:pPr>
    </w:p>
    <w:tbl>
      <w:tblPr>
        <w:tblLayout w:type="fixed"/>
        <w:tblInd w:w="220" w:type="dxa"/>
        <w:tblCellMar>
          <w:top w:w="0" w:type="dxa"/>
          <w:left w:w="0" w:type="dxa"/>
          <w:bottom w:w="0" w:type="dxa"/>
          <w:right w:w="0" w:type="dxa"/>
        </w:tblCellMar>
      </w:tblPr>
      <w:tr>
        <w:trPr>
          <w:trHeight w:val="149"/>
        </w:trPr>
        <w:tc>
          <w:tcPr>
            <w:tcW w:w="1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88"/>
              </w:rPr>
              <w:t>Received</w:t>
            </w: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color w:val="auto"/>
                <w:w w:val="84"/>
              </w:rPr>
              <w:t>Received</w:t>
            </w:r>
          </w:p>
        </w:tc>
        <w:tc>
          <w:tcPr>
            <w:tcW w:w="720" w:type="dxa"/>
            <w:vAlign w:val="bottom"/>
          </w:tcPr>
          <w:p>
            <w:pPr>
              <w:jc w:val="center"/>
              <w:spacing w:after="0" w:line="135" w:lineRule="exact"/>
              <w:rPr>
                <w:sz w:val="20"/>
                <w:szCs w:val="20"/>
                <w:color w:val="auto"/>
              </w:rPr>
            </w:pPr>
            <w:r>
              <w:rPr>
                <w:rFonts w:ascii="Arial" w:cs="Arial" w:eastAsia="Arial" w:hAnsi="Arial"/>
                <w:sz w:val="13"/>
                <w:szCs w:val="13"/>
                <w:color w:val="auto"/>
                <w:w w:val="93"/>
              </w:rPr>
              <w:t>Notice of</w:t>
            </w: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color w:val="auto"/>
                <w:w w:val="89"/>
              </w:rPr>
              <w:t>Notice of</w:t>
            </w:r>
          </w:p>
        </w:tc>
        <w:tc>
          <w:tcPr>
            <w:tcW w:w="720" w:type="dxa"/>
            <w:vAlign w:val="bottom"/>
          </w:tcPr>
          <w:p>
            <w:pPr>
              <w:jc w:val="center"/>
              <w:spacing w:after="0" w:line="135" w:lineRule="exact"/>
              <w:rPr>
                <w:sz w:val="20"/>
                <w:szCs w:val="20"/>
                <w:color w:val="auto"/>
              </w:rPr>
            </w:pPr>
            <w:r>
              <w:rPr>
                <w:rFonts w:ascii="Arial" w:cs="Arial" w:eastAsia="Arial" w:hAnsi="Arial"/>
                <w:sz w:val="13"/>
                <w:szCs w:val="13"/>
                <w:color w:val="auto"/>
                <w:w w:val="86"/>
              </w:rPr>
              <w:t>Potential to</w:t>
            </w: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color w:val="auto"/>
                <w:w w:val="88"/>
              </w:rPr>
              <w:t>Pattern of</w:t>
            </w:r>
          </w:p>
        </w:tc>
        <w:tc>
          <w:tcPr>
            <w:tcW w:w="720" w:type="dxa"/>
            <w:vAlign w:val="bottom"/>
          </w:tcPr>
          <w:p>
            <w:pPr>
              <w:jc w:val="center"/>
              <w:spacing w:after="0" w:line="135" w:lineRule="exact"/>
              <w:rPr>
                <w:sz w:val="20"/>
                <w:szCs w:val="20"/>
                <w:color w:val="auto"/>
              </w:rPr>
            </w:pPr>
            <w:r>
              <w:rPr>
                <w:rFonts w:ascii="Arial" w:cs="Arial" w:eastAsia="Arial" w:hAnsi="Arial"/>
                <w:sz w:val="13"/>
                <w:szCs w:val="13"/>
                <w:color w:val="auto"/>
                <w:w w:val="92"/>
              </w:rPr>
              <w:t>Have</w:t>
            </w:r>
          </w:p>
        </w:tc>
        <w:tc>
          <w:tcPr>
            <w:tcW w:w="660" w:type="dxa"/>
            <w:vAlign w:val="bottom"/>
          </w:tcPr>
          <w:p>
            <w:pPr>
              <w:jc w:val="center"/>
              <w:spacing w:after="0" w:line="135" w:lineRule="exact"/>
              <w:rPr>
                <w:sz w:val="20"/>
                <w:szCs w:val="20"/>
                <w:color w:val="auto"/>
              </w:rPr>
            </w:pPr>
            <w:r>
              <w:rPr>
                <w:rFonts w:ascii="Arial" w:cs="Arial" w:eastAsia="Arial" w:hAnsi="Arial"/>
                <w:sz w:val="13"/>
                <w:szCs w:val="13"/>
                <w:color w:val="auto"/>
                <w:w w:val="94"/>
              </w:rPr>
              <w:t>Legal</w:t>
            </w: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color w:val="auto"/>
                <w:w w:val="89"/>
              </w:rPr>
              <w:t>Total</w:t>
            </w:r>
          </w:p>
        </w:tc>
        <w:tc>
          <w:tcPr>
            <w:tcW w:w="660" w:type="dxa"/>
            <w:vAlign w:val="bottom"/>
          </w:tcPr>
          <w:p>
            <w:pPr>
              <w:jc w:val="center"/>
              <w:spacing w:after="0" w:line="135" w:lineRule="exact"/>
              <w:rPr>
                <w:sz w:val="20"/>
                <w:szCs w:val="20"/>
                <w:color w:val="auto"/>
              </w:rPr>
            </w:pPr>
            <w:r>
              <w:rPr>
                <w:rFonts w:ascii="Arial" w:cs="Arial" w:eastAsia="Arial" w:hAnsi="Arial"/>
                <w:sz w:val="13"/>
                <w:szCs w:val="13"/>
                <w:color w:val="auto"/>
                <w:w w:val="92"/>
              </w:rPr>
              <w:t>Violations</w:t>
            </w:r>
          </w:p>
        </w:tc>
        <w:tc>
          <w:tcPr>
            <w:tcW w:w="720" w:type="dxa"/>
            <w:vAlign w:val="bottom"/>
          </w:tcPr>
          <w:p>
            <w:pPr>
              <w:jc w:val="center"/>
              <w:spacing w:after="0" w:line="135" w:lineRule="exact"/>
              <w:rPr>
                <w:sz w:val="20"/>
                <w:szCs w:val="20"/>
                <w:color w:val="auto"/>
              </w:rPr>
            </w:pPr>
            <w:r>
              <w:rPr>
                <w:rFonts w:ascii="Arial" w:cs="Arial" w:eastAsia="Arial" w:hAnsi="Arial"/>
                <w:sz w:val="13"/>
                <w:szCs w:val="13"/>
                <w:color w:val="auto"/>
                <w:w w:val="85"/>
              </w:rPr>
              <w:t>Pattern</w:t>
            </w:r>
          </w:p>
        </w:tc>
        <w:tc>
          <w:tcPr>
            <w:tcW w:w="660" w:type="dxa"/>
            <w:vAlign w:val="bottom"/>
          </w:tcPr>
          <w:p>
            <w:pPr>
              <w:jc w:val="center"/>
              <w:spacing w:after="0" w:line="135" w:lineRule="exact"/>
              <w:rPr>
                <w:sz w:val="20"/>
                <w:szCs w:val="20"/>
                <w:color w:val="auto"/>
              </w:rPr>
            </w:pPr>
            <w:r>
              <w:rPr>
                <w:rFonts w:ascii="Arial" w:cs="Arial" w:eastAsia="Arial" w:hAnsi="Arial"/>
                <w:sz w:val="13"/>
                <w:szCs w:val="13"/>
                <w:color w:val="auto"/>
                <w:w w:val="89"/>
              </w:rPr>
              <w:t>Actions</w:t>
            </w:r>
          </w:p>
        </w:tc>
        <w:tc>
          <w:tcPr>
            <w:tcW w:w="600" w:type="dxa"/>
            <w:vAlign w:val="bottom"/>
          </w:tcPr>
          <w:p>
            <w:pPr>
              <w:jc w:val="center"/>
              <w:spacing w:after="0" w:line="135" w:lineRule="exact"/>
              <w:rPr>
                <w:sz w:val="20"/>
                <w:szCs w:val="20"/>
                <w:color w:val="auto"/>
              </w:rPr>
            </w:pPr>
            <w:r>
              <w:rPr>
                <w:rFonts w:ascii="Arial" w:cs="Arial" w:eastAsia="Arial" w:hAnsi="Arial"/>
                <w:sz w:val="13"/>
                <w:szCs w:val="13"/>
                <w:color w:val="auto"/>
                <w:w w:val="87"/>
              </w:rPr>
              <w:t>Legal</w:t>
            </w: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87"/>
              </w:rPr>
              <w:t>Section</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40" w:type="dxa"/>
            <w:vAlign w:val="bottom"/>
          </w:tcPr>
          <w:p>
            <w:pPr>
              <w:jc w:val="center"/>
              <w:ind w:left="17"/>
              <w:spacing w:after="0" w:line="135" w:lineRule="exact"/>
              <w:rPr>
                <w:sz w:val="20"/>
                <w:szCs w:val="20"/>
                <w:color w:val="auto"/>
              </w:rPr>
            </w:pPr>
            <w:r>
              <w:rPr>
                <w:rFonts w:ascii="Arial" w:cs="Arial" w:eastAsia="Arial" w:hAnsi="Arial"/>
                <w:sz w:val="13"/>
                <w:szCs w:val="13"/>
                <w:color w:val="auto"/>
                <w:w w:val="90"/>
              </w:rPr>
              <w:t>Total Dollar</w:t>
            </w:r>
          </w:p>
        </w:tc>
        <w:tc>
          <w:tcPr>
            <w:tcW w:w="620" w:type="dxa"/>
            <w:vAlign w:val="bottom"/>
          </w:tcPr>
          <w:p>
            <w:pPr>
              <w:jc w:val="center"/>
              <w:spacing w:after="0" w:line="135" w:lineRule="exact"/>
              <w:rPr>
                <w:sz w:val="20"/>
                <w:szCs w:val="20"/>
                <w:color w:val="auto"/>
              </w:rPr>
            </w:pPr>
            <w:r>
              <w:rPr>
                <w:rFonts w:ascii="Arial" w:cs="Arial" w:eastAsia="Arial" w:hAnsi="Arial"/>
                <w:sz w:val="13"/>
                <w:szCs w:val="13"/>
                <w:color w:val="auto"/>
                <w:w w:val="90"/>
              </w:rPr>
              <w:t>Number</w:t>
            </w:r>
          </w:p>
        </w:tc>
        <w:tc>
          <w:tcPr>
            <w:tcW w:w="660" w:type="dxa"/>
            <w:vAlign w:val="bottom"/>
          </w:tcPr>
          <w:p>
            <w:pPr>
              <w:jc w:val="center"/>
              <w:spacing w:after="0" w:line="135" w:lineRule="exact"/>
              <w:rPr>
                <w:sz w:val="20"/>
                <w:szCs w:val="20"/>
                <w:color w:val="auto"/>
              </w:rPr>
            </w:pPr>
            <w:r>
              <w:rPr>
                <w:rFonts w:ascii="Arial" w:cs="Arial" w:eastAsia="Arial" w:hAnsi="Arial"/>
                <w:sz w:val="13"/>
                <w:szCs w:val="13"/>
                <w:color w:val="auto"/>
                <w:w w:val="84"/>
              </w:rPr>
              <w:t>Under</w:t>
            </w:r>
          </w:p>
        </w:tc>
        <w:tc>
          <w:tcPr>
            <w:tcW w:w="720" w:type="dxa"/>
            <w:vAlign w:val="bottom"/>
          </w:tcPr>
          <w:p>
            <w:pPr>
              <w:jc w:val="center"/>
              <w:spacing w:after="0" w:line="135" w:lineRule="exact"/>
              <w:rPr>
                <w:sz w:val="20"/>
                <w:szCs w:val="20"/>
                <w:color w:val="auto"/>
              </w:rPr>
            </w:pPr>
            <w:r>
              <w:rPr>
                <w:rFonts w:ascii="Arial" w:cs="Arial" w:eastAsia="Arial" w:hAnsi="Arial"/>
                <w:sz w:val="13"/>
                <w:szCs w:val="13"/>
                <w:color w:val="auto"/>
                <w:w w:val="90"/>
              </w:rPr>
              <w:t>Under</w:t>
            </w:r>
          </w:p>
        </w:tc>
        <w:tc>
          <w:tcPr>
            <w:tcW w:w="660" w:type="dxa"/>
            <w:vAlign w:val="bottom"/>
          </w:tcPr>
          <w:p>
            <w:pPr>
              <w:jc w:val="center"/>
              <w:spacing w:after="0" w:line="135" w:lineRule="exact"/>
              <w:rPr>
                <w:sz w:val="20"/>
                <w:szCs w:val="20"/>
                <w:color w:val="auto"/>
              </w:rPr>
            </w:pPr>
            <w:r>
              <w:rPr>
                <w:rFonts w:ascii="Arial" w:cs="Arial" w:eastAsia="Arial" w:hAnsi="Arial"/>
                <w:sz w:val="13"/>
                <w:szCs w:val="13"/>
                <w:color w:val="auto"/>
                <w:w w:val="82"/>
              </w:rPr>
              <w:t>Pending as</w:t>
            </w:r>
          </w:p>
        </w:tc>
        <w:tc>
          <w:tcPr>
            <w:tcW w:w="600" w:type="dxa"/>
            <w:vAlign w:val="bottom"/>
          </w:tcPr>
          <w:p>
            <w:pPr>
              <w:jc w:val="center"/>
              <w:spacing w:after="0" w:line="135" w:lineRule="exact"/>
              <w:rPr>
                <w:sz w:val="20"/>
                <w:szCs w:val="20"/>
                <w:color w:val="auto"/>
              </w:rPr>
            </w:pPr>
            <w:r>
              <w:rPr>
                <w:rFonts w:ascii="Arial" w:cs="Arial" w:eastAsia="Arial" w:hAnsi="Arial"/>
                <w:sz w:val="13"/>
                <w:szCs w:val="13"/>
                <w:color w:val="auto"/>
                <w:w w:val="93"/>
              </w:rPr>
              <w:t>Actions</w:t>
            </w:r>
          </w:p>
        </w:tc>
        <w:tc>
          <w:tcPr>
            <w:tcW w:w="860" w:type="dxa"/>
            <w:vAlign w:val="bottom"/>
          </w:tcPr>
          <w:p>
            <w:pPr>
              <w:jc w:val="center"/>
              <w:spacing w:after="0" w:line="135" w:lineRule="exact"/>
              <w:rPr>
                <w:sz w:val="20"/>
                <w:szCs w:val="20"/>
                <w:color w:val="auto"/>
              </w:rPr>
            </w:pPr>
            <w:r>
              <w:rPr>
                <w:rFonts w:ascii="Arial" w:cs="Arial" w:eastAsia="Arial" w:hAnsi="Arial"/>
                <w:sz w:val="13"/>
                <w:szCs w:val="13"/>
                <w:color w:val="auto"/>
                <w:w w:val="89"/>
              </w:rPr>
              <w:t>Legal Actions</w:t>
            </w: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ind w:left="100"/>
              <w:spacing w:after="0" w:line="135" w:lineRule="exact"/>
              <w:rPr>
                <w:sz w:val="20"/>
                <w:szCs w:val="20"/>
                <w:color w:val="auto"/>
              </w:rPr>
            </w:pPr>
            <w:r>
              <w:rPr>
                <w:rFonts w:ascii="Arial" w:cs="Arial" w:eastAsia="Arial" w:hAnsi="Arial"/>
                <w:sz w:val="13"/>
                <w:szCs w:val="13"/>
                <w:color w:val="auto"/>
              </w:rPr>
              <w:t>Section</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90"/>
              </w:rPr>
              <w:t>104(d)</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7"/>
              </w:rPr>
              <w:t>Section</w:t>
            </w:r>
          </w:p>
        </w:tc>
        <w:tc>
          <w:tcPr>
            <w:tcW w:w="680" w:type="dxa"/>
            <w:vAlign w:val="bottom"/>
          </w:tcPr>
          <w:p>
            <w:pPr>
              <w:ind w:left="160"/>
              <w:spacing w:after="0" w:line="135" w:lineRule="exact"/>
              <w:rPr>
                <w:sz w:val="20"/>
                <w:szCs w:val="20"/>
                <w:color w:val="auto"/>
              </w:rPr>
            </w:pPr>
            <w:r>
              <w:rPr>
                <w:rFonts w:ascii="Arial" w:cs="Arial" w:eastAsia="Arial" w:hAnsi="Arial"/>
                <w:sz w:val="13"/>
                <w:szCs w:val="13"/>
                <w:color w:val="auto"/>
              </w:rPr>
              <w:t>Section</w:t>
            </w:r>
          </w:p>
        </w:tc>
        <w:tc>
          <w:tcPr>
            <w:tcW w:w="1040" w:type="dxa"/>
            <w:vAlign w:val="bottom"/>
          </w:tcPr>
          <w:p>
            <w:pPr>
              <w:jc w:val="center"/>
              <w:ind w:left="37"/>
              <w:spacing w:after="0" w:line="135" w:lineRule="exact"/>
              <w:rPr>
                <w:sz w:val="20"/>
                <w:szCs w:val="20"/>
                <w:color w:val="auto"/>
              </w:rPr>
            </w:pPr>
            <w:r>
              <w:rPr>
                <w:rFonts w:ascii="Arial" w:cs="Arial" w:eastAsia="Arial" w:hAnsi="Arial"/>
                <w:sz w:val="13"/>
                <w:szCs w:val="13"/>
                <w:color w:val="auto"/>
                <w:w w:val="92"/>
              </w:rPr>
              <w:t>Value of MSHA</w:t>
            </w:r>
          </w:p>
        </w:tc>
        <w:tc>
          <w:tcPr>
            <w:tcW w:w="620" w:type="dxa"/>
            <w:vAlign w:val="bottom"/>
          </w:tcPr>
          <w:p>
            <w:pPr>
              <w:jc w:val="center"/>
              <w:spacing w:after="0" w:line="135" w:lineRule="exact"/>
              <w:rPr>
                <w:sz w:val="20"/>
                <w:szCs w:val="20"/>
                <w:color w:val="auto"/>
              </w:rPr>
            </w:pPr>
            <w:r>
              <w:rPr>
                <w:rFonts w:ascii="Arial" w:cs="Arial" w:eastAsia="Arial" w:hAnsi="Arial"/>
                <w:sz w:val="13"/>
                <w:szCs w:val="13"/>
                <w:color w:val="auto"/>
                <w:w w:val="94"/>
              </w:rPr>
              <w:t>of Mining</w:t>
            </w:r>
          </w:p>
        </w:tc>
        <w:tc>
          <w:tcPr>
            <w:tcW w:w="660" w:type="dxa"/>
            <w:vAlign w:val="bottom"/>
          </w:tcPr>
          <w:p>
            <w:pPr>
              <w:jc w:val="center"/>
              <w:spacing w:after="0" w:line="135" w:lineRule="exact"/>
              <w:rPr>
                <w:sz w:val="20"/>
                <w:szCs w:val="20"/>
                <w:color w:val="auto"/>
              </w:rPr>
            </w:pPr>
            <w:r>
              <w:rPr>
                <w:rFonts w:ascii="Arial" w:cs="Arial" w:eastAsia="Arial" w:hAnsi="Arial"/>
                <w:sz w:val="13"/>
                <w:szCs w:val="13"/>
                <w:color w:val="auto"/>
                <w:w w:val="87"/>
              </w:rPr>
              <w:t>Section</w:t>
            </w:r>
          </w:p>
        </w:tc>
        <w:tc>
          <w:tcPr>
            <w:tcW w:w="720" w:type="dxa"/>
            <w:vAlign w:val="bottom"/>
          </w:tcPr>
          <w:p>
            <w:pPr>
              <w:jc w:val="center"/>
              <w:spacing w:after="0" w:line="135" w:lineRule="exact"/>
              <w:rPr>
                <w:sz w:val="20"/>
                <w:szCs w:val="20"/>
                <w:color w:val="auto"/>
              </w:rPr>
            </w:pPr>
            <w:r>
              <w:rPr>
                <w:rFonts w:ascii="Arial" w:cs="Arial" w:eastAsia="Arial" w:hAnsi="Arial"/>
                <w:sz w:val="13"/>
                <w:szCs w:val="13"/>
                <w:color w:val="auto"/>
                <w:w w:val="82"/>
              </w:rPr>
              <w:t>Section</w:t>
            </w:r>
          </w:p>
        </w:tc>
        <w:tc>
          <w:tcPr>
            <w:tcW w:w="660" w:type="dxa"/>
            <w:vAlign w:val="bottom"/>
          </w:tcPr>
          <w:p>
            <w:pPr>
              <w:jc w:val="center"/>
              <w:spacing w:after="0" w:line="135" w:lineRule="exact"/>
              <w:rPr>
                <w:sz w:val="20"/>
                <w:szCs w:val="20"/>
                <w:color w:val="auto"/>
              </w:rPr>
            </w:pPr>
            <w:r>
              <w:rPr>
                <w:rFonts w:ascii="Arial" w:cs="Arial" w:eastAsia="Arial" w:hAnsi="Arial"/>
                <w:sz w:val="13"/>
                <w:szCs w:val="13"/>
                <w:color w:val="auto"/>
                <w:w w:val="86"/>
              </w:rPr>
              <w:t>of Last</w:t>
            </w:r>
          </w:p>
        </w:tc>
        <w:tc>
          <w:tcPr>
            <w:tcW w:w="600" w:type="dxa"/>
            <w:vAlign w:val="bottom"/>
          </w:tcPr>
          <w:p>
            <w:pPr>
              <w:jc w:val="center"/>
              <w:spacing w:after="0" w:line="135" w:lineRule="exact"/>
              <w:rPr>
                <w:sz w:val="20"/>
                <w:szCs w:val="20"/>
                <w:color w:val="auto"/>
              </w:rPr>
            </w:pPr>
            <w:r>
              <w:rPr>
                <w:rFonts w:ascii="Arial" w:cs="Arial" w:eastAsia="Arial" w:hAnsi="Arial"/>
                <w:sz w:val="13"/>
                <w:szCs w:val="13"/>
                <w:color w:val="auto"/>
                <w:w w:val="92"/>
              </w:rPr>
              <w:t>Initiated</w:t>
            </w:r>
          </w:p>
        </w:tc>
        <w:tc>
          <w:tcPr>
            <w:tcW w:w="860" w:type="dxa"/>
            <w:vAlign w:val="bottom"/>
          </w:tcPr>
          <w:p>
            <w:pPr>
              <w:jc w:val="center"/>
              <w:spacing w:after="0" w:line="135" w:lineRule="exact"/>
              <w:rPr>
                <w:sz w:val="20"/>
                <w:szCs w:val="20"/>
                <w:color w:val="auto"/>
              </w:rPr>
            </w:pPr>
            <w:r>
              <w:rPr>
                <w:rFonts w:ascii="Arial" w:cs="Arial" w:eastAsia="Arial" w:hAnsi="Arial"/>
                <w:sz w:val="13"/>
                <w:szCs w:val="13"/>
                <w:color w:val="auto"/>
                <w:w w:val="84"/>
              </w:rPr>
              <w:t>Resolved</w:t>
            </w:r>
          </w:p>
        </w:tc>
        <w:tc>
          <w:tcPr>
            <w:tcW w:w="0" w:type="dxa"/>
            <w:vAlign w:val="bottom"/>
          </w:tcPr>
          <w:p>
            <w:pPr>
              <w:spacing w:after="0"/>
              <w:rPr>
                <w:sz w:val="1"/>
                <w:szCs w:val="1"/>
                <w:color w:val="auto"/>
              </w:rPr>
            </w:pPr>
          </w:p>
        </w:tc>
      </w:tr>
      <w:tr>
        <w:trPr>
          <w:trHeight w:val="135"/>
        </w:trPr>
        <w:tc>
          <w:tcPr>
            <w:tcW w:w="1920" w:type="dxa"/>
            <w:vAlign w:val="bottom"/>
          </w:tcPr>
          <w:p>
            <w:pPr>
              <w:spacing w:after="0" w:line="135" w:lineRule="exact"/>
              <w:rPr>
                <w:sz w:val="20"/>
                <w:szCs w:val="20"/>
                <w:color w:val="auto"/>
              </w:rPr>
            </w:pPr>
            <w:r>
              <w:rPr>
                <w:rFonts w:ascii="Arial" w:cs="Arial" w:eastAsia="Arial" w:hAnsi="Arial"/>
                <w:sz w:val="13"/>
                <w:szCs w:val="13"/>
                <w:color w:val="auto"/>
              </w:rPr>
              <w:t>Mine or Operating Name/MSHA</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87"/>
              </w:rPr>
              <w:t>Section 104</w:t>
            </w:r>
          </w:p>
        </w:tc>
        <w:tc>
          <w:tcPr>
            <w:tcW w:w="620" w:type="dxa"/>
            <w:vAlign w:val="bottom"/>
          </w:tcPr>
          <w:p>
            <w:pPr>
              <w:jc w:val="center"/>
              <w:spacing w:after="0" w:line="135" w:lineRule="exact"/>
              <w:rPr>
                <w:sz w:val="20"/>
                <w:szCs w:val="20"/>
                <w:color w:val="auto"/>
              </w:rPr>
            </w:pPr>
            <w:r>
              <w:rPr>
                <w:rFonts w:ascii="Arial" w:cs="Arial" w:eastAsia="Arial" w:hAnsi="Arial"/>
                <w:sz w:val="13"/>
                <w:szCs w:val="13"/>
                <w:color w:val="auto"/>
                <w:w w:val="90"/>
              </w:rPr>
              <w:t>104(b)</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90"/>
              </w:rPr>
              <w:t>Citations</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9"/>
              </w:rPr>
              <w:t>110(b)(2)</w:t>
            </w: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85"/>
              </w:rPr>
              <w:t>107(a)</w:t>
            </w:r>
          </w:p>
        </w:tc>
        <w:tc>
          <w:tcPr>
            <w:tcW w:w="1040" w:type="dxa"/>
            <w:vAlign w:val="bottom"/>
          </w:tcPr>
          <w:p>
            <w:pPr>
              <w:jc w:val="center"/>
              <w:ind w:left="17"/>
              <w:spacing w:after="0" w:line="135" w:lineRule="exact"/>
              <w:rPr>
                <w:sz w:val="20"/>
                <w:szCs w:val="20"/>
                <w:color w:val="auto"/>
              </w:rPr>
            </w:pPr>
            <w:r>
              <w:rPr>
                <w:rFonts w:ascii="Arial" w:cs="Arial" w:eastAsia="Arial" w:hAnsi="Arial"/>
                <w:sz w:val="13"/>
                <w:szCs w:val="13"/>
                <w:color w:val="auto"/>
                <w:w w:val="82"/>
              </w:rPr>
              <w:t>Assessments</w:t>
            </w:r>
          </w:p>
        </w:tc>
        <w:tc>
          <w:tcPr>
            <w:tcW w:w="620" w:type="dxa"/>
            <w:vAlign w:val="bottom"/>
          </w:tcPr>
          <w:p>
            <w:pPr>
              <w:jc w:val="center"/>
              <w:spacing w:after="0" w:line="135" w:lineRule="exact"/>
              <w:rPr>
                <w:sz w:val="20"/>
                <w:szCs w:val="20"/>
                <w:color w:val="auto"/>
              </w:rPr>
            </w:pPr>
            <w:r>
              <w:rPr>
                <w:rFonts w:ascii="Arial" w:cs="Arial" w:eastAsia="Arial" w:hAnsi="Arial"/>
                <w:sz w:val="13"/>
                <w:szCs w:val="13"/>
                <w:color w:val="auto"/>
                <w:w w:val="84"/>
              </w:rPr>
              <w:t>Related</w:t>
            </w:r>
          </w:p>
        </w:tc>
        <w:tc>
          <w:tcPr>
            <w:tcW w:w="660" w:type="dxa"/>
            <w:vAlign w:val="bottom"/>
          </w:tcPr>
          <w:p>
            <w:pPr>
              <w:jc w:val="center"/>
              <w:spacing w:after="0" w:line="135" w:lineRule="exact"/>
              <w:rPr>
                <w:sz w:val="20"/>
                <w:szCs w:val="20"/>
                <w:color w:val="auto"/>
              </w:rPr>
            </w:pPr>
            <w:r>
              <w:rPr>
                <w:rFonts w:ascii="Arial" w:cs="Arial" w:eastAsia="Arial" w:hAnsi="Arial"/>
                <w:sz w:val="13"/>
                <w:szCs w:val="13"/>
                <w:color w:val="auto"/>
                <w:w w:val="90"/>
              </w:rPr>
              <w:t>104(e)</w:t>
            </w:r>
          </w:p>
        </w:tc>
        <w:tc>
          <w:tcPr>
            <w:tcW w:w="720" w:type="dxa"/>
            <w:vAlign w:val="bottom"/>
          </w:tcPr>
          <w:p>
            <w:pPr>
              <w:jc w:val="center"/>
              <w:spacing w:after="0" w:line="135" w:lineRule="exact"/>
              <w:rPr>
                <w:sz w:val="20"/>
                <w:szCs w:val="20"/>
                <w:color w:val="auto"/>
              </w:rPr>
            </w:pPr>
            <w:r>
              <w:rPr>
                <w:rFonts w:ascii="Arial" w:cs="Arial" w:eastAsia="Arial" w:hAnsi="Arial"/>
                <w:sz w:val="13"/>
                <w:szCs w:val="13"/>
                <w:color w:val="auto"/>
                <w:w w:val="85"/>
              </w:rPr>
              <w:t>104(e)</w:t>
            </w:r>
          </w:p>
        </w:tc>
        <w:tc>
          <w:tcPr>
            <w:tcW w:w="660" w:type="dxa"/>
            <w:vAlign w:val="bottom"/>
          </w:tcPr>
          <w:p>
            <w:pPr>
              <w:jc w:val="center"/>
              <w:spacing w:after="0" w:line="135" w:lineRule="exact"/>
              <w:rPr>
                <w:sz w:val="20"/>
                <w:szCs w:val="20"/>
                <w:color w:val="auto"/>
              </w:rPr>
            </w:pPr>
            <w:r>
              <w:rPr>
                <w:rFonts w:ascii="Arial" w:cs="Arial" w:eastAsia="Arial" w:hAnsi="Arial"/>
                <w:sz w:val="13"/>
                <w:szCs w:val="13"/>
                <w:color w:val="auto"/>
                <w:w w:val="94"/>
              </w:rPr>
              <w:t>Day</w:t>
            </w:r>
          </w:p>
        </w:tc>
        <w:tc>
          <w:tcPr>
            <w:tcW w:w="600" w:type="dxa"/>
            <w:vAlign w:val="bottom"/>
          </w:tcPr>
          <w:p>
            <w:pPr>
              <w:jc w:val="center"/>
              <w:spacing w:after="0" w:line="135" w:lineRule="exact"/>
              <w:rPr>
                <w:sz w:val="20"/>
                <w:szCs w:val="20"/>
                <w:color w:val="auto"/>
              </w:rPr>
            </w:pPr>
            <w:r>
              <w:rPr>
                <w:rFonts w:ascii="Arial" w:cs="Arial" w:eastAsia="Arial" w:hAnsi="Arial"/>
                <w:sz w:val="13"/>
                <w:szCs w:val="13"/>
                <w:color w:val="auto"/>
                <w:w w:val="93"/>
              </w:rPr>
              <w:t>During</w:t>
            </w:r>
          </w:p>
        </w:tc>
        <w:tc>
          <w:tcPr>
            <w:tcW w:w="860" w:type="dxa"/>
            <w:vAlign w:val="bottom"/>
          </w:tcPr>
          <w:p>
            <w:pPr>
              <w:jc w:val="center"/>
              <w:spacing w:after="0" w:line="135" w:lineRule="exact"/>
              <w:rPr>
                <w:sz w:val="20"/>
                <w:szCs w:val="20"/>
                <w:color w:val="auto"/>
              </w:rPr>
            </w:pPr>
            <w:r>
              <w:rPr>
                <w:rFonts w:ascii="Arial" w:cs="Arial" w:eastAsia="Arial" w:hAnsi="Arial"/>
                <w:sz w:val="13"/>
                <w:szCs w:val="13"/>
                <w:color w:val="auto"/>
                <w:w w:val="93"/>
              </w:rPr>
              <w:t>During</w:t>
            </w:r>
          </w:p>
        </w:tc>
        <w:tc>
          <w:tcPr>
            <w:tcW w:w="0" w:type="dxa"/>
            <w:vAlign w:val="bottom"/>
          </w:tcPr>
          <w:p>
            <w:pPr>
              <w:spacing w:after="0"/>
              <w:rPr>
                <w:sz w:val="1"/>
                <w:szCs w:val="1"/>
                <w:color w:val="auto"/>
              </w:rPr>
            </w:pPr>
          </w:p>
        </w:tc>
      </w:tr>
      <w:tr>
        <w:trPr>
          <w:trHeight w:val="149"/>
        </w:trPr>
        <w:tc>
          <w:tcPr>
            <w:tcW w:w="19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Identification Number</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9"/>
              </w:rPr>
              <w:t>S&amp;S Citations</w:t>
            </w:r>
          </w:p>
        </w:tc>
        <w:tc>
          <w:tcPr>
            <w:tcW w:w="62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Orders</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2"/>
              </w:rPr>
              <w:t>and Orders</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2"/>
              </w:rPr>
              <w:t>Violations</w:t>
            </w:r>
          </w:p>
        </w:tc>
        <w:tc>
          <w:tcPr>
            <w:tcW w:w="680" w:type="dxa"/>
            <w:vAlign w:val="bottom"/>
            <w:tcBorders>
              <w:bottom w:val="single" w:sz="8" w:color="auto"/>
            </w:tcBorders>
          </w:tcPr>
          <w:p>
            <w:pPr>
              <w:ind w:left="180"/>
              <w:spacing w:after="0"/>
              <w:rPr>
                <w:sz w:val="20"/>
                <w:szCs w:val="20"/>
                <w:color w:val="auto"/>
              </w:rPr>
            </w:pPr>
            <w:r>
              <w:rPr>
                <w:rFonts w:ascii="Arial" w:cs="Arial" w:eastAsia="Arial" w:hAnsi="Arial"/>
                <w:sz w:val="13"/>
                <w:szCs w:val="13"/>
                <w:color w:val="auto"/>
              </w:rPr>
              <w:t>Orders</w:t>
            </w:r>
          </w:p>
        </w:tc>
        <w:tc>
          <w:tcPr>
            <w:tcW w:w="1040" w:type="dxa"/>
            <w:vAlign w:val="bottom"/>
            <w:tcBorders>
              <w:bottom w:val="single" w:sz="8" w:color="auto"/>
            </w:tcBorders>
          </w:tcPr>
          <w:p>
            <w:pPr>
              <w:jc w:val="center"/>
              <w:ind w:left="17"/>
              <w:spacing w:after="0"/>
              <w:rPr>
                <w:sz w:val="20"/>
                <w:szCs w:val="20"/>
                <w:color w:val="auto"/>
              </w:rPr>
            </w:pPr>
            <w:r>
              <w:rPr>
                <w:rFonts w:ascii="Arial" w:cs="Arial" w:eastAsia="Arial" w:hAnsi="Arial"/>
                <w:sz w:val="13"/>
                <w:szCs w:val="13"/>
                <w:color w:val="auto"/>
                <w:w w:val="85"/>
              </w:rPr>
              <w:t>Proposed (1)</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8"/>
              </w:rPr>
              <w:t>Fatalities</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9"/>
              </w:rPr>
              <w:t>(yes/no)</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5"/>
              </w:rPr>
              <w:t>(yes/no)</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8"/>
              </w:rPr>
              <w:t>of Period</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5"/>
              </w:rPr>
              <w:t>Period</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0"/>
              </w:rPr>
              <w:t>Period</w:t>
            </w:r>
          </w:p>
        </w:tc>
        <w:tc>
          <w:tcPr>
            <w:tcW w:w="0" w:type="dxa"/>
            <w:vAlign w:val="bottom"/>
          </w:tcPr>
          <w:p>
            <w:pPr>
              <w:spacing w:after="0"/>
              <w:rPr>
                <w:sz w:val="1"/>
                <w:szCs w:val="1"/>
                <w:color w:val="auto"/>
              </w:rPr>
            </w:pPr>
          </w:p>
        </w:tc>
      </w:tr>
      <w:tr>
        <w:trPr>
          <w:trHeight w:val="275"/>
        </w:trPr>
        <w:tc>
          <w:tcPr>
            <w:tcW w:w="1920" w:type="dxa"/>
            <w:vAlign w:val="bottom"/>
          </w:tcPr>
          <w:p>
            <w:pPr>
              <w:spacing w:after="0"/>
              <w:rPr>
                <w:sz w:val="20"/>
                <w:szCs w:val="20"/>
                <w:color w:val="auto"/>
              </w:rPr>
            </w:pPr>
            <w:r>
              <w:rPr>
                <w:rFonts w:ascii="Arial" w:cs="Arial" w:eastAsia="Arial" w:hAnsi="Arial"/>
                <w:sz w:val="13"/>
                <w:szCs w:val="13"/>
                <w:color w:val="auto"/>
              </w:rPr>
              <w:t>Amelia Barite Plant/1600825</w:t>
            </w:r>
          </w:p>
        </w:tc>
        <w:tc>
          <w:tcPr>
            <w:tcW w:w="88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620" w:type="dxa"/>
            <w:vAlign w:val="bottom"/>
          </w:tcPr>
          <w:p>
            <w:pPr>
              <w:jc w:val="center"/>
              <w:spacing w:after="0"/>
              <w:rPr>
                <w:sz w:val="20"/>
                <w:szCs w:val="20"/>
                <w:color w:val="auto"/>
              </w:rPr>
            </w:pPr>
            <w:r>
              <w:rPr>
                <w:rFonts w:ascii="Arial" w:cs="Arial" w:eastAsia="Arial" w:hAnsi="Arial"/>
                <w:sz w:val="13"/>
                <w:szCs w:val="13"/>
                <w:color w:val="auto"/>
              </w:rPr>
              <w:t>─</w:t>
            </w:r>
          </w:p>
        </w:tc>
        <w:tc>
          <w:tcPr>
            <w:tcW w:w="800" w:type="dxa"/>
            <w:vAlign w:val="bottom"/>
          </w:tcPr>
          <w:p>
            <w:pPr>
              <w:jc w:val="center"/>
              <w:spacing w:after="0"/>
              <w:rPr>
                <w:sz w:val="20"/>
                <w:szCs w:val="20"/>
                <w:color w:val="auto"/>
              </w:rPr>
            </w:pPr>
            <w:r>
              <w:rPr>
                <w:rFonts w:ascii="Arial" w:cs="Arial" w:eastAsia="Arial" w:hAnsi="Arial"/>
                <w:sz w:val="13"/>
                <w:szCs w:val="13"/>
                <w:color w:val="auto"/>
              </w:rPr>
              <w:t>─</w:t>
            </w:r>
          </w:p>
        </w:tc>
        <w:tc>
          <w:tcPr>
            <w:tcW w:w="760" w:type="dxa"/>
            <w:vAlign w:val="bottom"/>
          </w:tcPr>
          <w:p>
            <w:pPr>
              <w:jc w:val="center"/>
              <w:spacing w:after="0"/>
              <w:rPr>
                <w:sz w:val="20"/>
                <w:szCs w:val="20"/>
                <w:color w:val="auto"/>
              </w:rPr>
            </w:pPr>
            <w:r>
              <w:rPr>
                <w:rFonts w:ascii="Arial" w:cs="Arial" w:eastAsia="Arial" w:hAnsi="Arial"/>
                <w:sz w:val="13"/>
                <w:szCs w:val="13"/>
                <w:color w:val="auto"/>
              </w:rPr>
              <w:t>─</w:t>
            </w:r>
          </w:p>
        </w:tc>
        <w:tc>
          <w:tcPr>
            <w:tcW w:w="68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1040" w:type="dxa"/>
            <w:vAlign w:val="bottom"/>
          </w:tcPr>
          <w:p>
            <w:pPr>
              <w:jc w:val="center"/>
              <w:ind w:left="17"/>
              <w:spacing w:after="0"/>
              <w:rPr>
                <w:sz w:val="20"/>
                <w:szCs w:val="20"/>
                <w:color w:val="auto"/>
              </w:rPr>
            </w:pPr>
            <w:r>
              <w:rPr>
                <w:rFonts w:ascii="Arial" w:cs="Arial" w:eastAsia="Arial" w:hAnsi="Arial"/>
                <w:sz w:val="13"/>
                <w:szCs w:val="13"/>
                <w:color w:val="auto"/>
                <w:w w:val="86"/>
              </w:rPr>
              <w:t>─</w:t>
            </w:r>
          </w:p>
        </w:tc>
        <w:tc>
          <w:tcPr>
            <w:tcW w:w="62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660" w:type="dxa"/>
            <w:vAlign w:val="bottom"/>
          </w:tcPr>
          <w:p>
            <w:pPr>
              <w:jc w:val="center"/>
              <w:spacing w:after="0"/>
              <w:rPr>
                <w:sz w:val="20"/>
                <w:szCs w:val="20"/>
                <w:color w:val="auto"/>
              </w:rPr>
            </w:pPr>
            <w:r>
              <w:rPr>
                <w:rFonts w:ascii="Arial" w:cs="Arial" w:eastAsia="Arial" w:hAnsi="Arial"/>
                <w:sz w:val="13"/>
                <w:szCs w:val="13"/>
                <w:color w:val="auto"/>
              </w:rPr>
              <w:t>N</w:t>
            </w:r>
          </w:p>
        </w:tc>
        <w:tc>
          <w:tcPr>
            <w:tcW w:w="720" w:type="dxa"/>
            <w:vAlign w:val="bottom"/>
          </w:tcPr>
          <w:p>
            <w:pPr>
              <w:jc w:val="center"/>
              <w:spacing w:after="0"/>
              <w:rPr>
                <w:sz w:val="20"/>
                <w:szCs w:val="20"/>
                <w:color w:val="auto"/>
              </w:rPr>
            </w:pPr>
            <w:r>
              <w:rPr>
                <w:rFonts w:ascii="Arial" w:cs="Arial" w:eastAsia="Arial" w:hAnsi="Arial"/>
                <w:sz w:val="13"/>
                <w:szCs w:val="13"/>
                <w:color w:val="auto"/>
                <w:w w:val="84"/>
              </w:rPr>
              <w:t>N</w:t>
            </w:r>
          </w:p>
        </w:tc>
        <w:tc>
          <w:tcPr>
            <w:tcW w:w="660" w:type="dxa"/>
            <w:vAlign w:val="bottom"/>
          </w:tcPr>
          <w:p>
            <w:pPr>
              <w:jc w:val="center"/>
              <w:spacing w:after="0"/>
              <w:rPr>
                <w:sz w:val="20"/>
                <w:szCs w:val="20"/>
                <w:color w:val="auto"/>
              </w:rPr>
            </w:pPr>
            <w:r>
              <w:rPr>
                <w:rFonts w:ascii="Arial" w:cs="Arial" w:eastAsia="Arial" w:hAnsi="Arial"/>
                <w:sz w:val="13"/>
                <w:szCs w:val="13"/>
                <w:color w:val="auto"/>
              </w:rPr>
              <w:t>─</w:t>
            </w:r>
          </w:p>
        </w:tc>
        <w:tc>
          <w:tcPr>
            <w:tcW w:w="60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860" w:type="dxa"/>
            <w:vAlign w:val="bottom"/>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5"/>
        </w:trPr>
        <w:tc>
          <w:tcPr>
            <w:tcW w:w="1920" w:type="dxa"/>
            <w:vAlign w:val="bottom"/>
          </w:tcPr>
          <w:p>
            <w:pPr>
              <w:spacing w:after="0"/>
              <w:rPr>
                <w:sz w:val="20"/>
                <w:szCs w:val="20"/>
                <w:color w:val="auto"/>
              </w:rPr>
            </w:pPr>
            <w:r>
              <w:rPr>
                <w:rFonts w:ascii="Arial" w:cs="Arial" w:eastAsia="Arial" w:hAnsi="Arial"/>
                <w:sz w:val="13"/>
                <w:szCs w:val="13"/>
                <w:color w:val="auto"/>
              </w:rPr>
              <w:t>Battle Mountain Grinding</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1040" w:type="dxa"/>
            <w:vAlign w:val="bottom"/>
            <w:vMerge w:val="restart"/>
          </w:tcPr>
          <w:p>
            <w:pPr>
              <w:jc w:val="center"/>
              <w:ind w:left="17"/>
              <w:spacing w:after="0"/>
              <w:rPr>
                <w:sz w:val="20"/>
                <w:szCs w:val="20"/>
                <w:color w:val="auto"/>
              </w:rPr>
            </w:pPr>
            <w:r>
              <w:rPr>
                <w:rFonts w:ascii="Arial" w:cs="Arial" w:eastAsia="Arial" w:hAnsi="Arial"/>
                <w:sz w:val="13"/>
                <w:szCs w:val="13"/>
                <w:color w:val="auto"/>
                <w:w w:val="86"/>
              </w:rPr>
              <w:t>─</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66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720" w:type="dxa"/>
            <w:vAlign w:val="bottom"/>
            <w:vMerge w:val="restart"/>
          </w:tcPr>
          <w:p>
            <w:pPr>
              <w:jc w:val="center"/>
              <w:spacing w:after="0"/>
              <w:rPr>
                <w:sz w:val="20"/>
                <w:szCs w:val="20"/>
                <w:color w:val="auto"/>
              </w:rPr>
            </w:pPr>
            <w:r>
              <w:rPr>
                <w:rFonts w:ascii="Arial" w:cs="Arial" w:eastAsia="Arial" w:hAnsi="Arial"/>
                <w:sz w:val="13"/>
                <w:szCs w:val="13"/>
                <w:color w:val="auto"/>
                <w:w w:val="84"/>
              </w:rPr>
              <w:t>N</w:t>
            </w:r>
          </w:p>
        </w:tc>
        <w:tc>
          <w:tcPr>
            <w:tcW w:w="66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86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3"/>
        </w:trPr>
        <w:tc>
          <w:tcPr>
            <w:tcW w:w="1920" w:type="dxa"/>
            <w:vAlign w:val="bottom"/>
            <w:vMerge w:val="restart"/>
          </w:tcPr>
          <w:p>
            <w:pPr>
              <w:spacing w:after="0"/>
              <w:rPr>
                <w:sz w:val="20"/>
                <w:szCs w:val="20"/>
                <w:color w:val="auto"/>
              </w:rPr>
            </w:pPr>
            <w:r>
              <w:rPr>
                <w:rFonts w:ascii="Arial" w:cs="Arial" w:eastAsia="Arial" w:hAnsi="Arial"/>
                <w:sz w:val="13"/>
                <w:szCs w:val="13"/>
                <w:color w:val="auto"/>
              </w:rPr>
              <w:t>Plant/2600828</w:t>
            </w:r>
          </w:p>
        </w:tc>
        <w:tc>
          <w:tcPr>
            <w:tcW w:w="88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92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5"/>
        </w:trPr>
        <w:tc>
          <w:tcPr>
            <w:tcW w:w="1920" w:type="dxa"/>
            <w:vAlign w:val="bottom"/>
          </w:tcPr>
          <w:p>
            <w:pPr>
              <w:spacing w:after="0"/>
              <w:rPr>
                <w:sz w:val="20"/>
                <w:szCs w:val="20"/>
                <w:color w:val="auto"/>
              </w:rPr>
            </w:pPr>
            <w:r>
              <w:rPr>
                <w:rFonts w:ascii="Arial" w:cs="Arial" w:eastAsia="Arial" w:hAnsi="Arial"/>
                <w:sz w:val="13"/>
                <w:szCs w:val="13"/>
                <w:color w:val="auto"/>
              </w:rPr>
              <w:t>Galveston GBT Barite Grinding</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1040" w:type="dxa"/>
            <w:vAlign w:val="bottom"/>
            <w:vMerge w:val="restart"/>
          </w:tcPr>
          <w:p>
            <w:pPr>
              <w:jc w:val="center"/>
              <w:ind w:left="17"/>
              <w:spacing w:after="0"/>
              <w:rPr>
                <w:sz w:val="20"/>
                <w:szCs w:val="20"/>
                <w:color w:val="auto"/>
              </w:rPr>
            </w:pPr>
            <w:r>
              <w:rPr>
                <w:rFonts w:ascii="Arial" w:cs="Arial" w:eastAsia="Arial" w:hAnsi="Arial"/>
                <w:sz w:val="13"/>
                <w:szCs w:val="13"/>
                <w:color w:val="auto"/>
                <w:w w:val="86"/>
              </w:rPr>
              <w:t>─</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66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720" w:type="dxa"/>
            <w:vAlign w:val="bottom"/>
            <w:vMerge w:val="restart"/>
          </w:tcPr>
          <w:p>
            <w:pPr>
              <w:jc w:val="center"/>
              <w:spacing w:after="0"/>
              <w:rPr>
                <w:sz w:val="20"/>
                <w:szCs w:val="20"/>
                <w:color w:val="auto"/>
              </w:rPr>
            </w:pPr>
            <w:r>
              <w:rPr>
                <w:rFonts w:ascii="Arial" w:cs="Arial" w:eastAsia="Arial" w:hAnsi="Arial"/>
                <w:sz w:val="13"/>
                <w:szCs w:val="13"/>
                <w:color w:val="auto"/>
                <w:w w:val="84"/>
              </w:rPr>
              <w:t>N</w:t>
            </w:r>
          </w:p>
        </w:tc>
        <w:tc>
          <w:tcPr>
            <w:tcW w:w="66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86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3"/>
        </w:trPr>
        <w:tc>
          <w:tcPr>
            <w:tcW w:w="1920" w:type="dxa"/>
            <w:vAlign w:val="bottom"/>
            <w:vMerge w:val="restart"/>
          </w:tcPr>
          <w:p>
            <w:pPr>
              <w:spacing w:after="0"/>
              <w:rPr>
                <w:sz w:val="20"/>
                <w:szCs w:val="20"/>
                <w:color w:val="auto"/>
              </w:rPr>
            </w:pPr>
            <w:r>
              <w:rPr>
                <w:rFonts w:ascii="Arial" w:cs="Arial" w:eastAsia="Arial" w:hAnsi="Arial"/>
                <w:sz w:val="13"/>
                <w:szCs w:val="13"/>
                <w:color w:val="auto"/>
              </w:rPr>
              <w:t>Plant/4104675</w:t>
            </w:r>
          </w:p>
        </w:tc>
        <w:tc>
          <w:tcPr>
            <w:tcW w:w="88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92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1"/>
        </w:trPr>
        <w:tc>
          <w:tcPr>
            <w:tcW w:w="1920" w:type="dxa"/>
            <w:vAlign w:val="bottom"/>
          </w:tcPr>
          <w:p>
            <w:pPr>
              <w:spacing w:after="0"/>
              <w:rPr>
                <w:sz w:val="20"/>
                <w:szCs w:val="20"/>
                <w:color w:val="auto"/>
              </w:rPr>
            </w:pPr>
            <w:r>
              <w:rPr>
                <w:rFonts w:ascii="Arial" w:cs="Arial" w:eastAsia="Arial" w:hAnsi="Arial"/>
                <w:sz w:val="13"/>
                <w:szCs w:val="13"/>
                <w:color w:val="auto"/>
                <w:w w:val="93"/>
              </w:rPr>
              <w:t>Greybull Milling Operation/4800602</w:t>
            </w:r>
          </w:p>
        </w:tc>
        <w:tc>
          <w:tcPr>
            <w:tcW w:w="880" w:type="dxa"/>
            <w:vAlign w:val="bottom"/>
          </w:tcPr>
          <w:p>
            <w:pPr>
              <w:jc w:val="center"/>
              <w:spacing w:after="0"/>
              <w:rPr>
                <w:sz w:val="20"/>
                <w:szCs w:val="20"/>
                <w:color w:val="auto"/>
              </w:rPr>
            </w:pPr>
            <w:r>
              <w:rPr>
                <w:rFonts w:ascii="Arial" w:cs="Arial" w:eastAsia="Arial" w:hAnsi="Arial"/>
                <w:sz w:val="13"/>
                <w:szCs w:val="13"/>
                <w:color w:val="auto"/>
              </w:rPr>
              <w:t>3</w:t>
            </w:r>
          </w:p>
        </w:tc>
        <w:tc>
          <w:tcPr>
            <w:tcW w:w="620" w:type="dxa"/>
            <w:vAlign w:val="bottom"/>
          </w:tcPr>
          <w:p>
            <w:pPr>
              <w:jc w:val="center"/>
              <w:spacing w:after="0"/>
              <w:rPr>
                <w:sz w:val="20"/>
                <w:szCs w:val="20"/>
                <w:color w:val="auto"/>
              </w:rPr>
            </w:pPr>
            <w:r>
              <w:rPr>
                <w:rFonts w:ascii="Arial" w:cs="Arial" w:eastAsia="Arial" w:hAnsi="Arial"/>
                <w:sz w:val="13"/>
                <w:szCs w:val="13"/>
                <w:color w:val="auto"/>
              </w:rPr>
              <w:t>─</w:t>
            </w:r>
          </w:p>
        </w:tc>
        <w:tc>
          <w:tcPr>
            <w:tcW w:w="800" w:type="dxa"/>
            <w:vAlign w:val="bottom"/>
          </w:tcPr>
          <w:p>
            <w:pPr>
              <w:jc w:val="center"/>
              <w:spacing w:after="0"/>
              <w:rPr>
                <w:sz w:val="20"/>
                <w:szCs w:val="20"/>
                <w:color w:val="auto"/>
              </w:rPr>
            </w:pPr>
            <w:r>
              <w:rPr>
                <w:rFonts w:ascii="Arial" w:cs="Arial" w:eastAsia="Arial" w:hAnsi="Arial"/>
                <w:sz w:val="13"/>
                <w:szCs w:val="13"/>
                <w:color w:val="auto"/>
              </w:rPr>
              <w:t>─</w:t>
            </w:r>
          </w:p>
        </w:tc>
        <w:tc>
          <w:tcPr>
            <w:tcW w:w="760" w:type="dxa"/>
            <w:vAlign w:val="bottom"/>
          </w:tcPr>
          <w:p>
            <w:pPr>
              <w:jc w:val="center"/>
              <w:spacing w:after="0"/>
              <w:rPr>
                <w:sz w:val="20"/>
                <w:szCs w:val="20"/>
                <w:color w:val="auto"/>
              </w:rPr>
            </w:pPr>
            <w:r>
              <w:rPr>
                <w:rFonts w:ascii="Arial" w:cs="Arial" w:eastAsia="Arial" w:hAnsi="Arial"/>
                <w:sz w:val="13"/>
                <w:szCs w:val="13"/>
                <w:color w:val="auto"/>
              </w:rPr>
              <w:t>─</w:t>
            </w:r>
          </w:p>
        </w:tc>
        <w:tc>
          <w:tcPr>
            <w:tcW w:w="68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1040" w:type="dxa"/>
            <w:vAlign w:val="bottom"/>
          </w:tcPr>
          <w:p>
            <w:pPr>
              <w:jc w:val="center"/>
              <w:ind w:left="17"/>
              <w:spacing w:after="0"/>
              <w:rPr>
                <w:sz w:val="20"/>
                <w:szCs w:val="20"/>
                <w:color w:val="auto"/>
              </w:rPr>
            </w:pPr>
            <w:r>
              <w:rPr>
                <w:rFonts w:ascii="Arial" w:cs="Arial" w:eastAsia="Arial" w:hAnsi="Arial"/>
                <w:sz w:val="13"/>
                <w:szCs w:val="13"/>
                <w:color w:val="auto"/>
                <w:w w:val="90"/>
              </w:rPr>
              <w:t>$1,936</w:t>
            </w:r>
          </w:p>
        </w:tc>
        <w:tc>
          <w:tcPr>
            <w:tcW w:w="62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660" w:type="dxa"/>
            <w:vAlign w:val="bottom"/>
          </w:tcPr>
          <w:p>
            <w:pPr>
              <w:jc w:val="center"/>
              <w:spacing w:after="0"/>
              <w:rPr>
                <w:sz w:val="20"/>
                <w:szCs w:val="20"/>
                <w:color w:val="auto"/>
              </w:rPr>
            </w:pPr>
            <w:r>
              <w:rPr>
                <w:rFonts w:ascii="Arial" w:cs="Arial" w:eastAsia="Arial" w:hAnsi="Arial"/>
                <w:sz w:val="13"/>
                <w:szCs w:val="13"/>
                <w:color w:val="auto"/>
              </w:rPr>
              <w:t>N</w:t>
            </w:r>
          </w:p>
        </w:tc>
        <w:tc>
          <w:tcPr>
            <w:tcW w:w="720" w:type="dxa"/>
            <w:vAlign w:val="bottom"/>
          </w:tcPr>
          <w:p>
            <w:pPr>
              <w:jc w:val="center"/>
              <w:spacing w:after="0"/>
              <w:rPr>
                <w:sz w:val="20"/>
                <w:szCs w:val="20"/>
                <w:color w:val="auto"/>
              </w:rPr>
            </w:pPr>
            <w:r>
              <w:rPr>
                <w:rFonts w:ascii="Arial" w:cs="Arial" w:eastAsia="Arial" w:hAnsi="Arial"/>
                <w:sz w:val="13"/>
                <w:szCs w:val="13"/>
                <w:color w:val="auto"/>
                <w:w w:val="84"/>
              </w:rPr>
              <w:t>N</w:t>
            </w:r>
          </w:p>
        </w:tc>
        <w:tc>
          <w:tcPr>
            <w:tcW w:w="660" w:type="dxa"/>
            <w:vAlign w:val="bottom"/>
          </w:tcPr>
          <w:p>
            <w:pPr>
              <w:jc w:val="center"/>
              <w:spacing w:after="0"/>
              <w:rPr>
                <w:sz w:val="20"/>
                <w:szCs w:val="20"/>
                <w:color w:val="auto"/>
              </w:rPr>
            </w:pPr>
            <w:r>
              <w:rPr>
                <w:rFonts w:ascii="Arial" w:cs="Arial" w:eastAsia="Arial" w:hAnsi="Arial"/>
                <w:sz w:val="13"/>
                <w:szCs w:val="13"/>
                <w:color w:val="auto"/>
              </w:rPr>
              <w:t>─</w:t>
            </w:r>
          </w:p>
        </w:tc>
        <w:tc>
          <w:tcPr>
            <w:tcW w:w="60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860" w:type="dxa"/>
            <w:vAlign w:val="bottom"/>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45"/>
        </w:trPr>
        <w:tc>
          <w:tcPr>
            <w:tcW w:w="1920" w:type="dxa"/>
            <w:vAlign w:val="bottom"/>
          </w:tcPr>
          <w:p>
            <w:pPr>
              <w:spacing w:after="0"/>
              <w:rPr>
                <w:sz w:val="20"/>
                <w:szCs w:val="20"/>
                <w:color w:val="auto"/>
              </w:rPr>
            </w:pPr>
            <w:r>
              <w:rPr>
                <w:rFonts w:ascii="Arial" w:cs="Arial" w:eastAsia="Arial" w:hAnsi="Arial"/>
                <w:sz w:val="13"/>
                <w:szCs w:val="13"/>
                <w:color w:val="auto"/>
                <w:w w:val="92"/>
              </w:rPr>
              <w:t>Greybull Mining Operation/4800603</w:t>
            </w:r>
          </w:p>
        </w:tc>
        <w:tc>
          <w:tcPr>
            <w:tcW w:w="880" w:type="dxa"/>
            <w:vAlign w:val="bottom"/>
          </w:tcPr>
          <w:p>
            <w:pPr>
              <w:jc w:val="center"/>
              <w:spacing w:after="0"/>
              <w:rPr>
                <w:sz w:val="20"/>
                <w:szCs w:val="20"/>
                <w:color w:val="auto"/>
              </w:rPr>
            </w:pPr>
            <w:r>
              <w:rPr>
                <w:rFonts w:ascii="Arial" w:cs="Arial" w:eastAsia="Arial" w:hAnsi="Arial"/>
                <w:sz w:val="13"/>
                <w:szCs w:val="13"/>
                <w:color w:val="auto"/>
              </w:rPr>
              <w:t>3</w:t>
            </w:r>
          </w:p>
        </w:tc>
        <w:tc>
          <w:tcPr>
            <w:tcW w:w="620" w:type="dxa"/>
            <w:vAlign w:val="bottom"/>
          </w:tcPr>
          <w:p>
            <w:pPr>
              <w:jc w:val="center"/>
              <w:spacing w:after="0"/>
              <w:rPr>
                <w:sz w:val="20"/>
                <w:szCs w:val="20"/>
                <w:color w:val="auto"/>
              </w:rPr>
            </w:pPr>
            <w:r>
              <w:rPr>
                <w:rFonts w:ascii="Arial" w:cs="Arial" w:eastAsia="Arial" w:hAnsi="Arial"/>
                <w:sz w:val="13"/>
                <w:szCs w:val="13"/>
                <w:color w:val="auto"/>
              </w:rPr>
              <w:t>─</w:t>
            </w:r>
          </w:p>
        </w:tc>
        <w:tc>
          <w:tcPr>
            <w:tcW w:w="800" w:type="dxa"/>
            <w:vAlign w:val="bottom"/>
          </w:tcPr>
          <w:p>
            <w:pPr>
              <w:jc w:val="center"/>
              <w:spacing w:after="0"/>
              <w:rPr>
                <w:sz w:val="20"/>
                <w:szCs w:val="20"/>
                <w:color w:val="auto"/>
              </w:rPr>
            </w:pPr>
            <w:r>
              <w:rPr>
                <w:rFonts w:ascii="Arial" w:cs="Arial" w:eastAsia="Arial" w:hAnsi="Arial"/>
                <w:sz w:val="13"/>
                <w:szCs w:val="13"/>
                <w:color w:val="auto"/>
              </w:rPr>
              <w:t>─</w:t>
            </w:r>
          </w:p>
        </w:tc>
        <w:tc>
          <w:tcPr>
            <w:tcW w:w="760" w:type="dxa"/>
            <w:vAlign w:val="bottom"/>
          </w:tcPr>
          <w:p>
            <w:pPr>
              <w:jc w:val="center"/>
              <w:spacing w:after="0"/>
              <w:rPr>
                <w:sz w:val="20"/>
                <w:szCs w:val="20"/>
                <w:color w:val="auto"/>
              </w:rPr>
            </w:pPr>
            <w:r>
              <w:rPr>
                <w:rFonts w:ascii="Arial" w:cs="Arial" w:eastAsia="Arial" w:hAnsi="Arial"/>
                <w:sz w:val="13"/>
                <w:szCs w:val="13"/>
                <w:color w:val="auto"/>
              </w:rPr>
              <w:t>─</w:t>
            </w:r>
          </w:p>
        </w:tc>
        <w:tc>
          <w:tcPr>
            <w:tcW w:w="68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1040" w:type="dxa"/>
            <w:vAlign w:val="bottom"/>
          </w:tcPr>
          <w:p>
            <w:pPr>
              <w:jc w:val="center"/>
              <w:ind w:left="17"/>
              <w:spacing w:after="0"/>
              <w:rPr>
                <w:sz w:val="20"/>
                <w:szCs w:val="20"/>
                <w:color w:val="auto"/>
              </w:rPr>
            </w:pPr>
            <w:r>
              <w:rPr>
                <w:rFonts w:ascii="Arial" w:cs="Arial" w:eastAsia="Arial" w:hAnsi="Arial"/>
                <w:sz w:val="13"/>
                <w:szCs w:val="13"/>
                <w:b w:val="1"/>
                <w:bCs w:val="1"/>
                <w:color w:val="auto"/>
                <w:w w:val="90"/>
              </w:rPr>
              <w:t>$</w:t>
            </w:r>
            <w:r>
              <w:rPr>
                <w:rFonts w:ascii="Arial" w:cs="Arial" w:eastAsia="Arial" w:hAnsi="Arial"/>
                <w:sz w:val="13"/>
                <w:szCs w:val="13"/>
                <w:color w:val="auto"/>
                <w:w w:val="90"/>
              </w:rPr>
              <w:t>2,091</w:t>
            </w:r>
          </w:p>
        </w:tc>
        <w:tc>
          <w:tcPr>
            <w:tcW w:w="62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660" w:type="dxa"/>
            <w:vAlign w:val="bottom"/>
          </w:tcPr>
          <w:p>
            <w:pPr>
              <w:jc w:val="center"/>
              <w:spacing w:after="0"/>
              <w:rPr>
                <w:sz w:val="20"/>
                <w:szCs w:val="20"/>
                <w:color w:val="auto"/>
              </w:rPr>
            </w:pPr>
            <w:r>
              <w:rPr>
                <w:rFonts w:ascii="Arial" w:cs="Arial" w:eastAsia="Arial" w:hAnsi="Arial"/>
                <w:sz w:val="13"/>
                <w:szCs w:val="13"/>
                <w:color w:val="auto"/>
              </w:rPr>
              <w:t>N</w:t>
            </w:r>
          </w:p>
        </w:tc>
        <w:tc>
          <w:tcPr>
            <w:tcW w:w="720" w:type="dxa"/>
            <w:vAlign w:val="bottom"/>
          </w:tcPr>
          <w:p>
            <w:pPr>
              <w:jc w:val="center"/>
              <w:spacing w:after="0"/>
              <w:rPr>
                <w:sz w:val="20"/>
                <w:szCs w:val="20"/>
                <w:color w:val="auto"/>
              </w:rPr>
            </w:pPr>
            <w:r>
              <w:rPr>
                <w:rFonts w:ascii="Arial" w:cs="Arial" w:eastAsia="Arial" w:hAnsi="Arial"/>
                <w:sz w:val="13"/>
                <w:szCs w:val="13"/>
                <w:color w:val="auto"/>
                <w:w w:val="84"/>
              </w:rPr>
              <w:t>N</w:t>
            </w:r>
          </w:p>
        </w:tc>
        <w:tc>
          <w:tcPr>
            <w:tcW w:w="660" w:type="dxa"/>
            <w:vAlign w:val="bottom"/>
          </w:tcPr>
          <w:p>
            <w:pPr>
              <w:jc w:val="center"/>
              <w:spacing w:after="0"/>
              <w:rPr>
                <w:sz w:val="20"/>
                <w:szCs w:val="20"/>
                <w:color w:val="auto"/>
              </w:rPr>
            </w:pPr>
            <w:r>
              <w:rPr>
                <w:rFonts w:ascii="Arial" w:cs="Arial" w:eastAsia="Arial" w:hAnsi="Arial"/>
                <w:sz w:val="13"/>
                <w:szCs w:val="13"/>
                <w:color w:val="auto"/>
              </w:rPr>
              <w:t>─</w:t>
            </w:r>
          </w:p>
        </w:tc>
        <w:tc>
          <w:tcPr>
            <w:tcW w:w="60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860" w:type="dxa"/>
            <w:vAlign w:val="bottom"/>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78"/>
        </w:trPr>
        <w:tc>
          <w:tcPr>
            <w:tcW w:w="1920" w:type="dxa"/>
            <w:vAlign w:val="bottom"/>
          </w:tcPr>
          <w:p>
            <w:pPr>
              <w:spacing w:after="0"/>
              <w:rPr>
                <w:sz w:val="20"/>
                <w:szCs w:val="20"/>
                <w:color w:val="auto"/>
              </w:rPr>
            </w:pPr>
            <w:r>
              <w:rPr>
                <w:rFonts w:ascii="Arial" w:cs="Arial" w:eastAsia="Arial" w:hAnsi="Arial"/>
                <w:sz w:val="13"/>
                <w:szCs w:val="13"/>
                <w:color w:val="auto"/>
              </w:rPr>
              <w:t>Greystone Mine/2600411</w:t>
            </w:r>
          </w:p>
        </w:tc>
        <w:tc>
          <w:tcPr>
            <w:tcW w:w="88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620" w:type="dxa"/>
            <w:vAlign w:val="bottom"/>
          </w:tcPr>
          <w:p>
            <w:pPr>
              <w:jc w:val="center"/>
              <w:spacing w:after="0"/>
              <w:rPr>
                <w:sz w:val="20"/>
                <w:szCs w:val="20"/>
                <w:color w:val="auto"/>
              </w:rPr>
            </w:pPr>
            <w:r>
              <w:rPr>
                <w:rFonts w:ascii="Arial" w:cs="Arial" w:eastAsia="Arial" w:hAnsi="Arial"/>
                <w:sz w:val="13"/>
                <w:szCs w:val="13"/>
                <w:color w:val="auto"/>
              </w:rPr>
              <w:t>─</w:t>
            </w:r>
          </w:p>
        </w:tc>
        <w:tc>
          <w:tcPr>
            <w:tcW w:w="800" w:type="dxa"/>
            <w:vAlign w:val="bottom"/>
          </w:tcPr>
          <w:p>
            <w:pPr>
              <w:jc w:val="center"/>
              <w:spacing w:after="0"/>
              <w:rPr>
                <w:sz w:val="20"/>
                <w:szCs w:val="20"/>
                <w:color w:val="auto"/>
              </w:rPr>
            </w:pPr>
            <w:r>
              <w:rPr>
                <w:rFonts w:ascii="Arial" w:cs="Arial" w:eastAsia="Arial" w:hAnsi="Arial"/>
                <w:sz w:val="13"/>
                <w:szCs w:val="13"/>
                <w:color w:val="auto"/>
              </w:rPr>
              <w:t>─</w:t>
            </w:r>
          </w:p>
        </w:tc>
        <w:tc>
          <w:tcPr>
            <w:tcW w:w="760" w:type="dxa"/>
            <w:vAlign w:val="bottom"/>
          </w:tcPr>
          <w:p>
            <w:pPr>
              <w:jc w:val="center"/>
              <w:spacing w:after="0"/>
              <w:rPr>
                <w:sz w:val="20"/>
                <w:szCs w:val="20"/>
                <w:color w:val="auto"/>
              </w:rPr>
            </w:pPr>
            <w:r>
              <w:rPr>
                <w:rFonts w:ascii="Arial" w:cs="Arial" w:eastAsia="Arial" w:hAnsi="Arial"/>
                <w:sz w:val="13"/>
                <w:szCs w:val="13"/>
                <w:color w:val="auto"/>
              </w:rPr>
              <w:t>─</w:t>
            </w:r>
          </w:p>
        </w:tc>
        <w:tc>
          <w:tcPr>
            <w:tcW w:w="68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1040" w:type="dxa"/>
            <w:vAlign w:val="bottom"/>
          </w:tcPr>
          <w:p>
            <w:pPr>
              <w:jc w:val="center"/>
              <w:ind w:left="17"/>
              <w:spacing w:after="0"/>
              <w:rPr>
                <w:sz w:val="20"/>
                <w:szCs w:val="20"/>
                <w:color w:val="auto"/>
              </w:rPr>
            </w:pPr>
            <w:r>
              <w:rPr>
                <w:rFonts w:ascii="Arial" w:cs="Arial" w:eastAsia="Arial" w:hAnsi="Arial"/>
                <w:sz w:val="13"/>
                <w:szCs w:val="13"/>
                <w:color w:val="auto"/>
                <w:w w:val="86"/>
              </w:rPr>
              <w:t>─</w:t>
            </w:r>
          </w:p>
        </w:tc>
        <w:tc>
          <w:tcPr>
            <w:tcW w:w="62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660" w:type="dxa"/>
            <w:vAlign w:val="bottom"/>
          </w:tcPr>
          <w:p>
            <w:pPr>
              <w:jc w:val="center"/>
              <w:spacing w:after="0"/>
              <w:rPr>
                <w:sz w:val="20"/>
                <w:szCs w:val="20"/>
                <w:color w:val="auto"/>
              </w:rPr>
            </w:pPr>
            <w:r>
              <w:rPr>
                <w:rFonts w:ascii="Arial" w:cs="Arial" w:eastAsia="Arial" w:hAnsi="Arial"/>
                <w:sz w:val="13"/>
                <w:szCs w:val="13"/>
                <w:color w:val="auto"/>
              </w:rPr>
              <w:t>N</w:t>
            </w:r>
          </w:p>
        </w:tc>
        <w:tc>
          <w:tcPr>
            <w:tcW w:w="720" w:type="dxa"/>
            <w:vAlign w:val="bottom"/>
          </w:tcPr>
          <w:p>
            <w:pPr>
              <w:jc w:val="center"/>
              <w:spacing w:after="0"/>
              <w:rPr>
                <w:sz w:val="20"/>
                <w:szCs w:val="20"/>
                <w:color w:val="auto"/>
              </w:rPr>
            </w:pPr>
            <w:r>
              <w:rPr>
                <w:rFonts w:ascii="Arial" w:cs="Arial" w:eastAsia="Arial" w:hAnsi="Arial"/>
                <w:sz w:val="13"/>
                <w:szCs w:val="13"/>
                <w:color w:val="auto"/>
                <w:w w:val="84"/>
              </w:rPr>
              <w:t>N</w:t>
            </w:r>
          </w:p>
        </w:tc>
        <w:tc>
          <w:tcPr>
            <w:tcW w:w="660" w:type="dxa"/>
            <w:vAlign w:val="bottom"/>
          </w:tcPr>
          <w:p>
            <w:pPr>
              <w:jc w:val="center"/>
              <w:spacing w:after="0"/>
              <w:rPr>
                <w:sz w:val="20"/>
                <w:szCs w:val="20"/>
                <w:color w:val="auto"/>
              </w:rPr>
            </w:pPr>
            <w:r>
              <w:rPr>
                <w:rFonts w:ascii="Arial" w:cs="Arial" w:eastAsia="Arial" w:hAnsi="Arial"/>
                <w:sz w:val="13"/>
                <w:szCs w:val="13"/>
                <w:color w:val="auto"/>
              </w:rPr>
              <w:t>─</w:t>
            </w:r>
          </w:p>
        </w:tc>
        <w:tc>
          <w:tcPr>
            <w:tcW w:w="60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860" w:type="dxa"/>
            <w:vAlign w:val="bottom"/>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2"/>
        </w:trPr>
        <w:tc>
          <w:tcPr>
            <w:tcW w:w="1920" w:type="dxa"/>
            <w:vAlign w:val="bottom"/>
          </w:tcPr>
          <w:p>
            <w:pPr>
              <w:spacing w:after="0"/>
              <w:rPr>
                <w:sz w:val="20"/>
                <w:szCs w:val="20"/>
                <w:color w:val="auto"/>
              </w:rPr>
            </w:pPr>
            <w:r>
              <w:rPr>
                <w:rFonts w:ascii="Arial" w:cs="Arial" w:eastAsia="Arial" w:hAnsi="Arial"/>
                <w:sz w:val="13"/>
                <w:szCs w:val="13"/>
                <w:color w:val="auto"/>
              </w:rPr>
              <w:t>Mountain Springs Beneficiation</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1040" w:type="dxa"/>
            <w:vAlign w:val="bottom"/>
            <w:vMerge w:val="restart"/>
          </w:tcPr>
          <w:p>
            <w:pPr>
              <w:jc w:val="center"/>
              <w:ind w:left="17"/>
              <w:spacing w:after="0"/>
              <w:rPr>
                <w:sz w:val="20"/>
                <w:szCs w:val="20"/>
                <w:color w:val="auto"/>
              </w:rPr>
            </w:pPr>
            <w:r>
              <w:rPr>
                <w:rFonts w:ascii="Arial" w:cs="Arial" w:eastAsia="Arial" w:hAnsi="Arial"/>
                <w:sz w:val="13"/>
                <w:szCs w:val="13"/>
                <w:color w:val="auto"/>
                <w:w w:val="86"/>
              </w:rPr>
              <w:t>─</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66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720" w:type="dxa"/>
            <w:vAlign w:val="bottom"/>
            <w:vMerge w:val="restart"/>
          </w:tcPr>
          <w:p>
            <w:pPr>
              <w:jc w:val="center"/>
              <w:spacing w:after="0"/>
              <w:rPr>
                <w:sz w:val="20"/>
                <w:szCs w:val="20"/>
                <w:color w:val="auto"/>
              </w:rPr>
            </w:pPr>
            <w:r>
              <w:rPr>
                <w:rFonts w:ascii="Arial" w:cs="Arial" w:eastAsia="Arial" w:hAnsi="Arial"/>
                <w:sz w:val="13"/>
                <w:szCs w:val="13"/>
                <w:color w:val="auto"/>
                <w:w w:val="84"/>
              </w:rPr>
              <w:t>N</w:t>
            </w:r>
          </w:p>
        </w:tc>
        <w:tc>
          <w:tcPr>
            <w:tcW w:w="66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86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3"/>
        </w:trPr>
        <w:tc>
          <w:tcPr>
            <w:tcW w:w="1920" w:type="dxa"/>
            <w:vAlign w:val="bottom"/>
            <w:vMerge w:val="restart"/>
          </w:tcPr>
          <w:p>
            <w:pPr>
              <w:spacing w:after="0"/>
              <w:rPr>
                <w:sz w:val="20"/>
                <w:szCs w:val="20"/>
                <w:color w:val="auto"/>
              </w:rPr>
            </w:pPr>
            <w:r>
              <w:rPr>
                <w:rFonts w:ascii="Arial" w:cs="Arial" w:eastAsia="Arial" w:hAnsi="Arial"/>
                <w:sz w:val="13"/>
                <w:szCs w:val="13"/>
                <w:color w:val="auto"/>
              </w:rPr>
              <w:t>Plant/2601390</w:t>
            </w:r>
          </w:p>
        </w:tc>
        <w:tc>
          <w:tcPr>
            <w:tcW w:w="88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92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1920" w:type="dxa"/>
            <w:vAlign w:val="bottom"/>
          </w:tcPr>
          <w:p>
            <w:pPr>
              <w:spacing w:after="0"/>
              <w:rPr>
                <w:sz w:val="20"/>
                <w:szCs w:val="20"/>
                <w:color w:val="auto"/>
              </w:rPr>
            </w:pPr>
            <w:r>
              <w:rPr>
                <w:rFonts w:ascii="Arial" w:cs="Arial" w:eastAsia="Arial" w:hAnsi="Arial"/>
                <w:sz w:val="13"/>
                <w:szCs w:val="13"/>
                <w:color w:val="auto"/>
              </w:rPr>
              <w:t>Wisconsin Proppants Hixton</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1040" w:type="dxa"/>
            <w:vAlign w:val="bottom"/>
            <w:vMerge w:val="restart"/>
          </w:tcPr>
          <w:p>
            <w:pPr>
              <w:jc w:val="center"/>
              <w:ind w:left="17"/>
              <w:spacing w:after="0"/>
              <w:rPr>
                <w:sz w:val="20"/>
                <w:szCs w:val="20"/>
                <w:color w:val="auto"/>
              </w:rPr>
            </w:pPr>
            <w:r>
              <w:rPr>
                <w:rFonts w:ascii="Arial" w:cs="Arial" w:eastAsia="Arial" w:hAnsi="Arial"/>
                <w:sz w:val="13"/>
                <w:szCs w:val="13"/>
                <w:color w:val="auto"/>
                <w:w w:val="82"/>
              </w:rPr>
              <w:t>$123</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66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720" w:type="dxa"/>
            <w:vAlign w:val="bottom"/>
            <w:vMerge w:val="restart"/>
          </w:tcPr>
          <w:p>
            <w:pPr>
              <w:jc w:val="center"/>
              <w:spacing w:after="0"/>
              <w:rPr>
                <w:sz w:val="20"/>
                <w:szCs w:val="20"/>
                <w:color w:val="auto"/>
              </w:rPr>
            </w:pPr>
            <w:r>
              <w:rPr>
                <w:rFonts w:ascii="Arial" w:cs="Arial" w:eastAsia="Arial" w:hAnsi="Arial"/>
                <w:sz w:val="13"/>
                <w:szCs w:val="13"/>
                <w:color w:val="auto"/>
                <w:w w:val="84"/>
              </w:rPr>
              <w:t>N</w:t>
            </w:r>
          </w:p>
        </w:tc>
        <w:tc>
          <w:tcPr>
            <w:tcW w:w="66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86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3"/>
        </w:trPr>
        <w:tc>
          <w:tcPr>
            <w:tcW w:w="1920" w:type="dxa"/>
            <w:vAlign w:val="bottom"/>
            <w:vMerge w:val="restart"/>
          </w:tcPr>
          <w:p>
            <w:pPr>
              <w:spacing w:after="0"/>
              <w:rPr>
                <w:sz w:val="20"/>
                <w:szCs w:val="20"/>
                <w:color w:val="auto"/>
              </w:rPr>
            </w:pPr>
            <w:r>
              <w:rPr>
                <w:rFonts w:ascii="Arial" w:cs="Arial" w:eastAsia="Arial" w:hAnsi="Arial"/>
                <w:sz w:val="13"/>
                <w:szCs w:val="13"/>
                <w:color w:val="auto"/>
              </w:rPr>
              <w:t>Mine/4703742</w:t>
            </w:r>
          </w:p>
        </w:tc>
        <w:tc>
          <w:tcPr>
            <w:tcW w:w="88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92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1920" w:type="dxa"/>
            <w:vAlign w:val="bottom"/>
          </w:tcPr>
          <w:p>
            <w:pPr>
              <w:spacing w:after="0"/>
              <w:rPr>
                <w:sz w:val="20"/>
                <w:szCs w:val="20"/>
                <w:color w:val="auto"/>
              </w:rPr>
            </w:pPr>
            <w:r>
              <w:rPr>
                <w:rFonts w:ascii="Arial" w:cs="Arial" w:eastAsia="Arial" w:hAnsi="Arial"/>
                <w:sz w:val="13"/>
                <w:szCs w:val="13"/>
                <w:color w:val="auto"/>
              </w:rPr>
              <w:t>Wisconsin Proppants Alma</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1040" w:type="dxa"/>
            <w:vAlign w:val="bottom"/>
            <w:vMerge w:val="restart"/>
          </w:tcPr>
          <w:p>
            <w:pPr>
              <w:jc w:val="center"/>
              <w:ind w:left="17"/>
              <w:spacing w:after="0"/>
              <w:rPr>
                <w:sz w:val="20"/>
                <w:szCs w:val="20"/>
                <w:color w:val="auto"/>
              </w:rPr>
            </w:pPr>
            <w:r>
              <w:rPr>
                <w:rFonts w:ascii="Arial" w:cs="Arial" w:eastAsia="Arial" w:hAnsi="Arial"/>
                <w:sz w:val="13"/>
                <w:szCs w:val="13"/>
                <w:color w:val="auto"/>
                <w:w w:val="86"/>
              </w:rPr>
              <w:t>─</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66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720" w:type="dxa"/>
            <w:vAlign w:val="bottom"/>
            <w:vMerge w:val="restart"/>
          </w:tcPr>
          <w:p>
            <w:pPr>
              <w:jc w:val="center"/>
              <w:spacing w:after="0"/>
              <w:rPr>
                <w:sz w:val="20"/>
                <w:szCs w:val="20"/>
                <w:color w:val="auto"/>
              </w:rPr>
            </w:pPr>
            <w:r>
              <w:rPr>
                <w:rFonts w:ascii="Arial" w:cs="Arial" w:eastAsia="Arial" w:hAnsi="Arial"/>
                <w:sz w:val="13"/>
                <w:szCs w:val="13"/>
                <w:color w:val="auto"/>
                <w:w w:val="84"/>
              </w:rPr>
              <w:t>N</w:t>
            </w:r>
          </w:p>
        </w:tc>
        <w:tc>
          <w:tcPr>
            <w:tcW w:w="66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86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3"/>
        </w:trPr>
        <w:tc>
          <w:tcPr>
            <w:tcW w:w="1920" w:type="dxa"/>
            <w:vAlign w:val="bottom"/>
            <w:vMerge w:val="restart"/>
          </w:tcPr>
          <w:p>
            <w:pPr>
              <w:spacing w:after="0"/>
              <w:rPr>
                <w:sz w:val="20"/>
                <w:szCs w:val="20"/>
                <w:color w:val="auto"/>
              </w:rPr>
            </w:pPr>
            <w:r>
              <w:rPr>
                <w:rFonts w:ascii="Arial" w:cs="Arial" w:eastAsia="Arial" w:hAnsi="Arial"/>
                <w:sz w:val="13"/>
                <w:szCs w:val="13"/>
                <w:color w:val="auto"/>
              </w:rPr>
              <w:t>Mine/4703823</w:t>
            </w:r>
          </w:p>
        </w:tc>
        <w:tc>
          <w:tcPr>
            <w:tcW w:w="88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92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1920" w:type="dxa"/>
            <w:vAlign w:val="bottom"/>
          </w:tcPr>
          <w:p>
            <w:pPr>
              <w:spacing w:after="0"/>
              <w:rPr>
                <w:sz w:val="20"/>
                <w:szCs w:val="20"/>
                <w:color w:val="auto"/>
              </w:rPr>
            </w:pPr>
            <w:r>
              <w:rPr>
                <w:rFonts w:ascii="Arial" w:cs="Arial" w:eastAsia="Arial" w:hAnsi="Arial"/>
                <w:sz w:val="13"/>
                <w:szCs w:val="13"/>
                <w:color w:val="auto"/>
              </w:rPr>
              <w:t>Wisconsin Proppants Monahans</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1040" w:type="dxa"/>
            <w:vAlign w:val="bottom"/>
            <w:vMerge w:val="restart"/>
          </w:tcPr>
          <w:p>
            <w:pPr>
              <w:jc w:val="center"/>
              <w:ind w:left="17"/>
              <w:spacing w:after="0"/>
              <w:rPr>
                <w:sz w:val="20"/>
                <w:szCs w:val="20"/>
                <w:color w:val="auto"/>
              </w:rPr>
            </w:pPr>
            <w:r>
              <w:rPr>
                <w:rFonts w:ascii="Arial" w:cs="Arial" w:eastAsia="Arial" w:hAnsi="Arial"/>
                <w:sz w:val="13"/>
                <w:szCs w:val="13"/>
                <w:color w:val="auto"/>
                <w:w w:val="86"/>
              </w:rPr>
              <w:t>─</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66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720" w:type="dxa"/>
            <w:vAlign w:val="bottom"/>
            <w:vMerge w:val="restart"/>
          </w:tcPr>
          <w:p>
            <w:pPr>
              <w:jc w:val="center"/>
              <w:spacing w:after="0"/>
              <w:rPr>
                <w:sz w:val="20"/>
                <w:szCs w:val="20"/>
                <w:color w:val="auto"/>
              </w:rPr>
            </w:pPr>
            <w:r>
              <w:rPr>
                <w:rFonts w:ascii="Arial" w:cs="Arial" w:eastAsia="Arial" w:hAnsi="Arial"/>
                <w:sz w:val="13"/>
                <w:szCs w:val="13"/>
                <w:color w:val="auto"/>
                <w:w w:val="84"/>
              </w:rPr>
              <w:t>N</w:t>
            </w:r>
          </w:p>
        </w:tc>
        <w:tc>
          <w:tcPr>
            <w:tcW w:w="66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86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3"/>
        </w:trPr>
        <w:tc>
          <w:tcPr>
            <w:tcW w:w="1920" w:type="dxa"/>
            <w:vAlign w:val="bottom"/>
            <w:vMerge w:val="restart"/>
          </w:tcPr>
          <w:p>
            <w:pPr>
              <w:spacing w:after="0"/>
              <w:rPr>
                <w:sz w:val="20"/>
                <w:szCs w:val="20"/>
                <w:color w:val="auto"/>
              </w:rPr>
            </w:pPr>
            <w:r>
              <w:rPr>
                <w:rFonts w:ascii="Arial" w:cs="Arial" w:eastAsia="Arial" w:hAnsi="Arial"/>
                <w:sz w:val="13"/>
                <w:szCs w:val="13"/>
                <w:color w:val="auto"/>
              </w:rPr>
              <w:t>Mine/4105336</w:t>
            </w:r>
          </w:p>
        </w:tc>
        <w:tc>
          <w:tcPr>
            <w:tcW w:w="88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92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1920" w:type="dxa"/>
            <w:vAlign w:val="bottom"/>
          </w:tcPr>
          <w:p>
            <w:pPr>
              <w:spacing w:after="0"/>
              <w:rPr>
                <w:sz w:val="20"/>
                <w:szCs w:val="20"/>
                <w:color w:val="auto"/>
              </w:rPr>
            </w:pPr>
            <w:r>
              <w:rPr>
                <w:rFonts w:ascii="Arial" w:cs="Arial" w:eastAsia="Arial" w:hAnsi="Arial"/>
                <w:sz w:val="13"/>
                <w:szCs w:val="13"/>
                <w:color w:val="auto"/>
                <w:w w:val="99"/>
              </w:rPr>
              <w:t>Wisconsin Proppants High Roller</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auto"/>
              </w:rPr>
              <w:t>2</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1040" w:type="dxa"/>
            <w:vAlign w:val="bottom"/>
            <w:vMerge w:val="restart"/>
          </w:tcPr>
          <w:p>
            <w:pPr>
              <w:jc w:val="center"/>
              <w:ind w:left="17"/>
              <w:spacing w:after="0"/>
              <w:rPr>
                <w:sz w:val="20"/>
                <w:szCs w:val="20"/>
                <w:color w:val="auto"/>
              </w:rPr>
            </w:pPr>
            <w:r>
              <w:rPr>
                <w:rFonts w:ascii="Arial" w:cs="Arial" w:eastAsia="Arial" w:hAnsi="Arial"/>
                <w:sz w:val="13"/>
                <w:szCs w:val="13"/>
                <w:color w:val="auto"/>
                <w:w w:val="94"/>
              </w:rPr>
              <w:t>$0 (2)</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66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720" w:type="dxa"/>
            <w:vAlign w:val="bottom"/>
            <w:vMerge w:val="restart"/>
          </w:tcPr>
          <w:p>
            <w:pPr>
              <w:jc w:val="center"/>
              <w:spacing w:after="0"/>
              <w:rPr>
                <w:sz w:val="20"/>
                <w:szCs w:val="20"/>
                <w:color w:val="auto"/>
              </w:rPr>
            </w:pPr>
            <w:r>
              <w:rPr>
                <w:rFonts w:ascii="Arial" w:cs="Arial" w:eastAsia="Arial" w:hAnsi="Arial"/>
                <w:sz w:val="13"/>
                <w:szCs w:val="13"/>
                <w:color w:val="auto"/>
                <w:w w:val="84"/>
              </w:rPr>
              <w:t>N</w:t>
            </w:r>
          </w:p>
        </w:tc>
        <w:tc>
          <w:tcPr>
            <w:tcW w:w="66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86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3"/>
        </w:trPr>
        <w:tc>
          <w:tcPr>
            <w:tcW w:w="1920" w:type="dxa"/>
            <w:vAlign w:val="bottom"/>
            <w:vMerge w:val="restart"/>
          </w:tcPr>
          <w:p>
            <w:pPr>
              <w:spacing w:after="0"/>
              <w:rPr>
                <w:sz w:val="20"/>
                <w:szCs w:val="20"/>
                <w:color w:val="auto"/>
              </w:rPr>
            </w:pPr>
            <w:r>
              <w:rPr>
                <w:rFonts w:ascii="Arial" w:cs="Arial" w:eastAsia="Arial" w:hAnsi="Arial"/>
                <w:sz w:val="13"/>
                <w:szCs w:val="13"/>
                <w:color w:val="auto"/>
              </w:rPr>
              <w:t>Sand Mine/4105321</w:t>
            </w:r>
          </w:p>
        </w:tc>
        <w:tc>
          <w:tcPr>
            <w:tcW w:w="88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92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49" w:lineRule="exact"/>
        <w:rPr>
          <w:sz w:val="20"/>
          <w:szCs w:val="20"/>
          <w:color w:val="auto"/>
        </w:rPr>
      </w:pPr>
    </w:p>
    <w:p>
      <w:pPr>
        <w:ind w:left="380" w:right="260" w:hanging="372"/>
        <w:spacing w:after="0" w:line="273" w:lineRule="auto"/>
        <w:tabs>
          <w:tab w:leader="none" w:pos="3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Amounts included are the total dollar value of proposed assessments received from MSHA during the quarter on or before June 30, 2020, regardless of whether the assessment has been challenged or appealed. Citations and orders can be contested and appealed, and as part of that process, are sometimes reduced in severity and amount, and sometimes dismissed. The number of citations, orders, and proposed assessments vary by inspector and vary depending on the size and type of the operation.</w:t>
      </w:r>
    </w:p>
    <w:p>
      <w:pPr>
        <w:spacing w:after="0" w:line="242" w:lineRule="exact"/>
        <w:rPr>
          <w:rFonts w:ascii="Arial" w:cs="Arial" w:eastAsia="Arial" w:hAnsi="Arial"/>
          <w:sz w:val="16"/>
          <w:szCs w:val="16"/>
          <w:color w:val="auto"/>
        </w:rPr>
      </w:pPr>
    </w:p>
    <w:p>
      <w:pPr>
        <w:ind w:left="380" w:right="700" w:hanging="372"/>
        <w:spacing w:after="0" w:line="293" w:lineRule="auto"/>
        <w:tabs>
          <w:tab w:leader="none" w:pos="3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As of June 30, 2020, MSHA had not yet proposed an assessment for two S&amp;S citations and two non-S&amp;S citations at Wisconsin Proppants High Roller Sand Mine/4105321.</w:t>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1)"/>
      <w:numFmt w:val="decimal"/>
      <w:start w:val="1"/>
    </w:lvl>
  </w:abstractNum>
  <w:abstractNum w:abstractNumId="1">
    <w:nsid w:val="25E45D32"/>
    <w:multiLevelType w:val="hybridMultilevel"/>
    <w:lvl w:ilvl="0">
      <w:lvlJc w:val="left"/>
      <w:lvlText w:val="%1."/>
      <w:numFmt w:val="decimal"/>
      <w:start w:val="1"/>
    </w:lvl>
  </w:abstractNum>
  <w:abstractNum w:abstractNumId="2">
    <w:nsid w:val="519B500D"/>
    <w:multiLevelType w:val="hybridMultilevel"/>
    <w:lvl w:ilvl="0">
      <w:lvlJc w:val="left"/>
      <w:lvlText w:val="%1."/>
      <w:numFmt w:val="decimal"/>
      <w:start w:val="2"/>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lvl w:ilvl="1">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lvl w:ilvl="1">
      <w:lvlJc w:val="left"/>
      <w:lvlText w:val="-"/>
      <w:numFmt w:val="bullet"/>
      <w:start w:val="1"/>
    </w:lvl>
  </w:abstractNum>
  <w:abstractNum w:abstractNumId="7">
    <w:nsid w:val="62BBD95A"/>
    <w:multiLevelType w:val="hybridMultilevel"/>
    <w:lvl w:ilvl="0">
      <w:lvlJc w:val="left"/>
      <w:lvlText w:val="%1."/>
      <w:numFmt w:val="decimal"/>
      <w:start w:val="3"/>
    </w:lvl>
  </w:abstractNum>
  <w:abstractNum w:abstractNumId="8">
    <w:nsid w:val="436C6125"/>
    <w:multiLevelType w:val="hybridMultilevel"/>
    <w:lvl w:ilvl="0">
      <w:lvlJc w:val="left"/>
      <w:lvlText w:val="%1."/>
      <w:numFmt w:val="decimal"/>
      <w:start w:val="4"/>
    </w:lvl>
  </w:abstractNum>
  <w:abstractNum w:abstractNumId="9">
    <w:nsid w:val="628C895D"/>
    <w:multiLevelType w:val="hybridMultilevel"/>
    <w:lvl w:ilvl="0">
      <w:lvlJc w:val="left"/>
      <w:lvlText w:val="%1."/>
      <w:numFmt w:val="decimal"/>
      <w:start w:val="6"/>
    </w:lvl>
  </w:abstractNum>
  <w:abstractNum w:abstractNumId="10">
    <w:nsid w:val="333AB105"/>
    <w:multiLevelType w:val="hybridMultilevel"/>
    <w:lvl w:ilvl="0">
      <w:lvlJc w:val="left"/>
      <w:lvlText w:val="%1."/>
      <w:numFmt w:val="decimal"/>
      <w:start w:val="8"/>
    </w:lvl>
  </w:abstractNum>
  <w:abstractNum w:abstractNumId="11">
    <w:nsid w:val="721DA317"/>
    <w:multiLevelType w:val="hybridMultilevel"/>
    <w:lvl w:ilvl="0">
      <w:lvlJc w:val="left"/>
      <w:lvlText w:val="%1."/>
      <w:numFmt w:val="decimal"/>
      <w:start w:val="9"/>
    </w:lvl>
  </w:abstractNum>
  <w:abstractNum w:abstractNumId="12">
    <w:nsid w:val="2443A858"/>
    <w:multiLevelType w:val="hybridMultilevel"/>
    <w:lvl w:ilvl="0">
      <w:lvlJc w:val="left"/>
      <w:lvlText w:val="%1."/>
      <w:numFmt w:val="decimal"/>
      <w:start w:val="10"/>
    </w:lvl>
  </w:abstractNum>
  <w:abstractNum w:abstractNumId="13">
    <w:nsid w:val="2D1D5AE9"/>
    <w:multiLevelType w:val="hybridMultilevel"/>
    <w:lvl w:ilvl="0">
      <w:lvlJc w:val="left"/>
      <w:lvlText w:val="%1."/>
      <w:numFmt w:val="decimal"/>
      <w:start w:val="11"/>
    </w:lvl>
  </w:abstractNum>
  <w:abstractNum w:abstractNumId="14">
    <w:nsid w:val="6763845E"/>
    <w:multiLevelType w:val="hybridMultilevel"/>
    <w:lvl w:ilvl="0">
      <w:lvlJc w:val="left"/>
      <w:lvlText w:val="%1."/>
      <w:numFmt w:val="decimal"/>
      <w:start w:val="12"/>
    </w:lvl>
  </w:abstractNum>
  <w:abstractNum w:abstractNumId="15">
    <w:nsid w:val="75A2A8D4"/>
    <w:multiLevelType w:val="hybridMultilevel"/>
    <w:lvl w:ilvl="0">
      <w:lvlJc w:val="left"/>
      <w:lvlText w:val="(%1)"/>
      <w:numFmt w:val="decimal"/>
      <w:start w:val="1"/>
    </w:lvl>
  </w:abstractNum>
  <w:abstractNum w:abstractNumId="16">
    <w:nsid w:val="8EDBDAB"/>
    <w:multiLevelType w:val="hybridMultilevel"/>
    <w:lvl w:ilvl="0">
      <w:lvlJc w:val="left"/>
      <w:lvlText w:val="(%1)"/>
      <w:numFmt w:val="decimal"/>
      <w:start w:val="1"/>
    </w:lvl>
  </w:abstractNum>
  <w:abstractNum w:abstractNumId="17">
    <w:nsid w:val="79838CB2"/>
    <w:multiLevelType w:val="hybridMultilevel"/>
    <w:lvl w:ilvl="0">
      <w:lvlJc w:val="left"/>
      <w:lvlText w:val="%1."/>
      <w:numFmt w:val="decimal"/>
      <w:start w:val="13"/>
    </w:lvl>
  </w:abstractNum>
  <w:abstractNum w:abstractNumId="18">
    <w:nsid w:val="4353D0CD"/>
    <w:multiLevelType w:val="hybridMultilevel"/>
    <w:lvl w:ilvl="0">
      <w:lvlJc w:val="left"/>
      <w:lvlText w:val="(%1)"/>
      <w:numFmt w:val="decimal"/>
      <w:start w:val="1"/>
    </w:lvl>
  </w:abstractNum>
  <w:abstractNum w:abstractNumId="19">
    <w:nsid w:val="B03E0C6"/>
    <w:multiLevelType w:val="hybridMultilevel"/>
    <w:lvl w:ilvl="0">
      <w:lvlJc w:val="left"/>
      <w:lvlText w:val="(%1)"/>
      <w:numFmt w:val="decimal"/>
      <w:start w:val="1"/>
    </w:lvl>
  </w:abstractNum>
  <w:abstractNum w:abstractNumId="20">
    <w:nsid w:val="189A769B"/>
    <w:multiLevelType w:val="hybridMultilevel"/>
    <w:lvl w:ilvl="0">
      <w:lvlJc w:val="left"/>
      <w:lvlText w:val="(%1)"/>
      <w:numFmt w:val="decimal"/>
      <w:start w:val="1"/>
    </w:lvl>
  </w:abstractNum>
  <w:abstractNum w:abstractNumId="21">
    <w:nsid w:val="54E49EB4"/>
    <w:multiLevelType w:val="hybridMultilevel"/>
    <w:lvl w:ilvl="0">
      <w:lvlJc w:val="left"/>
      <w:lvlText w:val="(%1)"/>
      <w:numFmt w:val="decimal"/>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1."/>
      <w:numFmt w:val="decimal"/>
      <w:start w:val="1"/>
    </w:lvl>
    <w:lvl w:ilvl="1">
      <w:lvlJc w:val="left"/>
      <w:lvlText w:val="%2)"/>
      <w:numFmt w:val="lowerLetter"/>
      <w:start w:val="1"/>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48" Type="http://schemas.openxmlformats.org/officeDocument/2006/relationships/hyperlink" Target="http://www.sec.gov/Archives/edgar/data/87347/000119312516532046/d176097dex31.htm" TargetMode="External"/><Relationship Id="rId49" Type="http://schemas.openxmlformats.org/officeDocument/2006/relationships/hyperlink" Target="http://www.sec.gov/Archives/edgar/data/87347/000119312519198989/d763655dex3.htm" TargetMode="External"/><Relationship Id="rId50" Type="http://schemas.openxmlformats.org/officeDocument/2006/relationships/hyperlink" Target="http://www.sec.gov/Archives/edgar/data/87347/000119312513460494/d637672dex41.htm" TargetMode="External"/><Relationship Id="rId51" Type="http://schemas.openxmlformats.org/officeDocument/2006/relationships/hyperlink" Target="http://www.sec.gov/Archives/edgar/data/87347/000119312520180957/d925505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2020-07-29T10:25:29Z</dcterms:created>
  <dcterms:modified xsi:type="dcterms:W3CDTF">2020-07-29T10:25:29Z</dcterms:modified>
</cp:coreProperties>
</file>