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7"/>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gridSpan w:val="9"/>
          </w:tcPr>
          <w:p>
            <w:pPr>
              <w:jc w:val="center"/>
              <w:ind w:left="127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gridSpan w:val="7"/>
            <w:vMerge w:val="restart"/>
          </w:tcPr>
          <w:p>
            <w:pPr>
              <w:jc w:val="center"/>
              <w:ind w:right="720"/>
              <w:spacing w:after="0"/>
              <w:rPr>
                <w:sz w:val="20"/>
                <w:szCs w:val="20"/>
                <w:color w:val="auto"/>
              </w:rPr>
            </w:pPr>
            <w:r>
              <w:rPr>
                <w:rFonts w:ascii="Arial" w:cs="Arial" w:eastAsia="Arial" w:hAnsi="Arial"/>
                <w:sz w:val="14"/>
                <w:szCs w:val="14"/>
                <w:b w:val="1"/>
                <w:bCs w:val="1"/>
                <w:color w:val="auto"/>
                <w:w w:val="93"/>
              </w:rPr>
              <w:t>Washington, D.C. 20549</w:t>
            </w: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gridSpan w:val="3"/>
            <w:vMerge w:val="restart"/>
          </w:tcPr>
          <w:p>
            <w:pPr>
              <w:ind w:left="400"/>
              <w:spacing w:after="0"/>
              <w:rPr>
                <w:sz w:val="20"/>
                <w:szCs w:val="20"/>
                <w:color w:val="auto"/>
              </w:rPr>
            </w:pPr>
            <w:r>
              <w:rPr>
                <w:rFonts w:ascii="Arial" w:cs="Arial" w:eastAsia="Arial" w:hAnsi="Arial"/>
                <w:sz w:val="18"/>
                <w:szCs w:val="18"/>
                <w:b w:val="1"/>
                <w:bCs w:val="1"/>
                <w:color w:val="auto"/>
              </w:rPr>
              <w:t>FORM 144</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20" w:type="dxa"/>
            <w:vAlign w:val="bottom"/>
            <w:gridSpan w:val="9"/>
            <w:vMerge w:val="restart"/>
          </w:tcPr>
          <w:p>
            <w:pPr>
              <w:jc w:val="center"/>
              <w:ind w:left="1273"/>
              <w:spacing w:after="0"/>
              <w:rPr>
                <w:sz w:val="20"/>
                <w:szCs w:val="20"/>
                <w:color w:val="auto"/>
              </w:rPr>
            </w:pPr>
            <w:r>
              <w:rPr>
                <w:rFonts w:ascii="Arial" w:cs="Arial" w:eastAsia="Arial" w:hAnsi="Arial"/>
                <w:sz w:val="14"/>
                <w:szCs w:val="14"/>
                <w:b w:val="1"/>
                <w:bCs w:val="1"/>
                <w:color w:val="auto"/>
              </w:rPr>
              <w:t>NOTICE OF PROPOSED SALE OF SECURITIES</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20" w:type="dxa"/>
            <w:vAlign w:val="bottom"/>
            <w:gridSpan w:val="9"/>
            <w:vMerge w:val="continue"/>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20" w:type="dxa"/>
            <w:vAlign w:val="bottom"/>
            <w:gridSpan w:val="9"/>
            <w:vMerge w:val="continue"/>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08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2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ind w:left="360"/>
              <w:spacing w:after="0"/>
              <w:rPr>
                <w:sz w:val="20"/>
                <w:szCs w:val="20"/>
                <w:color w:val="auto"/>
              </w:rPr>
            </w:pPr>
            <w:r>
              <w:rPr>
                <w:rFonts w:ascii="Arial" w:cs="Arial" w:eastAsia="Arial" w:hAnsi="Arial"/>
                <w:sz w:val="18"/>
                <w:szCs w:val="18"/>
                <w:color w:val="auto"/>
                <w:w w:val="92"/>
              </w:rPr>
              <w:t>Houston</w:t>
            </w: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20" w:type="dxa"/>
            <w:vAlign w:val="bottom"/>
          </w:tcPr>
          <w:p>
            <w:pPr>
              <w:spacing w:after="0"/>
              <w:rPr>
                <w:sz w:val="9"/>
                <w:szCs w:val="9"/>
                <w:color w:val="auto"/>
              </w:rPr>
            </w:pPr>
          </w:p>
        </w:tc>
        <w:tc>
          <w:tcPr>
            <w:tcW w:w="17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Borders>
              <w:right w:val="single" w:sz="8" w:color="auto"/>
            </w:tcBorders>
            <w:gridSpan w:val="4"/>
          </w:tcPr>
          <w:p>
            <w:pPr>
              <w:spacing w:after="0" w:line="135" w:lineRule="exact"/>
              <w:rPr>
                <w:sz w:val="20"/>
                <w:szCs w:val="20"/>
                <w:color w:val="auto"/>
              </w:rPr>
            </w:pPr>
            <w:r>
              <w:rPr>
                <w:rFonts w:ascii="Arial" w:cs="Arial" w:eastAsia="Arial" w:hAnsi="Arial"/>
                <w:sz w:val="13"/>
                <w:szCs w:val="13"/>
                <w:color w:val="auto"/>
              </w:rPr>
              <w:t>TO ISSUER</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Ashok Belani</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Officer</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52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080" w:type="dxa"/>
            <w:vAlign w:val="bottom"/>
            <w:tcBorders>
              <w:right w:val="single" w:sz="8" w:color="auto"/>
            </w:tcBorders>
            <w:gridSpan w:val="2"/>
          </w:tcPr>
          <w:p>
            <w:pPr>
              <w:jc w:val="center"/>
              <w:ind w:left="3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3"/>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100" w:type="dxa"/>
            <w:vAlign w:val="bottom"/>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30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26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w w:val="99"/>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3"/>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4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08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3"/>
              </w:rPr>
              <w:t>Each Market 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4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8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5"/>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26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right w:val="single" w:sz="8" w:color="auto"/>
            </w:tcBorders>
          </w:tcPr>
          <w:p>
            <w:pPr>
              <w:jc w:val="center"/>
              <w:ind w:right="4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90"/>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Morgan Stanley Smith</w:t>
            </w:r>
          </w:p>
        </w:tc>
        <w:tc>
          <w:tcPr>
            <w:tcW w:w="760" w:type="dxa"/>
            <w:vAlign w:val="bottom"/>
            <w:tcBorders>
              <w:right w:val="single" w:sz="8" w:color="BFBFBF"/>
            </w:tcBorders>
            <w:shd w:val="clear" w:color="auto" w:fill="BFBFBF"/>
          </w:tcPr>
          <w:p>
            <w:pPr>
              <w:spacing w:after="0"/>
              <w:rPr>
                <w:sz w:val="16"/>
                <w:szCs w:val="16"/>
                <w:color w:val="auto"/>
              </w:rPr>
            </w:pPr>
          </w:p>
        </w:tc>
        <w:tc>
          <w:tcPr>
            <w:tcW w:w="26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Barney LLC</w:t>
            </w:r>
          </w:p>
        </w:tc>
        <w:tc>
          <w:tcPr>
            <w:tcW w:w="760" w:type="dxa"/>
            <w:vAlign w:val="bottom"/>
            <w:tcBorders>
              <w:right w:val="single" w:sz="8" w:color="BFBFBF"/>
            </w:tcBorders>
            <w:shd w:val="clear" w:color="auto" w:fill="BFBFBF"/>
          </w:tcPr>
          <w:p>
            <w:pPr>
              <w:spacing w:after="0"/>
              <w:rPr>
                <w:sz w:val="18"/>
                <w:szCs w:val="18"/>
                <w:color w:val="auto"/>
              </w:rPr>
            </w:pPr>
          </w:p>
        </w:tc>
        <w:tc>
          <w:tcPr>
            <w:tcW w:w="2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Executive Financial Services</w:t>
            </w:r>
          </w:p>
        </w:tc>
        <w:tc>
          <w:tcPr>
            <w:tcW w:w="760" w:type="dxa"/>
            <w:vAlign w:val="bottom"/>
            <w:tcBorders>
              <w:right w:val="single" w:sz="8" w:color="BFBFBF"/>
            </w:tcBorders>
            <w:shd w:val="clear" w:color="auto" w:fill="BFBFBF"/>
          </w:tcPr>
          <w:p>
            <w:pPr>
              <w:spacing w:after="0"/>
              <w:rPr>
                <w:sz w:val="18"/>
                <w:szCs w:val="18"/>
                <w:color w:val="auto"/>
              </w:rPr>
            </w:pPr>
          </w:p>
        </w:tc>
        <w:tc>
          <w:tcPr>
            <w:tcW w:w="2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09"/>
              <w:spacing w:after="0"/>
              <w:rPr>
                <w:sz w:val="20"/>
                <w:szCs w:val="20"/>
                <w:color w:val="auto"/>
              </w:rPr>
            </w:pPr>
            <w:r>
              <w:rPr>
                <w:rFonts w:ascii="Arial" w:cs="Arial" w:eastAsia="Arial" w:hAnsi="Arial"/>
                <w:sz w:val="18"/>
                <w:szCs w:val="18"/>
                <w:color w:val="auto"/>
                <w:w w:val="92"/>
              </w:rPr>
              <w:t>230,032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vMerge w:val="restart"/>
          </w:tcPr>
          <w:p>
            <w:pPr>
              <w:jc w:val="right"/>
              <w:ind w:right="43"/>
              <w:spacing w:after="0"/>
              <w:rPr>
                <w:sz w:val="20"/>
                <w:szCs w:val="20"/>
                <w:color w:val="auto"/>
              </w:rPr>
            </w:pPr>
            <w:r>
              <w:rPr>
                <w:rFonts w:ascii="Arial" w:cs="Arial" w:eastAsia="Arial" w:hAnsi="Arial"/>
                <w:sz w:val="18"/>
                <w:szCs w:val="18"/>
                <w:color w:val="auto"/>
                <w:w w:val="89"/>
              </w:rPr>
              <w:t>$27,143,776.00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1,298,879,576</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06/30/2014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40" w:type="dxa"/>
            <w:vAlign w:val="bottom"/>
            <w:tcBorders>
              <w:right w:val="single" w:sz="8" w:color="auto"/>
            </w:tcBorders>
            <w:gridSpan w:val="3"/>
          </w:tcPr>
          <w:p>
            <w:pPr>
              <w:spacing w:after="0" w:line="216" w:lineRule="exact"/>
              <w:rPr>
                <w:sz w:val="20"/>
                <w:szCs w:val="20"/>
                <w:color w:val="auto"/>
              </w:rPr>
            </w:pPr>
            <w:r>
              <w:rPr>
                <w:rFonts w:ascii="Arial" w:cs="Arial" w:eastAsia="Arial" w:hAnsi="Arial"/>
                <w:sz w:val="18"/>
                <w:szCs w:val="18"/>
                <w:color w:val="auto"/>
              </w:rPr>
              <w:t>787 Seventh Avenue, 13</w:t>
            </w:r>
            <w:r>
              <w:rPr>
                <w:rFonts w:ascii="Arial" w:cs="Arial" w:eastAsia="Arial" w:hAnsi="Arial"/>
                <w:sz w:val="25"/>
                <w:szCs w:val="25"/>
                <w:color w:val="auto"/>
                <w:vertAlign w:val="superscript"/>
              </w:rPr>
              <w:t>th</w:t>
            </w:r>
          </w:p>
        </w:tc>
        <w:tc>
          <w:tcPr>
            <w:tcW w:w="760" w:type="dxa"/>
            <w:vAlign w:val="bottom"/>
            <w:tcBorders>
              <w:right w:val="single" w:sz="8" w:color="BFBFBF"/>
            </w:tcBorders>
            <w:shd w:val="clear" w:color="auto" w:fill="BFBFBF"/>
          </w:tcPr>
          <w:p>
            <w:pPr>
              <w:spacing w:after="0"/>
              <w:rPr>
                <w:sz w:val="18"/>
                <w:szCs w:val="18"/>
                <w:color w:val="auto"/>
              </w:rPr>
            </w:pPr>
          </w:p>
        </w:tc>
        <w:tc>
          <w:tcPr>
            <w:tcW w:w="2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floor</w:t>
            </w:r>
          </w:p>
        </w:tc>
        <w:tc>
          <w:tcPr>
            <w:tcW w:w="760" w:type="dxa"/>
            <w:vAlign w:val="bottom"/>
            <w:tcBorders>
              <w:right w:val="single" w:sz="8" w:color="BFBFBF"/>
            </w:tcBorders>
            <w:shd w:val="clear" w:color="auto" w:fill="BFBFBF"/>
          </w:tcPr>
          <w:p>
            <w:pPr>
              <w:spacing w:after="0"/>
              <w:rPr>
                <w:sz w:val="18"/>
                <w:szCs w:val="18"/>
                <w:color w:val="auto"/>
              </w:rPr>
            </w:pPr>
          </w:p>
        </w:tc>
        <w:tc>
          <w:tcPr>
            <w:tcW w:w="2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New York, NY 10019</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26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26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26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40" w:type="dxa"/>
            <w:vAlign w:val="bottom"/>
            <w:gridSpan w:val="7"/>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2"/>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20"/>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00" w:type="dxa"/>
            <w:vAlign w:val="bottom"/>
            <w:gridSpan w:val="21"/>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10"/>
          </w:tcPr>
          <w:p>
            <w:pPr>
              <w:jc w:val="center"/>
              <w:ind w:right="26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10"/>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2"/>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6"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Nature of Acquisition</w:t>
            </w: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ind w:left="360"/>
              <w:spacing w:after="0" w:line="112" w:lineRule="exact"/>
              <w:rPr>
                <w:sz w:val="20"/>
                <w:szCs w:val="20"/>
                <w:color w:val="auto"/>
              </w:rPr>
            </w:pPr>
            <w:r>
              <w:rPr>
                <w:rFonts w:ascii="Arial" w:cs="Arial" w:eastAsia="Arial" w:hAnsi="Arial"/>
                <w:sz w:val="12"/>
                <w:szCs w:val="12"/>
                <w:color w:val="auto"/>
              </w:rPr>
              <w:t>6/27/2014</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Stock Option Exercise</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Stock Option Exercise</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2"/>
              </w:rPr>
              <w:t>77,400</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6/27/2014</w:t>
            </w:r>
          </w:p>
        </w:tc>
        <w:tc>
          <w:tcPr>
            <w:tcW w:w="14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85"/>
              </w:rPr>
              <w:t>Cash</w:t>
            </w:r>
          </w:p>
        </w:tc>
      </w:tr>
      <w:tr>
        <w:trPr>
          <w:trHeight w:val="129"/>
        </w:trPr>
        <w:tc>
          <w:tcPr>
            <w:tcW w:w="118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7"/>
              </w:rPr>
              <w:t>Common Stock</w:t>
            </w:r>
          </w:p>
        </w:tc>
        <w:tc>
          <w:tcPr>
            <w:tcW w:w="1260" w:type="dxa"/>
            <w:vAlign w:val="bottom"/>
            <w:tcBorders>
              <w:bottom w:val="single" w:sz="8" w:color="auto"/>
              <w:right w:val="single" w:sz="8" w:color="auto"/>
            </w:tcBorders>
          </w:tcPr>
          <w:p>
            <w:pPr>
              <w:ind w:left="360"/>
              <w:spacing w:after="0" w:line="129" w:lineRule="exact"/>
              <w:rPr>
                <w:sz w:val="20"/>
                <w:szCs w:val="20"/>
                <w:color w:val="auto"/>
              </w:rPr>
            </w:pPr>
            <w:r>
              <w:rPr>
                <w:rFonts w:ascii="Arial" w:cs="Arial" w:eastAsia="Arial" w:hAnsi="Arial"/>
                <w:sz w:val="13"/>
                <w:szCs w:val="13"/>
                <w:color w:val="auto"/>
              </w:rPr>
              <w:t>6/27/2014</w:t>
            </w:r>
          </w:p>
        </w:tc>
        <w:tc>
          <w:tcPr>
            <w:tcW w:w="25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25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13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92,632</w:t>
            </w:r>
          </w:p>
        </w:tc>
        <w:tc>
          <w:tcPr>
            <w:tcW w:w="11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6/27/2014</w:t>
            </w:r>
          </w:p>
        </w:tc>
        <w:tc>
          <w:tcPr>
            <w:tcW w:w="14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78"/>
              </w:rPr>
              <w:t>Cash</w:t>
            </w:r>
          </w:p>
        </w:tc>
      </w:tr>
      <w:tr>
        <w:trPr>
          <w:trHeight w:val="129"/>
        </w:trPr>
        <w:tc>
          <w:tcPr>
            <w:tcW w:w="118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7"/>
              </w:rPr>
              <w:t>Common Stock</w:t>
            </w:r>
          </w:p>
        </w:tc>
        <w:tc>
          <w:tcPr>
            <w:tcW w:w="1260" w:type="dxa"/>
            <w:vAlign w:val="bottom"/>
            <w:tcBorders>
              <w:bottom w:val="single" w:sz="8" w:color="auto"/>
              <w:right w:val="single" w:sz="8" w:color="auto"/>
            </w:tcBorders>
          </w:tcPr>
          <w:p>
            <w:pPr>
              <w:ind w:left="360"/>
              <w:spacing w:after="0" w:line="129" w:lineRule="exact"/>
              <w:rPr>
                <w:sz w:val="20"/>
                <w:szCs w:val="20"/>
                <w:color w:val="auto"/>
              </w:rPr>
            </w:pPr>
            <w:r>
              <w:rPr>
                <w:rFonts w:ascii="Arial" w:cs="Arial" w:eastAsia="Arial" w:hAnsi="Arial"/>
                <w:sz w:val="13"/>
                <w:szCs w:val="13"/>
                <w:color w:val="auto"/>
              </w:rPr>
              <w:t>6/27/2014</w:t>
            </w:r>
          </w:p>
        </w:tc>
        <w:tc>
          <w:tcPr>
            <w:tcW w:w="25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25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13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58,823</w:t>
            </w:r>
          </w:p>
        </w:tc>
        <w:tc>
          <w:tcPr>
            <w:tcW w:w="11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6/27/2014</w:t>
            </w:r>
          </w:p>
        </w:tc>
        <w:tc>
          <w:tcPr>
            <w:tcW w:w="14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78"/>
              </w:rPr>
              <w:t>Cash</w:t>
            </w:r>
          </w:p>
        </w:tc>
      </w:tr>
      <w:tr>
        <w:trPr>
          <w:trHeight w:val="129"/>
        </w:trPr>
        <w:tc>
          <w:tcPr>
            <w:tcW w:w="118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7"/>
              </w:rPr>
              <w:t>Common Stock</w:t>
            </w:r>
          </w:p>
        </w:tc>
        <w:tc>
          <w:tcPr>
            <w:tcW w:w="1260" w:type="dxa"/>
            <w:vAlign w:val="bottom"/>
            <w:tcBorders>
              <w:bottom w:val="single" w:sz="8" w:color="auto"/>
              <w:right w:val="single" w:sz="8" w:color="auto"/>
            </w:tcBorders>
          </w:tcPr>
          <w:p>
            <w:pPr>
              <w:ind w:left="360"/>
              <w:spacing w:after="0" w:line="129" w:lineRule="exact"/>
              <w:rPr>
                <w:sz w:val="20"/>
                <w:szCs w:val="20"/>
                <w:color w:val="auto"/>
              </w:rPr>
            </w:pPr>
            <w:r>
              <w:rPr>
                <w:rFonts w:ascii="Arial" w:cs="Arial" w:eastAsia="Arial" w:hAnsi="Arial"/>
                <w:sz w:val="13"/>
                <w:szCs w:val="13"/>
                <w:color w:val="auto"/>
              </w:rPr>
              <w:t>6/27/2014</w:t>
            </w:r>
          </w:p>
        </w:tc>
        <w:tc>
          <w:tcPr>
            <w:tcW w:w="25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25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Stock Option Exercise</w:t>
            </w:r>
          </w:p>
        </w:tc>
        <w:tc>
          <w:tcPr>
            <w:tcW w:w="13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5"/>
              </w:rPr>
              <w:t>1,177</w:t>
            </w:r>
          </w:p>
        </w:tc>
        <w:tc>
          <w:tcPr>
            <w:tcW w:w="11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89"/>
              </w:rPr>
              <w:t>6/27/2014</w:t>
            </w:r>
          </w:p>
        </w:tc>
        <w:tc>
          <w:tcPr>
            <w:tcW w:w="148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color w:val="auto"/>
                <w:w w:val="78"/>
              </w:rPr>
              <w:t>Cash</w:t>
            </w: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6/30/2014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/s/Ashok Belani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2019-12-05T14:35:47Z</dcterms:created>
  <dcterms:modified xsi:type="dcterms:W3CDTF">2019-12-05T14:35:47Z</dcterms:modified>
</cp:coreProperties>
</file>